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9730B" w14:textId="77777777" w:rsidR="00AE4F02" w:rsidRDefault="00AE4F02" w:rsidP="00D5394A">
      <w:pPr>
        <w:ind w:left="-1418"/>
      </w:pPr>
      <w:bookmarkStart w:id="0" w:name="_GoBack"/>
      <w:bookmarkEnd w:id="0"/>
    </w:p>
    <w:p w14:paraId="177F408B" w14:textId="77777777" w:rsidR="00D5394A" w:rsidRDefault="00D5394A">
      <w:pPr>
        <w:sectPr w:rsidR="00D5394A" w:rsidSect="00B10104">
          <w:footerReference w:type="default" r:id="rId11"/>
          <w:pgSz w:w="11906" w:h="16838"/>
          <w:pgMar w:top="1134" w:right="1440" w:bottom="1440" w:left="1440" w:header="0" w:footer="0" w:gutter="0"/>
          <w:cols w:space="708"/>
          <w:docGrid w:linePitch="360"/>
        </w:sectPr>
      </w:pPr>
    </w:p>
    <w:p w14:paraId="07DBDC48" w14:textId="77777777" w:rsidR="00B10104" w:rsidRDefault="00B10104" w:rsidP="00B10104">
      <w:r>
        <w:rPr>
          <w:noProof/>
          <w:lang w:eastAsia="en-AU"/>
        </w:rPr>
        <w:drawing>
          <wp:inline distT="0" distB="0" distL="0" distR="0" wp14:anchorId="4619CAFB" wp14:editId="668CCC0F">
            <wp:extent cx="3544824" cy="679704"/>
            <wp:effectExtent l="0" t="0" r="0" b="635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t_of_Comms-Reg-Inline-Press.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4824" cy="679704"/>
                    </a:xfrm>
                    <a:prstGeom prst="rect">
                      <a:avLst/>
                    </a:prstGeom>
                  </pic:spPr>
                </pic:pic>
              </a:graphicData>
            </a:graphic>
          </wp:inline>
        </w:drawing>
      </w:r>
    </w:p>
    <w:p w14:paraId="189E6A16" w14:textId="77777777" w:rsidR="00097799" w:rsidRDefault="00B10104" w:rsidP="00097799">
      <w:pPr>
        <w:pStyle w:val="Heading1"/>
      </w:pPr>
      <w:r w:rsidRPr="00B10104">
        <w:t>Bureau of</w:t>
      </w:r>
      <w:r w:rsidRPr="00B10104">
        <w:br/>
        <w:t>Communications</w:t>
      </w:r>
      <w:r w:rsidRPr="00B10104">
        <w:br/>
        <w:t>and Arts Research</w:t>
      </w:r>
      <w:bookmarkStart w:id="1" w:name="_Toc488240958"/>
    </w:p>
    <w:p w14:paraId="10587CC0" w14:textId="77777777" w:rsidR="00097799" w:rsidRDefault="00097799" w:rsidP="00097799">
      <w:pPr>
        <w:pStyle w:val="Heading2"/>
      </w:pPr>
      <w:bookmarkStart w:id="2" w:name="_Toc488674573"/>
      <w:r>
        <w:t>Terms of Reference</w:t>
      </w:r>
      <w:bookmarkEnd w:id="1"/>
      <w:r>
        <w:t>: review into the efficacy of the Code of Conduct for Australian Copyright Collecting Societies</w:t>
      </w:r>
      <w:bookmarkEnd w:id="2"/>
    </w:p>
    <w:p w14:paraId="2DB6926A" w14:textId="77777777" w:rsidR="00B10104" w:rsidRDefault="00097799" w:rsidP="00C46692">
      <w:r>
        <w:t>July 2017</w:t>
      </w:r>
    </w:p>
    <w:p w14:paraId="501BBCFB" w14:textId="77777777" w:rsidR="00B10104" w:rsidRDefault="00B10104" w:rsidP="00B10104">
      <w:pPr>
        <w:ind w:right="-1440"/>
        <w:jc w:val="right"/>
        <w:rPr>
          <w:lang w:eastAsia="en-US"/>
        </w:rPr>
      </w:pPr>
      <w:r>
        <w:rPr>
          <w:noProof/>
          <w:lang w:eastAsia="en-AU"/>
        </w:rPr>
        <w:drawing>
          <wp:inline distT="0" distB="0" distL="0" distR="0" wp14:anchorId="427D433A" wp14:editId="5A88D180">
            <wp:extent cx="3192780" cy="4516093"/>
            <wp:effectExtent l="0" t="0" r="7620" b="0"/>
            <wp:docPr id="21" name="Picture 21" descr="BCAR logo design image&#10;&#10;communications.gov.au/BCAR&#10;&#10;#CommAuBCAR" title="BCAR logo de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R Report cover-option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2909" cy="4657723"/>
                    </a:xfrm>
                    <a:prstGeom prst="rect">
                      <a:avLst/>
                    </a:prstGeom>
                  </pic:spPr>
                </pic:pic>
              </a:graphicData>
            </a:graphic>
          </wp:inline>
        </w:drawing>
      </w:r>
      <w:r>
        <w:rPr>
          <w:lang w:eastAsia="en-US"/>
        </w:rPr>
        <w:br w:type="page"/>
      </w:r>
    </w:p>
    <w:p w14:paraId="532DC62B" w14:textId="77777777" w:rsidR="00FC0167" w:rsidRPr="0009516A" w:rsidRDefault="00FC0167" w:rsidP="00FC0167">
      <w:pPr>
        <w:pStyle w:val="Heading2-notshowingincontentsindocument"/>
      </w:pPr>
      <w:bookmarkStart w:id="3" w:name="_Toc471208850"/>
      <w:bookmarkStart w:id="4" w:name="_Toc475458950"/>
      <w:r>
        <w:lastRenderedPageBreak/>
        <w:t>Disclaimer</w:t>
      </w:r>
    </w:p>
    <w:p w14:paraId="1E18496C" w14:textId="77777777" w:rsidR="00FC0167" w:rsidRPr="006301D0" w:rsidRDefault="00FC0167" w:rsidP="00FC0167">
      <w:r w:rsidRPr="006301D0">
        <w:t>The material in this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24C579FF" w14:textId="77777777" w:rsidR="00FC0167" w:rsidRPr="006301D0" w:rsidRDefault="00FC0167" w:rsidP="00FC0167">
      <w:r w:rsidRPr="006301D0">
        <w:t>The Commonwealth accepts no responsibility or liability for any damage, loss or expense incurred as a result of the reliance on information contained in this discussion paper.</w:t>
      </w:r>
    </w:p>
    <w:p w14:paraId="46E5E33C" w14:textId="77777777" w:rsidR="00FC0167" w:rsidRPr="006301D0" w:rsidRDefault="00FC0167" w:rsidP="00FC0167">
      <w:r w:rsidRPr="006301D0">
        <w:t>This paper has been prepared for consultation purposes only and does not indicate the Commonwealth’s commitment to a particular course of action. Additionally, any third party views or recommendations included in this discussion paper do not reflect the views of the Commonwealth, or indicate its commitment to a particular course of action.</w:t>
      </w:r>
    </w:p>
    <w:p w14:paraId="7C4B4617" w14:textId="77777777" w:rsidR="00FC0167" w:rsidRPr="0009516A" w:rsidRDefault="00FC0167" w:rsidP="00FC0167">
      <w:pPr>
        <w:pStyle w:val="Heading2-notshowingincontentsindocument"/>
      </w:pPr>
      <w:r w:rsidRPr="0009516A">
        <w:t>Co</w:t>
      </w:r>
      <w:r>
        <w:t>pyright</w:t>
      </w:r>
    </w:p>
    <w:p w14:paraId="6ECCE3A1" w14:textId="77777777" w:rsidR="00FC0167" w:rsidRPr="006628F3" w:rsidRDefault="00FC0167" w:rsidP="00FC0167">
      <w:r w:rsidRPr="006628F3">
        <w:t>© Commonwealth of Australia</w:t>
      </w:r>
      <w:r>
        <w:t xml:space="preserve"> </w:t>
      </w:r>
      <w:r w:rsidRPr="00097799">
        <w:t>2017</w:t>
      </w:r>
    </w:p>
    <w:p w14:paraId="45457A52" w14:textId="77777777" w:rsidR="00FC0167" w:rsidRPr="006628F3" w:rsidRDefault="00FC0167" w:rsidP="00FC0167">
      <w:r w:rsidRPr="006628F3">
        <w:rPr>
          <w:noProof/>
          <w:lang w:eastAsia="en-AU"/>
        </w:rPr>
        <w:drawing>
          <wp:inline distT="0" distB="0" distL="0" distR="0" wp14:anchorId="4DD9F5A3" wp14:editId="3DB15BC3">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w:t>
      </w:r>
      <w:r w:rsidRPr="006628F3">
        <w:t>The material in this discussion paper is licensed under a Creative Commons Attribution—3.0 Australia license, with the exception of:</w:t>
      </w:r>
    </w:p>
    <w:p w14:paraId="157265BF" w14:textId="77777777" w:rsidR="00FC0167" w:rsidRPr="00BC0293" w:rsidRDefault="00FC0167" w:rsidP="00FC0167">
      <w:pPr>
        <w:numPr>
          <w:ilvl w:val="0"/>
          <w:numId w:val="1"/>
        </w:numPr>
        <w:ind w:left="567" w:hanging="567"/>
      </w:pPr>
      <w:r w:rsidRPr="00BC0293">
        <w:t>the Commonwealth Coat of Arms</w:t>
      </w:r>
    </w:p>
    <w:p w14:paraId="60B60E93" w14:textId="77777777" w:rsidR="00FC0167" w:rsidRPr="00BC0293" w:rsidRDefault="00FC0167" w:rsidP="00FC0167">
      <w:pPr>
        <w:numPr>
          <w:ilvl w:val="0"/>
          <w:numId w:val="1"/>
        </w:numPr>
        <w:ind w:left="567" w:hanging="567"/>
      </w:pPr>
      <w:r w:rsidRPr="00BC0293">
        <w:t>this Department’s logo</w:t>
      </w:r>
    </w:p>
    <w:p w14:paraId="435A1477" w14:textId="77777777" w:rsidR="00FC0167" w:rsidRPr="00BC0293" w:rsidRDefault="00FC0167" w:rsidP="00FC0167">
      <w:pPr>
        <w:numPr>
          <w:ilvl w:val="0"/>
          <w:numId w:val="1"/>
        </w:numPr>
        <w:ind w:left="567" w:hanging="567"/>
      </w:pPr>
      <w:r w:rsidRPr="00BC0293">
        <w:t>any third party material</w:t>
      </w:r>
    </w:p>
    <w:p w14:paraId="71CFE4C1" w14:textId="77777777" w:rsidR="00FC0167" w:rsidRPr="00BC0293" w:rsidRDefault="00FC0167" w:rsidP="00FC0167">
      <w:pPr>
        <w:numPr>
          <w:ilvl w:val="0"/>
          <w:numId w:val="1"/>
        </w:numPr>
        <w:ind w:left="567" w:hanging="567"/>
      </w:pPr>
      <w:r w:rsidRPr="00BC0293">
        <w:t>any material protected by a trademark, and</w:t>
      </w:r>
    </w:p>
    <w:p w14:paraId="4F87C3E9" w14:textId="77777777" w:rsidR="00FC0167" w:rsidRPr="00BC0293" w:rsidRDefault="00FC0167" w:rsidP="00FC0167">
      <w:pPr>
        <w:numPr>
          <w:ilvl w:val="0"/>
          <w:numId w:val="1"/>
        </w:numPr>
        <w:ind w:left="567" w:hanging="567"/>
      </w:pPr>
      <w:r w:rsidRPr="00BC0293">
        <w:t>any images and/or photographs.</w:t>
      </w:r>
    </w:p>
    <w:p w14:paraId="2673AEF7" w14:textId="77777777" w:rsidR="00FC0167" w:rsidRPr="0023386C" w:rsidRDefault="00FC0167" w:rsidP="00FC0167">
      <w:r w:rsidRPr="0023386C">
        <w:t xml:space="preserve">More information on this CC BY license is set out at the creative commons website: </w:t>
      </w:r>
      <w:hyperlink r:id="rId16" w:history="1">
        <w:r w:rsidRPr="000C30DA">
          <w:rPr>
            <w:rStyle w:val="Hyperlink"/>
          </w:rPr>
          <w:t>www.creativecommons.org/licenses/by/3.0/au</w:t>
        </w:r>
        <w:r w:rsidRPr="00E10490">
          <w:rPr>
            <w:rStyle w:val="Hyperlink"/>
            <w:color w:val="5B9BD5" w:themeColor="accent1"/>
          </w:rPr>
          <w:t>/</w:t>
        </w:r>
      </w:hyperlink>
      <w:r w:rsidRPr="0023386C">
        <w:t>. Enquiries about this license and any use of this paper can be sent to: National Security and International Branch, Department of Communications and the Arts, GPO</w:t>
      </w:r>
      <w:bookmarkStart w:id="5" w:name="_Toc356292521"/>
      <w:r w:rsidRPr="0023386C">
        <w:t xml:space="preserve"> Box 2154, Canberra, ACT, 2601.</w:t>
      </w:r>
    </w:p>
    <w:p w14:paraId="3F0C1418" w14:textId="77777777" w:rsidR="00FC0167" w:rsidRPr="0023386C" w:rsidRDefault="00FC0167" w:rsidP="00FC0167">
      <w:pPr>
        <w:pStyle w:val="Heading3-notshowingincontentsindocument"/>
      </w:pPr>
      <w:r w:rsidRPr="0023386C">
        <w:t>Attribution</w:t>
      </w:r>
      <w:bookmarkEnd w:id="5"/>
    </w:p>
    <w:p w14:paraId="4D6BB8CE" w14:textId="77777777" w:rsidR="00FC0167" w:rsidRPr="0023386C" w:rsidRDefault="00FC0167" w:rsidP="00FC0167">
      <w:bookmarkStart w:id="6" w:name="_Toc356292522"/>
      <w:r w:rsidRPr="0023386C">
        <w:t>Use of all or part of this discussion paper must include the following attribution:</w:t>
      </w:r>
      <w:bookmarkEnd w:id="6"/>
    </w:p>
    <w:p w14:paraId="389D99BE" w14:textId="77777777" w:rsidR="00FC0167" w:rsidRPr="0023386C" w:rsidRDefault="00FC0167" w:rsidP="00FC0167">
      <w:pPr>
        <w:ind w:left="567"/>
      </w:pPr>
      <w:bookmarkStart w:id="7" w:name="_Toc356292523"/>
      <w:r w:rsidRPr="0023386C">
        <w:t xml:space="preserve">© Commonwealth of Australia </w:t>
      </w:r>
      <w:r w:rsidRPr="00097799">
        <w:t>201</w:t>
      </w:r>
      <w:bookmarkEnd w:id="7"/>
      <w:r w:rsidRPr="00097799">
        <w:t>7</w:t>
      </w:r>
    </w:p>
    <w:p w14:paraId="111FDEE0" w14:textId="77777777" w:rsidR="00FC0167" w:rsidRPr="0023386C" w:rsidRDefault="00FC0167" w:rsidP="00FC0167">
      <w:pPr>
        <w:pStyle w:val="Heading3-notshowingincontentsindocument"/>
      </w:pPr>
      <w:bookmarkStart w:id="8" w:name="_Toc356292524"/>
      <w:r w:rsidRPr="0023386C">
        <w:t>Using the Commonwealth Coat of Arms</w:t>
      </w:r>
      <w:bookmarkEnd w:id="8"/>
    </w:p>
    <w:p w14:paraId="0EB5EA7B" w14:textId="77777777" w:rsidR="00FC0167" w:rsidRDefault="00FC0167" w:rsidP="00FC0167">
      <w:bookmarkStart w:id="9" w:name="_Toc356292525"/>
      <w:r w:rsidRPr="0023386C">
        <w:t xml:space="preserve">The terms of use for the Coat of Arms are available from the It’s an Honour website (see </w:t>
      </w:r>
      <w:bookmarkEnd w:id="9"/>
      <w:r w:rsidRPr="000C30DA">
        <w:rPr>
          <w:rStyle w:val="Hyperlink"/>
        </w:rPr>
        <w:fldChar w:fldCharType="begin"/>
      </w:r>
      <w:r w:rsidRPr="000C30DA">
        <w:rPr>
          <w:rStyle w:val="Hyperlink"/>
        </w:rPr>
        <w:instrText xml:space="preserve"> HYPERLINK "http://www.itsanhonour.gov.au/" </w:instrText>
      </w:r>
      <w:r w:rsidRPr="000C30DA">
        <w:rPr>
          <w:rStyle w:val="Hyperlink"/>
        </w:rPr>
        <w:fldChar w:fldCharType="separate"/>
      </w:r>
      <w:r w:rsidRPr="000C30DA">
        <w:rPr>
          <w:rStyle w:val="Hyperlink"/>
        </w:rPr>
        <w:t>www.itsanhonour.gov.au</w:t>
      </w:r>
      <w:r w:rsidRPr="000C30DA">
        <w:rPr>
          <w:rStyle w:val="Hyperlink"/>
        </w:rPr>
        <w:fldChar w:fldCharType="end"/>
      </w:r>
      <w:r w:rsidRPr="0023386C">
        <w:t xml:space="preserve"> and click ‘Commonwealth Coat of Arms’).</w:t>
      </w:r>
    </w:p>
    <w:p w14:paraId="73F11F83" w14:textId="77777777" w:rsidR="00FC0167" w:rsidRDefault="00FC0167" w:rsidP="00FC0167">
      <w:r>
        <w:br w:type="page"/>
      </w:r>
    </w:p>
    <w:p w14:paraId="0452D297" w14:textId="77777777" w:rsidR="00FC0167" w:rsidRPr="0009516A" w:rsidRDefault="00FC0167" w:rsidP="00FC0167">
      <w:pPr>
        <w:pStyle w:val="Heading2-notshowingincontentsindocument"/>
      </w:pPr>
      <w:r w:rsidRPr="0009516A">
        <w:lastRenderedPageBreak/>
        <w:t>Contents</w:t>
      </w:r>
    </w:p>
    <w:p w14:paraId="786590D7" w14:textId="77777777" w:rsidR="00C46692" w:rsidRDefault="00FC0167">
      <w:pPr>
        <w:pStyle w:val="TOC1"/>
        <w:tabs>
          <w:tab w:val="right" w:leader="dot" w:pos="9016"/>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p>
    <w:p w14:paraId="6B728BD4" w14:textId="77777777" w:rsidR="00C46692" w:rsidRDefault="0027718C">
      <w:pPr>
        <w:pStyle w:val="TOC2"/>
        <w:tabs>
          <w:tab w:val="right" w:leader="dot" w:pos="9016"/>
        </w:tabs>
        <w:rPr>
          <w:rFonts w:eastAsiaTheme="minorEastAsia"/>
          <w:noProof/>
          <w:lang w:eastAsia="en-AU"/>
        </w:rPr>
      </w:pPr>
      <w:hyperlink w:anchor="_Toc488674574" w:history="1">
        <w:r w:rsidR="00C46692" w:rsidRPr="00791D72">
          <w:rPr>
            <w:rStyle w:val="Hyperlink"/>
            <w:noProof/>
          </w:rPr>
          <w:t>Background</w:t>
        </w:r>
        <w:r w:rsidR="00C46692">
          <w:rPr>
            <w:noProof/>
            <w:webHidden/>
          </w:rPr>
          <w:tab/>
        </w:r>
        <w:r w:rsidR="00C46692">
          <w:rPr>
            <w:noProof/>
            <w:webHidden/>
          </w:rPr>
          <w:fldChar w:fldCharType="begin"/>
        </w:r>
        <w:r w:rsidR="00C46692">
          <w:rPr>
            <w:noProof/>
            <w:webHidden/>
          </w:rPr>
          <w:instrText xml:space="preserve"> PAGEREF _Toc488674574 \h </w:instrText>
        </w:r>
        <w:r w:rsidR="00C46692">
          <w:rPr>
            <w:noProof/>
            <w:webHidden/>
          </w:rPr>
        </w:r>
        <w:r w:rsidR="00C46692">
          <w:rPr>
            <w:noProof/>
            <w:webHidden/>
          </w:rPr>
          <w:fldChar w:fldCharType="separate"/>
        </w:r>
        <w:r w:rsidR="00130258">
          <w:rPr>
            <w:noProof/>
            <w:webHidden/>
          </w:rPr>
          <w:t>1</w:t>
        </w:r>
        <w:r w:rsidR="00C46692">
          <w:rPr>
            <w:noProof/>
            <w:webHidden/>
          </w:rPr>
          <w:fldChar w:fldCharType="end"/>
        </w:r>
      </w:hyperlink>
    </w:p>
    <w:p w14:paraId="246B2A72" w14:textId="77777777" w:rsidR="00C46692" w:rsidRDefault="0027718C">
      <w:pPr>
        <w:pStyle w:val="TOC2"/>
        <w:tabs>
          <w:tab w:val="right" w:leader="dot" w:pos="9016"/>
        </w:tabs>
        <w:rPr>
          <w:rFonts w:eastAsiaTheme="minorEastAsia"/>
          <w:noProof/>
          <w:lang w:eastAsia="en-AU"/>
        </w:rPr>
      </w:pPr>
      <w:hyperlink w:anchor="_Toc488674575" w:history="1">
        <w:r w:rsidR="00C46692" w:rsidRPr="00791D72">
          <w:rPr>
            <w:rStyle w:val="Hyperlink"/>
            <w:noProof/>
          </w:rPr>
          <w:t>Scope</w:t>
        </w:r>
        <w:r w:rsidR="00C46692">
          <w:rPr>
            <w:noProof/>
            <w:webHidden/>
          </w:rPr>
          <w:tab/>
        </w:r>
        <w:r w:rsidR="00C46692">
          <w:rPr>
            <w:noProof/>
            <w:webHidden/>
          </w:rPr>
          <w:fldChar w:fldCharType="begin"/>
        </w:r>
        <w:r w:rsidR="00C46692">
          <w:rPr>
            <w:noProof/>
            <w:webHidden/>
          </w:rPr>
          <w:instrText xml:space="preserve"> PAGEREF _Toc488674575 \h </w:instrText>
        </w:r>
        <w:r w:rsidR="00C46692">
          <w:rPr>
            <w:noProof/>
            <w:webHidden/>
          </w:rPr>
        </w:r>
        <w:r w:rsidR="00C46692">
          <w:rPr>
            <w:noProof/>
            <w:webHidden/>
          </w:rPr>
          <w:fldChar w:fldCharType="separate"/>
        </w:r>
        <w:r w:rsidR="00130258">
          <w:rPr>
            <w:noProof/>
            <w:webHidden/>
          </w:rPr>
          <w:t>1</w:t>
        </w:r>
        <w:r w:rsidR="00C46692">
          <w:rPr>
            <w:noProof/>
            <w:webHidden/>
          </w:rPr>
          <w:fldChar w:fldCharType="end"/>
        </w:r>
      </w:hyperlink>
    </w:p>
    <w:p w14:paraId="3E481694" w14:textId="77777777" w:rsidR="00C46692" w:rsidRDefault="0027718C">
      <w:pPr>
        <w:pStyle w:val="TOC2"/>
        <w:tabs>
          <w:tab w:val="right" w:leader="dot" w:pos="9016"/>
        </w:tabs>
        <w:rPr>
          <w:rFonts w:eastAsiaTheme="minorEastAsia"/>
          <w:noProof/>
          <w:lang w:eastAsia="en-AU"/>
        </w:rPr>
      </w:pPr>
      <w:hyperlink w:anchor="_Toc488674576" w:history="1">
        <w:r w:rsidR="00C46692" w:rsidRPr="00791D72">
          <w:rPr>
            <w:rStyle w:val="Hyperlink"/>
            <w:noProof/>
          </w:rPr>
          <w:t>Process and governance</w:t>
        </w:r>
        <w:r w:rsidR="00C46692">
          <w:rPr>
            <w:noProof/>
            <w:webHidden/>
          </w:rPr>
          <w:tab/>
        </w:r>
        <w:r w:rsidR="00C46692">
          <w:rPr>
            <w:noProof/>
            <w:webHidden/>
          </w:rPr>
          <w:fldChar w:fldCharType="begin"/>
        </w:r>
        <w:r w:rsidR="00C46692">
          <w:rPr>
            <w:noProof/>
            <w:webHidden/>
          </w:rPr>
          <w:instrText xml:space="preserve"> PAGEREF _Toc488674576 \h </w:instrText>
        </w:r>
        <w:r w:rsidR="00C46692">
          <w:rPr>
            <w:noProof/>
            <w:webHidden/>
          </w:rPr>
        </w:r>
        <w:r w:rsidR="00C46692">
          <w:rPr>
            <w:noProof/>
            <w:webHidden/>
          </w:rPr>
          <w:fldChar w:fldCharType="separate"/>
        </w:r>
        <w:r w:rsidR="00130258">
          <w:rPr>
            <w:noProof/>
            <w:webHidden/>
          </w:rPr>
          <w:t>1</w:t>
        </w:r>
        <w:r w:rsidR="00C46692">
          <w:rPr>
            <w:noProof/>
            <w:webHidden/>
          </w:rPr>
          <w:fldChar w:fldCharType="end"/>
        </w:r>
      </w:hyperlink>
    </w:p>
    <w:p w14:paraId="6E970A53" w14:textId="77777777" w:rsidR="00FC0167" w:rsidRDefault="00FC0167" w:rsidP="00C46692">
      <w:r>
        <w:rPr>
          <w:b/>
          <w:color w:val="07478C"/>
          <w:sz w:val="24"/>
        </w:rPr>
        <w:fldChar w:fldCharType="end"/>
      </w:r>
    </w:p>
    <w:p w14:paraId="3373F4D6" w14:textId="77777777" w:rsidR="00FC0167" w:rsidRPr="00AE73E3" w:rsidRDefault="00FC0167" w:rsidP="00FC0167"/>
    <w:p w14:paraId="028471C4" w14:textId="77777777" w:rsidR="00FC0167" w:rsidRPr="00AE73E3" w:rsidRDefault="00FC0167" w:rsidP="00FC0167">
      <w:r w:rsidRPr="00AE73E3">
        <w:br w:type="page"/>
      </w:r>
    </w:p>
    <w:p w14:paraId="2E0D0C46" w14:textId="77777777" w:rsidR="00FC0167" w:rsidRDefault="00FC0167" w:rsidP="00FC0167">
      <w:pPr>
        <w:sectPr w:rsidR="00FC0167" w:rsidSect="00D4293D">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type w:val="continuous"/>
          <w:pgSz w:w="11906" w:h="16838"/>
          <w:pgMar w:top="1440" w:right="1440" w:bottom="1276" w:left="1440" w:header="708" w:footer="328" w:gutter="0"/>
          <w:pgNumType w:fmt="lowerRoman" w:start="1"/>
          <w:cols w:space="708"/>
          <w:docGrid w:linePitch="360"/>
        </w:sectPr>
      </w:pPr>
    </w:p>
    <w:p w14:paraId="459CA961" w14:textId="77777777" w:rsidR="00FC0167" w:rsidRPr="00AE73E3" w:rsidRDefault="00FC0167" w:rsidP="00FC0167">
      <w:pPr>
        <w:sectPr w:rsidR="00FC0167" w:rsidRPr="00AE73E3" w:rsidSect="00FC0167">
          <w:footerReference w:type="default" r:id="rId23"/>
          <w:footnotePr>
            <w:numRestart w:val="eachPage"/>
          </w:footnotePr>
          <w:endnotePr>
            <w:numFmt w:val="decimal"/>
          </w:endnotePr>
          <w:pgSz w:w="11906" w:h="16838"/>
          <w:pgMar w:top="1440" w:right="1440" w:bottom="1276" w:left="1440" w:header="708" w:footer="328" w:gutter="0"/>
          <w:pgNumType w:start="1"/>
          <w:cols w:space="708"/>
          <w:docGrid w:linePitch="360"/>
        </w:sectPr>
      </w:pPr>
    </w:p>
    <w:p w14:paraId="261AD7D0" w14:textId="77777777" w:rsidR="00C46692" w:rsidRDefault="00C46692" w:rsidP="00C46692">
      <w:pPr>
        <w:pStyle w:val="Heading3"/>
      </w:pPr>
      <w:bookmarkStart w:id="10" w:name="_Toc488674574"/>
      <w:bookmarkEnd w:id="3"/>
      <w:bookmarkEnd w:id="4"/>
      <w:r>
        <w:t>Background</w:t>
      </w:r>
      <w:bookmarkEnd w:id="10"/>
    </w:p>
    <w:p w14:paraId="6ED61DC7" w14:textId="77777777" w:rsidR="00C46692" w:rsidRDefault="00C46692" w:rsidP="00C46692">
      <w:r>
        <w:t>This review responds to recommendation 5.4 of the Productivity Commission’s Inquiry Report into Intellectual Property Arrangements, noting the Australian Government’s stated preference for the Department of Communications and the Arts to undertake the review, in consultation with the Australian Competition and Consumer Commission (ACCC).</w:t>
      </w:r>
    </w:p>
    <w:p w14:paraId="2741459E" w14:textId="77777777" w:rsidR="00C46692" w:rsidRDefault="00C46692" w:rsidP="00C46692">
      <w:pPr>
        <w:pStyle w:val="Heading3"/>
      </w:pPr>
      <w:bookmarkStart w:id="11" w:name="_Toc488674575"/>
      <w:r>
        <w:t>Scope</w:t>
      </w:r>
      <w:bookmarkEnd w:id="11"/>
    </w:p>
    <w:p w14:paraId="0E188EA6" w14:textId="77777777" w:rsidR="00C46692" w:rsidRDefault="00C46692" w:rsidP="00C46692">
      <w:r>
        <w:t xml:space="preserve">The Bureau of Communications and Arts Research (BCAR), within the Department of Communications and the Arts, will review and report on the efficacy of the Code of Conduct for Collecting Societies (the Code). </w:t>
      </w:r>
    </w:p>
    <w:p w14:paraId="5F253E62" w14:textId="77777777" w:rsidR="00C46692" w:rsidRDefault="00C46692" w:rsidP="00C46692">
      <w:r>
        <w:t>In undertaking this review, the BCAR will assess the extent to which the Code promotes fair and efficient outcomes. This will include assessing:</w:t>
      </w:r>
    </w:p>
    <w:p w14:paraId="32D72BC4" w14:textId="77777777" w:rsidR="00C46692" w:rsidRDefault="00C46692" w:rsidP="00C46692">
      <w:r>
        <w:t>•</w:t>
      </w:r>
      <w:r>
        <w:tab/>
        <w:t>whether the Code is meeting its rationale and objectives, including promoting confidence and participation in the system, and mitigating any potential market power issues where these occur in relation to collecting societies</w:t>
      </w:r>
    </w:p>
    <w:p w14:paraId="03B6C2D7" w14:textId="77777777" w:rsidR="00C46692" w:rsidRDefault="00C46692" w:rsidP="00C46692">
      <w:r>
        <w:t>•</w:t>
      </w:r>
      <w:r>
        <w:tab/>
        <w:t>the extent to which the Code promotes transparency, accountability and good governance including by examining whether the Code contains sufficient monitoring and review mechanisms, and</w:t>
      </w:r>
    </w:p>
    <w:p w14:paraId="155D7445" w14:textId="77777777" w:rsidR="00C46692" w:rsidRDefault="00C46692" w:rsidP="00C46692">
      <w:r>
        <w:t>•</w:t>
      </w:r>
      <w:r>
        <w:tab/>
        <w:t>the extent to which the Code represents best practice in comparison with other domestic and international codes and guidelines.</w:t>
      </w:r>
    </w:p>
    <w:p w14:paraId="3D423D74" w14:textId="77777777" w:rsidR="00C46692" w:rsidRDefault="00C46692" w:rsidP="00C46692">
      <w:r>
        <w:t>Any other matters that are deemed significant and relevant to the scope of the review following stakeholder consultation may also be examined.</w:t>
      </w:r>
    </w:p>
    <w:p w14:paraId="313C626F" w14:textId="77777777" w:rsidR="00C46692" w:rsidRDefault="00C46692" w:rsidP="00C46692">
      <w:r>
        <w:t>The review will then make findings and recommendations on ways to improve overall confidence in the system and how these could be implemented. Recommendations will address whether the Code should be made mandatory and whether objectives or provisions of the Code should be amended, taking into account additional compliance costs for affected parties.</w:t>
      </w:r>
    </w:p>
    <w:p w14:paraId="74990740" w14:textId="77777777" w:rsidR="00C46692" w:rsidRDefault="00C46692" w:rsidP="00C46692">
      <w:r>
        <w:t>The review will, where appropriate, draw on the work of previous inquiries into copyright, but only insofar as they relate to the operations and governance of collecting societies. This review will not include examination of the jurisdiction and decisions of the Copyright Tribunal, and whether or not specific licence fees or royalty payments are fair and reasonable.</w:t>
      </w:r>
    </w:p>
    <w:p w14:paraId="2DB814AB" w14:textId="77777777" w:rsidR="00C46692" w:rsidRDefault="00C46692" w:rsidP="00C46692">
      <w:pPr>
        <w:pStyle w:val="Heading3"/>
      </w:pPr>
      <w:bookmarkStart w:id="12" w:name="_Toc488674576"/>
      <w:r>
        <w:t>Process and governance</w:t>
      </w:r>
      <w:bookmarkEnd w:id="12"/>
    </w:p>
    <w:p w14:paraId="09FDA5B0" w14:textId="77777777" w:rsidR="00C46692" w:rsidRDefault="00C46692" w:rsidP="00C46692">
      <w:r>
        <w:t>The review team will be informed by subject-matter expertise from within the Department, as well as broader support and technical advice from the ACCC, and other relevant government agencies on the implications for any changes for competition and the general interests of consumers.</w:t>
      </w:r>
    </w:p>
    <w:p w14:paraId="62CA01F0" w14:textId="77777777" w:rsidR="00C46692" w:rsidRDefault="00C46692" w:rsidP="00C46692">
      <w:r>
        <w:t xml:space="preserve">The BCAR will consult widely with collecting societies, user groups and other relevant stakeholders about the Code’s efficacy and the review’s proposed recommendations. Public consultation will be </w:t>
      </w:r>
      <w:r>
        <w:lastRenderedPageBreak/>
        <w:t xml:space="preserve">undertaken following the release of a discussion paper in mid-2017, and the publication of a draft report in late-2017. Public submissions will be made available on the Department’s website. </w:t>
      </w:r>
    </w:p>
    <w:p w14:paraId="7AB94C72" w14:textId="77777777" w:rsidR="00C46692" w:rsidRDefault="00C46692" w:rsidP="00C46692">
      <w:r>
        <w:t>An external reference group consisting of key representatives from collecting societies, licensee groups and other interested parties will also be assembled after the publication of the discussion paper to provide input into the process. Membership of this group will be published on the Department’s website once finalised.</w:t>
      </w:r>
    </w:p>
    <w:p w14:paraId="31B69FB6" w14:textId="77777777" w:rsidR="00BB0E59" w:rsidRDefault="00C46692" w:rsidP="00C46692">
      <w:r>
        <w:t>The review team will report on its findings and recommendations to the Minister for Communications by March 2018. The final report will be publicly released.</w:t>
      </w:r>
    </w:p>
    <w:sectPr w:rsidR="00BB0E59" w:rsidSect="00ED6DDF">
      <w:type w:val="continuous"/>
      <w:pgSz w:w="11906" w:h="16838"/>
      <w:pgMar w:top="1440" w:right="1440" w:bottom="1276" w:left="1440"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F2412" w14:textId="77777777" w:rsidR="006C7770" w:rsidRDefault="006C7770" w:rsidP="00D5394A">
      <w:pPr>
        <w:spacing w:after="0"/>
      </w:pPr>
      <w:r>
        <w:separator/>
      </w:r>
    </w:p>
  </w:endnote>
  <w:endnote w:type="continuationSeparator" w:id="0">
    <w:p w14:paraId="0DD68B86" w14:textId="77777777" w:rsidR="006C7770" w:rsidRDefault="006C7770" w:rsidP="00D53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fata">
    <w:altName w:val="Malgun Gothic"/>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E4D7F" w14:textId="77777777" w:rsidR="00B46656" w:rsidRDefault="00B46656" w:rsidP="00D5394A">
    <w:pPr>
      <w:pStyle w:val="Footer"/>
      <w:ind w:left="-1418"/>
    </w:pPr>
    <w:r>
      <w:rPr>
        <w:noProof/>
        <w:lang w:eastAsia="en-AU"/>
      </w:rPr>
      <w:drawing>
        <wp:inline distT="0" distB="0" distL="0" distR="0" wp14:anchorId="733EAABE" wp14:editId="46293096">
          <wp:extent cx="7618945" cy="768985"/>
          <wp:effectExtent l="0" t="0" r="1270" b="0"/>
          <wp:docPr id="16" name="Picture 16"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footer-banner--black-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687" cy="76976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27D9A" w14:textId="77777777" w:rsidR="006C7770" w:rsidRDefault="006C7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7478C"/>
      </w:rPr>
      <w:id w:val="237600285"/>
      <w:docPartObj>
        <w:docPartGallery w:val="Page Numbers (Bottom of Page)"/>
        <w:docPartUnique/>
      </w:docPartObj>
    </w:sdtPr>
    <w:sdtEndPr>
      <w:rPr>
        <w:noProof/>
        <w:sz w:val="16"/>
        <w:szCs w:val="16"/>
      </w:rPr>
    </w:sdtEndPr>
    <w:sdtContent>
      <w:p w14:paraId="32C7BFC3" w14:textId="77777777" w:rsidR="00B46656" w:rsidRPr="0037566A" w:rsidRDefault="00B46656" w:rsidP="00D4293D">
        <w:pPr>
          <w:pStyle w:val="Footer"/>
          <w:rPr>
            <w:sz w:val="18"/>
            <w:szCs w:val="18"/>
          </w:rPr>
        </w:pPr>
        <w:r>
          <w:rPr>
            <w:sz w:val="18"/>
            <w:szCs w:val="18"/>
          </w:rPr>
          <w:tab/>
        </w:r>
        <w:hyperlink r:id="rId1" w:history="1">
          <w:r w:rsidRPr="0037566A">
            <w:rPr>
              <w:rStyle w:val="Hyperlink"/>
              <w:sz w:val="18"/>
              <w:szCs w:val="18"/>
            </w:rPr>
            <w:t>www.communications.gov.au</w:t>
          </w:r>
        </w:hyperlink>
      </w:p>
      <w:p w14:paraId="34147C46" w14:textId="77777777" w:rsidR="00097799" w:rsidRDefault="00097799" w:rsidP="00D4293D">
        <w:pPr>
          <w:pStyle w:val="Footer"/>
          <w:tabs>
            <w:tab w:val="clear" w:pos="9026"/>
            <w:tab w:val="right" w:pos="9333"/>
          </w:tabs>
          <w:rPr>
            <w:sz w:val="18"/>
            <w:szCs w:val="18"/>
          </w:rPr>
        </w:pPr>
        <w:r w:rsidRPr="00097799">
          <w:rPr>
            <w:sz w:val="18"/>
            <w:szCs w:val="18"/>
          </w:rPr>
          <w:t>Terms of Reference: review</w:t>
        </w:r>
      </w:p>
      <w:p w14:paraId="10F05A81" w14:textId="77777777" w:rsidR="00097799" w:rsidRDefault="00097799" w:rsidP="00D4293D">
        <w:pPr>
          <w:pStyle w:val="Footer"/>
          <w:tabs>
            <w:tab w:val="clear" w:pos="9026"/>
            <w:tab w:val="right" w:pos="9333"/>
          </w:tabs>
          <w:rPr>
            <w:sz w:val="18"/>
            <w:szCs w:val="18"/>
          </w:rPr>
        </w:pPr>
        <w:r w:rsidRPr="00097799">
          <w:rPr>
            <w:sz w:val="18"/>
            <w:szCs w:val="18"/>
          </w:rPr>
          <w:t xml:space="preserve"> into the efficacy of the Code of Conduct for</w:t>
        </w:r>
      </w:p>
      <w:p w14:paraId="6FCCCEDE" w14:textId="77777777" w:rsidR="00B46656" w:rsidRPr="00B74F9F" w:rsidRDefault="00097799" w:rsidP="00D4293D">
        <w:pPr>
          <w:pStyle w:val="Footer"/>
          <w:tabs>
            <w:tab w:val="clear" w:pos="9026"/>
            <w:tab w:val="right" w:pos="9333"/>
          </w:tabs>
          <w:rPr>
            <w:rStyle w:val="Hyperlink"/>
            <w:color w:val="auto"/>
            <w:sz w:val="18"/>
            <w:szCs w:val="18"/>
          </w:rPr>
        </w:pPr>
        <w:r w:rsidRPr="00097799">
          <w:rPr>
            <w:sz w:val="18"/>
            <w:szCs w:val="18"/>
          </w:rPr>
          <w:t xml:space="preserve"> Australian Copyright Collecting Societies</w:t>
        </w:r>
        <w:r w:rsidR="00B46656" w:rsidRPr="0037566A">
          <w:rPr>
            <w:sz w:val="18"/>
            <w:szCs w:val="18"/>
          </w:rPr>
          <w:tab/>
        </w:r>
        <w:hyperlink r:id="rId2" w:history="1">
          <w:r w:rsidR="00B46656" w:rsidRPr="0037566A">
            <w:rPr>
              <w:rStyle w:val="Hyperlink"/>
              <w:sz w:val="18"/>
              <w:szCs w:val="18"/>
            </w:rPr>
            <w:t>www.arts.gov.au</w:t>
          </w:r>
        </w:hyperlink>
        <w:r w:rsidR="00B46656" w:rsidRPr="00B74F9F">
          <w:rPr>
            <w:sz w:val="18"/>
            <w:szCs w:val="18"/>
          </w:rPr>
          <w:t xml:space="preserve"> </w:t>
        </w:r>
        <w:r w:rsidR="00B46656" w:rsidRPr="0037566A">
          <w:rPr>
            <w:sz w:val="18"/>
            <w:szCs w:val="18"/>
          </w:rPr>
          <w:tab/>
        </w:r>
        <w:sdt>
          <w:sdtPr>
            <w:rPr>
              <w:sz w:val="18"/>
              <w:szCs w:val="18"/>
            </w:rPr>
            <w:id w:val="1981188470"/>
            <w:docPartObj>
              <w:docPartGallery w:val="Page Numbers (Top of Page)"/>
              <w:docPartUnique/>
            </w:docPartObj>
          </w:sdtPr>
          <w:sdtEndPr/>
          <w:sdtContent>
            <w:r w:rsidR="00B46656" w:rsidRPr="0037566A">
              <w:rPr>
                <w:sz w:val="18"/>
                <w:szCs w:val="18"/>
              </w:rPr>
              <w:t xml:space="preserve">Page </w:t>
            </w:r>
            <w:r w:rsidR="00B46656" w:rsidRPr="0037566A">
              <w:rPr>
                <w:bCs/>
                <w:sz w:val="18"/>
                <w:szCs w:val="18"/>
              </w:rPr>
              <w:fldChar w:fldCharType="begin"/>
            </w:r>
            <w:r w:rsidR="00B46656" w:rsidRPr="0037566A">
              <w:rPr>
                <w:bCs/>
                <w:sz w:val="18"/>
                <w:szCs w:val="18"/>
              </w:rPr>
              <w:instrText xml:space="preserve"> PAGE </w:instrText>
            </w:r>
            <w:r w:rsidR="00B46656" w:rsidRPr="0037566A">
              <w:rPr>
                <w:bCs/>
                <w:sz w:val="18"/>
                <w:szCs w:val="18"/>
              </w:rPr>
              <w:fldChar w:fldCharType="separate"/>
            </w:r>
            <w:r w:rsidR="0027718C">
              <w:rPr>
                <w:bCs/>
                <w:noProof/>
                <w:sz w:val="18"/>
                <w:szCs w:val="18"/>
              </w:rPr>
              <w:t>iii</w:t>
            </w:r>
            <w:r w:rsidR="00B46656" w:rsidRPr="0037566A">
              <w:rPr>
                <w:bCs/>
                <w:sz w:val="18"/>
                <w:szCs w:val="18"/>
              </w:rPr>
              <w:fldChar w:fldCharType="end"/>
            </w:r>
            <w:r w:rsidR="00B46656" w:rsidRPr="0037566A">
              <w:rPr>
                <w:sz w:val="18"/>
                <w:szCs w:val="18"/>
              </w:rPr>
              <w:t xml:space="preserve"> of </w:t>
            </w:r>
            <w:r w:rsidR="00B46656" w:rsidRPr="0037566A">
              <w:rPr>
                <w:bCs/>
                <w:sz w:val="18"/>
                <w:szCs w:val="18"/>
              </w:rPr>
              <w:fldChar w:fldCharType="begin"/>
            </w:r>
            <w:r w:rsidR="00B46656" w:rsidRPr="0037566A">
              <w:rPr>
                <w:bCs/>
                <w:sz w:val="18"/>
                <w:szCs w:val="18"/>
              </w:rPr>
              <w:instrText xml:space="preserve"> NUMPAGES  </w:instrText>
            </w:r>
            <w:r w:rsidR="00B46656" w:rsidRPr="0037566A">
              <w:rPr>
                <w:bCs/>
                <w:sz w:val="18"/>
                <w:szCs w:val="18"/>
              </w:rPr>
              <w:fldChar w:fldCharType="separate"/>
            </w:r>
            <w:r w:rsidR="0027718C">
              <w:rPr>
                <w:bCs/>
                <w:noProof/>
                <w:sz w:val="18"/>
                <w:szCs w:val="18"/>
              </w:rPr>
              <w:t>3</w:t>
            </w:r>
            <w:r w:rsidR="00B46656" w:rsidRPr="0037566A">
              <w:rPr>
                <w:bCs/>
                <w:sz w:val="18"/>
                <w:szCs w:val="18"/>
              </w:rPr>
              <w:fldChar w:fldCharType="end"/>
            </w:r>
          </w:sdtContent>
        </w:sdt>
      </w:p>
      <w:p w14:paraId="1F2909D8" w14:textId="77777777" w:rsidR="00B46656" w:rsidRPr="0051777B" w:rsidRDefault="00B46656" w:rsidP="00D4293D">
        <w:pPr>
          <w:pStyle w:val="Footer"/>
          <w:tabs>
            <w:tab w:val="clear" w:pos="9026"/>
            <w:tab w:val="right" w:pos="9333"/>
          </w:tabs>
          <w:rPr>
            <w:sz w:val="16"/>
            <w:szCs w:val="16"/>
          </w:rPr>
        </w:pPr>
        <w:r w:rsidRPr="0037566A">
          <w:rPr>
            <w:sz w:val="18"/>
            <w:szCs w:val="18"/>
          </w:rPr>
          <w:tab/>
        </w:r>
        <w:hyperlink r:id="rId3" w:history="1">
          <w:r w:rsidRPr="0037566A">
            <w:rPr>
              <w:rStyle w:val="Hyperlink"/>
              <w:sz w:val="18"/>
              <w:szCs w:val="18"/>
            </w:rPr>
            <w:t>www.classification.gov.au</w:t>
          </w:r>
        </w:hyperlink>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1F7E9" w14:textId="77777777" w:rsidR="006C7770" w:rsidRDefault="006C77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7478C"/>
      </w:rPr>
      <w:id w:val="-115445811"/>
      <w:docPartObj>
        <w:docPartGallery w:val="Page Numbers (Bottom of Page)"/>
        <w:docPartUnique/>
      </w:docPartObj>
    </w:sdtPr>
    <w:sdtEndPr>
      <w:rPr>
        <w:noProof/>
        <w:sz w:val="16"/>
        <w:szCs w:val="16"/>
      </w:rPr>
    </w:sdtEndPr>
    <w:sdtContent>
      <w:p w14:paraId="2483648D" w14:textId="77777777" w:rsidR="00B46656" w:rsidRPr="0037566A" w:rsidRDefault="00B46656" w:rsidP="00D4293D">
        <w:pPr>
          <w:pStyle w:val="Footer"/>
          <w:rPr>
            <w:sz w:val="18"/>
            <w:szCs w:val="18"/>
          </w:rPr>
        </w:pPr>
        <w:r>
          <w:rPr>
            <w:sz w:val="18"/>
            <w:szCs w:val="18"/>
          </w:rPr>
          <w:tab/>
        </w:r>
        <w:hyperlink r:id="rId1" w:history="1">
          <w:r w:rsidRPr="0037566A">
            <w:rPr>
              <w:rStyle w:val="Hyperlink"/>
              <w:sz w:val="18"/>
              <w:szCs w:val="18"/>
            </w:rPr>
            <w:t>www.communications.gov.au</w:t>
          </w:r>
        </w:hyperlink>
      </w:p>
      <w:p w14:paraId="5FB5319D" w14:textId="77777777" w:rsidR="00B46656" w:rsidRPr="00B74F9F" w:rsidRDefault="00B46656" w:rsidP="00D4293D">
        <w:pPr>
          <w:pStyle w:val="Footer"/>
          <w:tabs>
            <w:tab w:val="clear" w:pos="9026"/>
            <w:tab w:val="right" w:pos="9333"/>
          </w:tabs>
          <w:rPr>
            <w:rStyle w:val="Hyperlink"/>
            <w:color w:val="auto"/>
            <w:sz w:val="18"/>
            <w:szCs w:val="18"/>
          </w:rPr>
        </w:pPr>
        <w:r>
          <w:rPr>
            <w:sz w:val="18"/>
            <w:szCs w:val="18"/>
          </w:rPr>
          <w:t>&lt;add document title here&gt;</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1433480540"/>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7718C">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7718C">
              <w:rPr>
                <w:bCs/>
                <w:noProof/>
                <w:sz w:val="18"/>
                <w:szCs w:val="18"/>
              </w:rPr>
              <w:t>5</w:t>
            </w:r>
            <w:r w:rsidRPr="0037566A">
              <w:rPr>
                <w:bCs/>
                <w:sz w:val="18"/>
                <w:szCs w:val="18"/>
              </w:rPr>
              <w:fldChar w:fldCharType="end"/>
            </w:r>
          </w:sdtContent>
        </w:sdt>
      </w:p>
      <w:p w14:paraId="453D3D4F" w14:textId="77777777" w:rsidR="00B46656" w:rsidRPr="0051777B" w:rsidRDefault="00B46656" w:rsidP="00D4293D">
        <w:pPr>
          <w:pStyle w:val="Footer"/>
          <w:tabs>
            <w:tab w:val="clear" w:pos="9026"/>
            <w:tab w:val="right" w:pos="9333"/>
          </w:tabs>
          <w:rPr>
            <w:sz w:val="16"/>
            <w:szCs w:val="16"/>
          </w:rPr>
        </w:pPr>
        <w:r w:rsidRPr="0037566A">
          <w:rPr>
            <w:sz w:val="18"/>
            <w:szCs w:val="18"/>
          </w:rPr>
          <w:tab/>
        </w:r>
        <w:hyperlink r:id="rId3" w:history="1">
          <w:r w:rsidRPr="0037566A">
            <w:rPr>
              <w:rStyle w:val="Hyperlink"/>
              <w:sz w:val="18"/>
              <w:szCs w:val="18"/>
            </w:rPr>
            <w:t>www.classification.gov.au</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13F1B" w14:textId="77777777" w:rsidR="006C7770" w:rsidRDefault="006C7770" w:rsidP="00D5394A">
      <w:pPr>
        <w:spacing w:after="0"/>
      </w:pPr>
      <w:r>
        <w:separator/>
      </w:r>
    </w:p>
  </w:footnote>
  <w:footnote w:type="continuationSeparator" w:id="0">
    <w:p w14:paraId="7A0B063F" w14:textId="77777777" w:rsidR="006C7770" w:rsidRDefault="006C7770" w:rsidP="00D539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14E0" w14:textId="77777777" w:rsidR="006C7770" w:rsidRDefault="006C7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E91F" w14:textId="77777777" w:rsidR="00B46656" w:rsidRDefault="00B46656" w:rsidP="00D4293D">
    <w:pPr>
      <w:pStyle w:val="Header"/>
      <w:ind w:left="-1418"/>
    </w:pPr>
    <w:r>
      <w:rPr>
        <w:noProof/>
        <w:lang w:eastAsia="en-AU"/>
      </w:rPr>
      <w:drawing>
        <wp:inline distT="0" distB="0" distL="0" distR="0" wp14:anchorId="3539C42F" wp14:editId="042802D0">
          <wp:extent cx="7597322" cy="396240"/>
          <wp:effectExtent l="0" t="0" r="3810" b="3810"/>
          <wp:docPr id="5" name="Picture 5" descr="Decoration" title="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31128" cy="424081"/>
                  </a:xfrm>
                  <a:prstGeom prst="rect">
                    <a:avLst/>
                  </a:prstGeom>
                </pic:spPr>
              </pic:pic>
            </a:graphicData>
          </a:graphic>
        </wp:inline>
      </w:drawing>
    </w:r>
  </w:p>
  <w:p w14:paraId="1F850B87" w14:textId="77777777" w:rsidR="00B46656" w:rsidRPr="009A56D0" w:rsidRDefault="00B46656" w:rsidP="00D4293D">
    <w:pPr>
      <w:pStyle w:val="Header"/>
      <w:tabs>
        <w:tab w:val="clear" w:pos="9026"/>
        <w:tab w:val="right" w:pos="9333"/>
      </w:tabs>
      <w:rPr>
        <w:color w:val="07478C"/>
      </w:rPr>
    </w:pPr>
    <w:r>
      <w:rPr>
        <w:color w:val="07478C"/>
      </w:rPr>
      <w:t xml:space="preserve">Bureau of </w:t>
    </w:r>
    <w:r w:rsidRPr="009A56D0">
      <w:rPr>
        <w:color w:val="07478C"/>
      </w:rPr>
      <w:t>Communications and Arts</w:t>
    </w:r>
    <w:r>
      <w:rPr>
        <w:color w:val="07478C"/>
      </w:rPr>
      <w:t xml:space="preserve"> </w:t>
    </w:r>
    <w:r w:rsidRPr="00E44746">
      <w:rPr>
        <w:color w:val="07478C"/>
      </w:rPr>
      <w:t>Rese</w:t>
    </w:r>
    <w:r>
      <w:rPr>
        <w:color w:val="07478C"/>
      </w:rPr>
      <w:t>arch</w:t>
    </w:r>
    <w:r w:rsidRPr="009A56D0">
      <w:rPr>
        <w:color w:val="07478C"/>
      </w:rPr>
      <w:tab/>
    </w:r>
    <w:r w:rsidRPr="009A56D0">
      <w:rPr>
        <w:color w:val="07478C"/>
      </w:rPr>
      <w:tab/>
    </w:r>
    <w:r w:rsidR="00C46692">
      <w:rPr>
        <w:color w:val="07478C"/>
      </w:rPr>
      <w:t>July 2017</w:t>
    </w:r>
  </w:p>
  <w:p w14:paraId="4E17F589" w14:textId="77777777" w:rsidR="00B46656" w:rsidRDefault="00B46656" w:rsidP="00D4293D">
    <w:pPr>
      <w:pStyle w:val="Header"/>
      <w:ind w:left="-14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AEDC" w14:textId="77777777" w:rsidR="006C7770" w:rsidRDefault="006C7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94D2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AD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35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E8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88F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224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367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964A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8002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30C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05B3D"/>
    <w:multiLevelType w:val="hybridMultilevel"/>
    <w:tmpl w:val="D8689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B42C92"/>
    <w:multiLevelType w:val="hybridMultilevel"/>
    <w:tmpl w:val="847CEA2A"/>
    <w:lvl w:ilvl="0" w:tplc="CF98956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2F2D20"/>
    <w:multiLevelType w:val="hybridMultilevel"/>
    <w:tmpl w:val="1AC69F2C"/>
    <w:lvl w:ilvl="0" w:tplc="8DEAB1F2">
      <w:start w:val="1"/>
      <w:numFmt w:val="bullet"/>
      <w:pStyle w:val="Bullet"/>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A15FB9"/>
    <w:multiLevelType w:val="hybridMultilevel"/>
    <w:tmpl w:val="43742D5E"/>
    <w:lvl w:ilvl="0" w:tplc="13F4C42C">
      <w:start w:val="1"/>
      <w:numFmt w:val="bullet"/>
      <w:pStyle w:val="Bullet1"/>
      <w:lvlText w:val=""/>
      <w:lvlJc w:val="left"/>
      <w:pPr>
        <w:ind w:left="360" w:hanging="360"/>
      </w:pPr>
      <w:rPr>
        <w:rFonts w:ascii="Symbol" w:hAnsi="Symbol" w:cs="Calibri" w:hint="default"/>
        <w:caps w:val="0"/>
        <w:strike w:val="0"/>
        <w:dstrike w:val="0"/>
        <w:vanish w:val="0"/>
        <w:color w:val="auto"/>
        <w:vertAlign w:val="baseline"/>
      </w:rPr>
    </w:lvl>
    <w:lvl w:ilvl="1" w:tplc="F1ACFA4C">
      <w:start w:val="1"/>
      <w:numFmt w:val="bullet"/>
      <w:pStyle w:val="List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70"/>
    <w:rsid w:val="00097799"/>
    <w:rsid w:val="00130258"/>
    <w:rsid w:val="001472FC"/>
    <w:rsid w:val="00242500"/>
    <w:rsid w:val="0027718C"/>
    <w:rsid w:val="0030324C"/>
    <w:rsid w:val="0059623C"/>
    <w:rsid w:val="006B235F"/>
    <w:rsid w:val="006C7770"/>
    <w:rsid w:val="009D0E40"/>
    <w:rsid w:val="00AC6498"/>
    <w:rsid w:val="00AE4F02"/>
    <w:rsid w:val="00B10104"/>
    <w:rsid w:val="00B46656"/>
    <w:rsid w:val="00BB0E59"/>
    <w:rsid w:val="00BE1C92"/>
    <w:rsid w:val="00C46692"/>
    <w:rsid w:val="00CB07B4"/>
    <w:rsid w:val="00D4293D"/>
    <w:rsid w:val="00D5394A"/>
    <w:rsid w:val="00DB77F2"/>
    <w:rsid w:val="00DD5D52"/>
    <w:rsid w:val="00EA6D34"/>
    <w:rsid w:val="00ED6DDF"/>
    <w:rsid w:val="00F65D50"/>
    <w:rsid w:val="00FC0167"/>
    <w:rsid w:val="00FD3600"/>
    <w:rsid w:val="00FF3BA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6D8DB"/>
  <w15:chartTrackingRefBased/>
  <w15:docId w15:val="{6D991064-2376-49BA-BC6B-E157CE22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104"/>
    <w:pPr>
      <w:spacing w:after="240" w:line="240" w:lineRule="auto"/>
    </w:pPr>
  </w:style>
  <w:style w:type="paragraph" w:styleId="Heading1">
    <w:name w:val="heading 1"/>
    <w:basedOn w:val="Normal"/>
    <w:next w:val="Normal"/>
    <w:link w:val="Heading1Char"/>
    <w:uiPriority w:val="9"/>
    <w:qFormat/>
    <w:rsid w:val="00B10104"/>
    <w:pPr>
      <w:keepNext/>
      <w:spacing w:before="600" w:after="36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FC0167"/>
    <w:pPr>
      <w:keepNext/>
      <w:outlineLvl w:val="1"/>
    </w:pPr>
    <w:rPr>
      <w:rFonts w:asciiTheme="majorHAnsi" w:eastAsiaTheme="majorEastAsia" w:hAnsiTheme="majorHAnsi" w:cstheme="majorBidi"/>
      <w:b/>
      <w:color w:val="AB0F14"/>
      <w:sz w:val="36"/>
      <w:szCs w:val="26"/>
      <w:lang w:eastAsia="en-US"/>
    </w:rPr>
  </w:style>
  <w:style w:type="paragraph" w:styleId="Heading3">
    <w:name w:val="heading 3"/>
    <w:basedOn w:val="Normal"/>
    <w:next w:val="Normal"/>
    <w:link w:val="Heading3Char"/>
    <w:uiPriority w:val="9"/>
    <w:unhideWhenUsed/>
    <w:qFormat/>
    <w:rsid w:val="00FC0167"/>
    <w:pPr>
      <w:keepNext/>
      <w:outlineLvl w:val="2"/>
    </w:pPr>
    <w:rPr>
      <w:rFonts w:asciiTheme="majorHAnsi" w:eastAsiaTheme="majorEastAsia" w:hAnsiTheme="majorHAnsi" w:cstheme="majorBidi"/>
      <w:b/>
      <w:color w:val="113652"/>
      <w:sz w:val="28"/>
      <w:szCs w:val="24"/>
      <w:lang w:eastAsia="en-US"/>
    </w:rPr>
  </w:style>
  <w:style w:type="paragraph" w:styleId="Heading4">
    <w:name w:val="heading 4"/>
    <w:basedOn w:val="Normal"/>
    <w:next w:val="Normal"/>
    <w:link w:val="Heading4Char"/>
    <w:uiPriority w:val="9"/>
    <w:unhideWhenUsed/>
    <w:qFormat/>
    <w:rsid w:val="00FC0167"/>
    <w:pPr>
      <w:keepNext/>
      <w:spacing w:before="120" w:after="60"/>
      <w:outlineLvl w:val="3"/>
    </w:pPr>
    <w:rPr>
      <w:rFonts w:asciiTheme="majorHAnsi" w:eastAsiaTheme="majorEastAsia" w:hAnsiTheme="majorHAnsi" w:cstheme="majorBidi"/>
      <w:b/>
      <w:iCs/>
      <w:color w:val="113652"/>
      <w:sz w:val="24"/>
      <w:lang w:eastAsia="en-US"/>
    </w:rPr>
  </w:style>
  <w:style w:type="paragraph" w:styleId="Heading5">
    <w:name w:val="heading 5"/>
    <w:basedOn w:val="Normal"/>
    <w:next w:val="Normal"/>
    <w:link w:val="Heading5Char"/>
    <w:uiPriority w:val="9"/>
    <w:unhideWhenUsed/>
    <w:qFormat/>
    <w:rsid w:val="00FC0167"/>
    <w:pPr>
      <w:keepNext/>
      <w:spacing w:after="60"/>
      <w:outlineLvl w:val="4"/>
    </w:pPr>
    <w:rPr>
      <w:rFonts w:asciiTheme="majorHAnsi" w:eastAsiaTheme="majorEastAsia" w:hAnsiTheme="majorHAnsi" w:cstheme="majorBidi"/>
      <w:color w:val="113652"/>
      <w:lang w:eastAsia="en-US"/>
    </w:rPr>
  </w:style>
  <w:style w:type="paragraph" w:styleId="Heading6">
    <w:name w:val="heading 6"/>
    <w:basedOn w:val="Normal"/>
    <w:next w:val="Normal"/>
    <w:link w:val="Heading6Char"/>
    <w:uiPriority w:val="9"/>
    <w:semiHidden/>
    <w:unhideWhenUsed/>
    <w:qFormat/>
    <w:rsid w:val="00FC0167"/>
    <w:pPr>
      <w:keepNext/>
      <w:keepLines/>
      <w:spacing w:before="40" w:after="0"/>
      <w:outlineLvl w:val="5"/>
    </w:pPr>
    <w:rPr>
      <w:rFonts w:asciiTheme="majorHAnsi" w:eastAsiaTheme="majorEastAsia" w:hAnsiTheme="majorHAnsi" w:cstheme="majorBidi"/>
      <w:color w:val="1136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394A"/>
    <w:pPr>
      <w:tabs>
        <w:tab w:val="center" w:pos="4513"/>
        <w:tab w:val="right" w:pos="9026"/>
      </w:tabs>
      <w:spacing w:after="0"/>
    </w:pPr>
  </w:style>
  <w:style w:type="character" w:customStyle="1" w:styleId="HeaderChar">
    <w:name w:val="Header Char"/>
    <w:basedOn w:val="DefaultParagraphFont"/>
    <w:link w:val="Header"/>
    <w:rsid w:val="00D5394A"/>
  </w:style>
  <w:style w:type="paragraph" w:styleId="Footer">
    <w:name w:val="footer"/>
    <w:basedOn w:val="Normal"/>
    <w:link w:val="FooterChar"/>
    <w:uiPriority w:val="99"/>
    <w:unhideWhenUsed/>
    <w:rsid w:val="00D5394A"/>
    <w:pPr>
      <w:tabs>
        <w:tab w:val="center" w:pos="4513"/>
        <w:tab w:val="right" w:pos="9026"/>
      </w:tabs>
      <w:spacing w:after="0"/>
    </w:pPr>
  </w:style>
  <w:style w:type="character" w:customStyle="1" w:styleId="FooterChar">
    <w:name w:val="Footer Char"/>
    <w:basedOn w:val="DefaultParagraphFont"/>
    <w:link w:val="Footer"/>
    <w:uiPriority w:val="99"/>
    <w:rsid w:val="00D5394A"/>
  </w:style>
  <w:style w:type="character" w:styleId="Hyperlink">
    <w:name w:val="Hyperlink"/>
    <w:basedOn w:val="DefaultParagraphFont"/>
    <w:uiPriority w:val="99"/>
    <w:unhideWhenUsed/>
    <w:rsid w:val="009D0E40"/>
    <w:rPr>
      <w:color w:val="07478C"/>
      <w:u w:val="single"/>
    </w:rPr>
  </w:style>
  <w:style w:type="table" w:styleId="TableGrid">
    <w:name w:val="Table Grid"/>
    <w:basedOn w:val="TableNormal"/>
    <w:uiPriority w:val="39"/>
    <w:rsid w:val="00D539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0167"/>
    <w:rPr>
      <w:rFonts w:asciiTheme="majorHAnsi" w:eastAsiaTheme="majorEastAsia" w:hAnsiTheme="majorHAnsi" w:cstheme="majorBidi"/>
      <w:b/>
      <w:color w:val="AB0F14"/>
      <w:sz w:val="36"/>
      <w:szCs w:val="26"/>
      <w:lang w:eastAsia="en-US"/>
    </w:rPr>
  </w:style>
  <w:style w:type="character" w:customStyle="1" w:styleId="Heading3Char">
    <w:name w:val="Heading 3 Char"/>
    <w:basedOn w:val="DefaultParagraphFont"/>
    <w:link w:val="Heading3"/>
    <w:uiPriority w:val="9"/>
    <w:rsid w:val="00FC0167"/>
    <w:rPr>
      <w:rFonts w:asciiTheme="majorHAnsi" w:eastAsiaTheme="majorEastAsia" w:hAnsiTheme="majorHAnsi" w:cstheme="majorBidi"/>
      <w:b/>
      <w:color w:val="113652"/>
      <w:sz w:val="28"/>
      <w:szCs w:val="24"/>
      <w:lang w:eastAsia="en-US"/>
    </w:rPr>
  </w:style>
  <w:style w:type="paragraph" w:customStyle="1" w:styleId="Bullet">
    <w:name w:val="Bullet"/>
    <w:basedOn w:val="Normal"/>
    <w:qFormat/>
    <w:rsid w:val="00D5394A"/>
    <w:pPr>
      <w:numPr>
        <w:numId w:val="1"/>
      </w:numPr>
      <w:ind w:left="567" w:hanging="567"/>
      <w:contextualSpacing/>
    </w:pPr>
    <w:rPr>
      <w:rFonts w:eastAsiaTheme="minorHAnsi"/>
      <w:lang w:eastAsia="en-US"/>
    </w:rPr>
  </w:style>
  <w:style w:type="paragraph" w:customStyle="1" w:styleId="Tablerowcolumnheading">
    <w:name w:val="Table row/column heading"/>
    <w:basedOn w:val="Normal"/>
    <w:next w:val="Normal"/>
    <w:rsid w:val="00D5394A"/>
    <w:pPr>
      <w:spacing w:after="0"/>
    </w:pPr>
    <w:rPr>
      <w:rFonts w:eastAsia="Times New Roman" w:cs="Times New Roman"/>
      <w:b/>
      <w:bCs/>
      <w:szCs w:val="20"/>
      <w:lang w:eastAsia="en-US"/>
    </w:rPr>
  </w:style>
  <w:style w:type="paragraph" w:customStyle="1" w:styleId="Checkboxemptybulletpoint">
    <w:name w:val="Check box empty bullet point"/>
    <w:basedOn w:val="Bullet"/>
    <w:qFormat/>
    <w:rsid w:val="00FD3600"/>
    <w:pPr>
      <w:numPr>
        <w:numId w:val="2"/>
      </w:numPr>
      <w:ind w:left="567" w:hanging="567"/>
    </w:pPr>
  </w:style>
  <w:style w:type="paragraph" w:customStyle="1" w:styleId="Tableheadingrow">
    <w:name w:val="Table heading row"/>
    <w:basedOn w:val="Normal"/>
    <w:qFormat/>
    <w:rsid w:val="00242500"/>
    <w:pPr>
      <w:spacing w:after="0"/>
    </w:pPr>
    <w:rPr>
      <w:rFonts w:eastAsia="Times New Roman" w:cs="Times New Roman"/>
      <w:b/>
      <w:bCs/>
      <w:szCs w:val="20"/>
      <w:lang w:eastAsia="en-US"/>
    </w:rPr>
  </w:style>
  <w:style w:type="paragraph" w:customStyle="1" w:styleId="Tablerowtext">
    <w:name w:val="Table row text"/>
    <w:basedOn w:val="Normal"/>
    <w:qFormat/>
    <w:rsid w:val="00242500"/>
    <w:pPr>
      <w:spacing w:after="0"/>
      <w:contextualSpacing/>
    </w:pPr>
    <w:rPr>
      <w:rFonts w:eastAsia="Times New Roman" w:cs="Times New Roman"/>
      <w:szCs w:val="20"/>
      <w:lang w:eastAsia="en-US"/>
    </w:rPr>
  </w:style>
  <w:style w:type="character" w:customStyle="1" w:styleId="Heading1Char">
    <w:name w:val="Heading 1 Char"/>
    <w:basedOn w:val="DefaultParagraphFont"/>
    <w:link w:val="Heading1"/>
    <w:uiPriority w:val="9"/>
    <w:rsid w:val="00B10104"/>
    <w:rPr>
      <w:rFonts w:asciiTheme="majorHAnsi" w:eastAsiaTheme="majorEastAsia" w:hAnsiTheme="majorHAnsi" w:cstheme="majorBidi"/>
      <w:b/>
      <w:color w:val="0F293A"/>
      <w:sz w:val="48"/>
      <w:szCs w:val="32"/>
      <w:lang w:eastAsia="en-US"/>
    </w:rPr>
  </w:style>
  <w:style w:type="character" w:customStyle="1" w:styleId="Heading4Char">
    <w:name w:val="Heading 4 Char"/>
    <w:basedOn w:val="DefaultParagraphFont"/>
    <w:link w:val="Heading4"/>
    <w:uiPriority w:val="9"/>
    <w:rsid w:val="00FC0167"/>
    <w:rPr>
      <w:rFonts w:asciiTheme="majorHAnsi" w:eastAsiaTheme="majorEastAsia" w:hAnsiTheme="majorHAnsi" w:cstheme="majorBidi"/>
      <w:b/>
      <w:iCs/>
      <w:color w:val="113652"/>
      <w:sz w:val="24"/>
      <w:lang w:eastAsia="en-US"/>
    </w:rPr>
  </w:style>
  <w:style w:type="paragraph" w:customStyle="1" w:styleId="Tablefigureheading">
    <w:name w:val="Table/figure heading"/>
    <w:basedOn w:val="Normal"/>
    <w:qFormat/>
    <w:rsid w:val="00FC0167"/>
    <w:pPr>
      <w:keepNext/>
      <w:spacing w:before="40" w:after="0"/>
    </w:pPr>
    <w:rPr>
      <w:rFonts w:asciiTheme="majorHAnsi" w:eastAsiaTheme="minorHAnsi" w:hAnsiTheme="majorHAnsi"/>
      <w:b/>
      <w:color w:val="113652"/>
      <w:lang w:eastAsia="en-US"/>
    </w:rPr>
  </w:style>
  <w:style w:type="paragraph" w:customStyle="1" w:styleId="BCARtitle">
    <w:name w:val="BCAR title"/>
    <w:basedOn w:val="Normal"/>
    <w:qFormat/>
    <w:rsid w:val="00B10104"/>
    <w:pPr>
      <w:spacing w:after="0"/>
    </w:pPr>
    <w:rPr>
      <w:rFonts w:ascii="Gafata" w:eastAsiaTheme="minorHAnsi" w:hAnsi="Gafata"/>
      <w:sz w:val="48"/>
      <w:szCs w:val="48"/>
      <w:lang w:eastAsia="en-US"/>
    </w:rPr>
  </w:style>
  <w:style w:type="paragraph" w:customStyle="1" w:styleId="Normal-monthyearforcoverpage">
    <w:name w:val="Normal - month/year for cover page"/>
    <w:basedOn w:val="Normal"/>
    <w:next w:val="Normal"/>
    <w:rsid w:val="00B10104"/>
    <w:rPr>
      <w:rFonts w:eastAsiaTheme="minorHAnsi"/>
      <w:sz w:val="24"/>
      <w:szCs w:val="24"/>
      <w:lang w:eastAsia="en-US"/>
    </w:rPr>
  </w:style>
  <w:style w:type="paragraph" w:styleId="Subtitle">
    <w:name w:val="Subtitle"/>
    <w:basedOn w:val="Normal-monthyearforcoverpage"/>
    <w:next w:val="Normal"/>
    <w:link w:val="SubtitleChar"/>
    <w:uiPriority w:val="11"/>
    <w:qFormat/>
    <w:rsid w:val="00B10104"/>
    <w:rPr>
      <w:b/>
      <w:bCs/>
      <w:sz w:val="28"/>
      <w:szCs w:val="28"/>
    </w:rPr>
  </w:style>
  <w:style w:type="character" w:customStyle="1" w:styleId="SubtitleChar">
    <w:name w:val="Subtitle Char"/>
    <w:basedOn w:val="DefaultParagraphFont"/>
    <w:link w:val="Subtitle"/>
    <w:uiPriority w:val="11"/>
    <w:rsid w:val="00B10104"/>
    <w:rPr>
      <w:rFonts w:eastAsiaTheme="minorHAnsi"/>
      <w:b/>
      <w:bCs/>
      <w:sz w:val="28"/>
      <w:szCs w:val="28"/>
      <w:lang w:eastAsia="en-US"/>
    </w:rPr>
  </w:style>
  <w:style w:type="character" w:customStyle="1" w:styleId="Heading5Char">
    <w:name w:val="Heading 5 Char"/>
    <w:basedOn w:val="DefaultParagraphFont"/>
    <w:link w:val="Heading5"/>
    <w:uiPriority w:val="9"/>
    <w:rsid w:val="00FC0167"/>
    <w:rPr>
      <w:rFonts w:asciiTheme="majorHAnsi" w:eastAsiaTheme="majorEastAsia" w:hAnsiTheme="majorHAnsi" w:cstheme="majorBidi"/>
      <w:color w:val="113652"/>
      <w:lang w:eastAsia="en-US"/>
    </w:rPr>
  </w:style>
  <w:style w:type="paragraph" w:styleId="TOC1">
    <w:name w:val="toc 1"/>
    <w:basedOn w:val="Normal"/>
    <w:next w:val="Normal"/>
    <w:autoRedefine/>
    <w:uiPriority w:val="39"/>
    <w:unhideWhenUsed/>
    <w:rsid w:val="00FC0167"/>
    <w:pPr>
      <w:spacing w:before="120" w:after="0"/>
    </w:pPr>
    <w:rPr>
      <w:rFonts w:eastAsiaTheme="minorHAnsi"/>
      <w:b/>
      <w:color w:val="07478C"/>
      <w:sz w:val="24"/>
      <w:lang w:eastAsia="en-US"/>
    </w:rPr>
  </w:style>
  <w:style w:type="paragraph" w:styleId="TOC2">
    <w:name w:val="toc 2"/>
    <w:basedOn w:val="Normal"/>
    <w:next w:val="Normal"/>
    <w:autoRedefine/>
    <w:uiPriority w:val="39"/>
    <w:unhideWhenUsed/>
    <w:rsid w:val="00FC0167"/>
    <w:pPr>
      <w:spacing w:after="0"/>
      <w:ind w:left="567"/>
    </w:pPr>
    <w:rPr>
      <w:rFonts w:eastAsiaTheme="minorHAnsi"/>
      <w:lang w:eastAsia="en-US"/>
    </w:rPr>
  </w:style>
  <w:style w:type="paragraph" w:styleId="TOC3">
    <w:name w:val="toc 3"/>
    <w:basedOn w:val="Normal"/>
    <w:next w:val="Normal"/>
    <w:autoRedefine/>
    <w:uiPriority w:val="39"/>
    <w:unhideWhenUsed/>
    <w:rsid w:val="00FC0167"/>
    <w:pPr>
      <w:spacing w:after="0"/>
      <w:ind w:left="1134"/>
    </w:pPr>
    <w:rPr>
      <w:rFonts w:eastAsiaTheme="minorHAnsi"/>
      <w:lang w:eastAsia="en-US"/>
    </w:rPr>
  </w:style>
  <w:style w:type="paragraph" w:customStyle="1" w:styleId="Heading2-notshowingincontentsindocument">
    <w:name w:val="Heading 2 - not showing in contents in document"/>
    <w:basedOn w:val="Normal"/>
    <w:next w:val="Normal"/>
    <w:rsid w:val="00FC0167"/>
    <w:pPr>
      <w:spacing w:before="120"/>
      <w:outlineLvl w:val="1"/>
    </w:pPr>
    <w:rPr>
      <w:rFonts w:asciiTheme="majorHAnsi" w:eastAsiaTheme="minorHAnsi" w:hAnsiTheme="majorHAnsi"/>
      <w:b/>
      <w:sz w:val="36"/>
      <w:szCs w:val="36"/>
      <w:lang w:eastAsia="en-US"/>
    </w:rPr>
  </w:style>
  <w:style w:type="paragraph" w:customStyle="1" w:styleId="Heading3-notshowingincontentsindocument">
    <w:name w:val="Heading 3 - not showing in contents in document"/>
    <w:basedOn w:val="Normal"/>
    <w:next w:val="Normal"/>
    <w:rsid w:val="00FC0167"/>
    <w:pPr>
      <w:spacing w:before="120" w:after="60"/>
      <w:outlineLvl w:val="2"/>
    </w:pPr>
    <w:rPr>
      <w:rFonts w:eastAsiaTheme="minorHAnsi"/>
      <w:sz w:val="26"/>
      <w:szCs w:val="26"/>
      <w:lang w:eastAsia="en-US"/>
    </w:rPr>
  </w:style>
  <w:style w:type="paragraph" w:styleId="TableofFigures">
    <w:name w:val="table of figures"/>
    <w:basedOn w:val="Normal"/>
    <w:next w:val="Normal"/>
    <w:uiPriority w:val="99"/>
    <w:rsid w:val="00FC0167"/>
    <w:pPr>
      <w:spacing w:before="240" w:after="0"/>
    </w:pPr>
    <w:rPr>
      <w:rFonts w:ascii="Calibri" w:eastAsiaTheme="minorHAnsi" w:hAnsi="Calibri"/>
      <w:lang w:eastAsia="en-US"/>
    </w:rPr>
  </w:style>
  <w:style w:type="character" w:customStyle="1" w:styleId="Heading6Char">
    <w:name w:val="Heading 6 Char"/>
    <w:basedOn w:val="DefaultParagraphFont"/>
    <w:link w:val="Heading6"/>
    <w:uiPriority w:val="9"/>
    <w:semiHidden/>
    <w:rsid w:val="00FC0167"/>
    <w:rPr>
      <w:rFonts w:asciiTheme="majorHAnsi" w:eastAsiaTheme="majorEastAsia" w:hAnsiTheme="majorHAnsi" w:cstheme="majorBidi"/>
      <w:color w:val="113652"/>
    </w:rPr>
  </w:style>
  <w:style w:type="paragraph" w:customStyle="1" w:styleId="Bullet1">
    <w:name w:val="Bullet 1"/>
    <w:basedOn w:val="ListBullet2"/>
    <w:qFormat/>
    <w:rsid w:val="00ED6DDF"/>
    <w:pPr>
      <w:numPr>
        <w:numId w:val="13"/>
      </w:numPr>
      <w:tabs>
        <w:tab w:val="num" w:pos="926"/>
      </w:tabs>
      <w:ind w:left="567" w:hanging="567"/>
    </w:pPr>
    <w:rPr>
      <w:rFonts w:ascii="Calibri" w:eastAsia="Calibri" w:hAnsi="Calibri" w:cs="Calibri"/>
      <w:w w:val="105"/>
      <w:kern w:val="40"/>
      <w:lang w:eastAsia="en-US"/>
    </w:rPr>
  </w:style>
  <w:style w:type="paragraph" w:styleId="ListBullet">
    <w:name w:val="List Bullet"/>
    <w:aliases w:val="List Bullet 1"/>
    <w:basedOn w:val="Normal"/>
    <w:uiPriority w:val="99"/>
    <w:unhideWhenUsed/>
    <w:rsid w:val="00ED6DDF"/>
    <w:pPr>
      <w:numPr>
        <w:ilvl w:val="1"/>
        <w:numId w:val="13"/>
      </w:numPr>
      <w:spacing w:after="120"/>
      <w:contextualSpacing/>
    </w:pPr>
    <w:rPr>
      <w:rFonts w:ascii="Calibri" w:eastAsia="Calibri" w:hAnsi="Calibri" w:cs="Calibri"/>
      <w:w w:val="105"/>
      <w:kern w:val="40"/>
      <w:lang w:eastAsia="en-US"/>
    </w:rPr>
  </w:style>
  <w:style w:type="paragraph" w:styleId="ListBullet2">
    <w:name w:val="List Bullet 2"/>
    <w:basedOn w:val="Normal"/>
    <w:uiPriority w:val="99"/>
    <w:semiHidden/>
    <w:unhideWhenUsed/>
    <w:rsid w:val="00ED6DDF"/>
    <w:pPr>
      <w:numPr>
        <w:numId w:val="4"/>
      </w:numPr>
      <w:contextualSpacing/>
    </w:pPr>
  </w:style>
  <w:style w:type="paragraph" w:styleId="ListParagraph">
    <w:name w:val="List Paragraph"/>
    <w:basedOn w:val="Normal"/>
    <w:uiPriority w:val="34"/>
    <w:qFormat/>
    <w:rsid w:val="00ED6DDF"/>
    <w:pPr>
      <w:numPr>
        <w:numId w:val="15"/>
      </w:numPr>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ativecommons.org/licenses/by/3.0/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jpg@01CF53E2.F599DED0"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92DBDBB6F4446A722A7B0E9B2479D" ma:contentTypeVersion="0" ma:contentTypeDescription="Create a new document." ma:contentTypeScope="" ma:versionID="b39ee8ddd148c6ee02eb89103e91b38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43D9-6D00-4869-9E68-1DBF913D676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6532321-3AED-4096-94AE-471D645741EC}">
  <ds:schemaRefs>
    <ds:schemaRef ds:uri="http://schemas.microsoft.com/sharepoint/v3/contenttype/forms"/>
  </ds:schemaRefs>
</ds:datastoreItem>
</file>

<file path=customXml/itemProps3.xml><?xml version="1.0" encoding="utf-8"?>
<ds:datastoreItem xmlns:ds="http://schemas.openxmlformats.org/officeDocument/2006/customXml" ds:itemID="{CCD05D30-D1B0-4204-A906-F81741A9F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B61C26-2882-4C44-BD89-B9B96409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B975FBEA.dotm</Template>
  <TotalTime>1</TotalTime>
  <Pages>5</Pages>
  <Words>857</Words>
  <Characters>4890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bcar-terms-reference-review-efficacy-code-conduct-australian-copyright-collecting-societies.docx</vt:lpstr>
    </vt:vector>
  </TitlesOfParts>
  <Company>Department of Communications</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bcar-terms-reference-review-efficacy-code-conduct-australian-copyright-collecting-societies.docx</dc:title>
  <dc:subject/>
  <dc:creator>Department of Communications and the Arts</dc:creator>
  <cp:keywords/>
  <dc:description/>
  <cp:lastModifiedBy>Owers, Cameron</cp:lastModifiedBy>
  <cp:revision>2</cp:revision>
  <cp:lastPrinted>2017-07-24T05:50:00Z</cp:lastPrinted>
  <dcterms:created xsi:type="dcterms:W3CDTF">2018-02-14T03:19:00Z</dcterms:created>
  <dcterms:modified xsi:type="dcterms:W3CDTF">2018-02-14T03:19:00Z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0x0101003FC92DBDBB6F4446A722A7B0E9B2479D</vt:lpwstr>
  </property>
  <property fmtid="{D5CDD505-2E9C-101B-9397-08002B2CF9AE}" pid="3" name="TrimRevisionNumber">
    <vt:i4>1</vt:i4>
  </property>
</Properties>
</file>