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94842" w14:textId="24054197" w:rsidR="00F06E14" w:rsidRPr="008D2483" w:rsidRDefault="008D2483" w:rsidP="00A51D1A">
      <w:pPr>
        <w:pStyle w:val="ACMAReportTitle"/>
        <w:rPr>
          <w:rFonts w:cs="Arial"/>
        </w:rPr>
      </w:pPr>
      <w:bookmarkStart w:id="0" w:name="_GoBack"/>
      <w:bookmarkEnd w:id="0"/>
      <w:r w:rsidRPr="008D2483">
        <w:rPr>
          <w:rFonts w:cs="Arial"/>
        </w:rPr>
        <w:t>Equipment rules</w:t>
      </w:r>
    </w:p>
    <w:p w14:paraId="37F60297" w14:textId="372967A0" w:rsidR="008D2483" w:rsidRPr="008D2483" w:rsidRDefault="008D2483" w:rsidP="008D2483">
      <w:pPr>
        <w:pStyle w:val="ACMAReportSubTitle"/>
        <w:rPr>
          <w:rFonts w:cs="Arial"/>
        </w:rPr>
      </w:pPr>
      <w:r w:rsidRPr="008D2483">
        <w:rPr>
          <w:rFonts w:cs="Arial"/>
        </w:rPr>
        <w:t>Supporting material for</w:t>
      </w:r>
      <w:r w:rsidR="002A1B2E">
        <w:rPr>
          <w:rFonts w:cs="Arial"/>
        </w:rPr>
        <w:t xml:space="preserve"> the</w:t>
      </w:r>
      <w:r w:rsidRPr="008D2483">
        <w:rPr>
          <w:rFonts w:cs="Arial"/>
        </w:rPr>
        <w:t xml:space="preserve"> </w:t>
      </w:r>
      <w:r w:rsidR="009B6ACD" w:rsidRPr="008D2483">
        <w:rPr>
          <w:rFonts w:cs="Arial"/>
        </w:rPr>
        <w:t xml:space="preserve">Exposure Draft </w:t>
      </w:r>
      <w:r w:rsidR="009B6ACD">
        <w:rPr>
          <w:rFonts w:cs="Arial"/>
        </w:rPr>
        <w:t xml:space="preserve">of the </w:t>
      </w:r>
      <w:r w:rsidRPr="008D2483">
        <w:rPr>
          <w:rFonts w:cs="Arial"/>
        </w:rPr>
        <w:t>Radiocommunications Bill</w:t>
      </w:r>
      <w:r w:rsidR="009B6ACD">
        <w:rPr>
          <w:rFonts w:cs="Arial"/>
        </w:rPr>
        <w:t xml:space="preserve"> 2017</w:t>
      </w:r>
      <w:r w:rsidRPr="008D2483">
        <w:rPr>
          <w:rFonts w:cs="Arial"/>
        </w:rPr>
        <w:t xml:space="preserve"> </w:t>
      </w:r>
    </w:p>
    <w:p w14:paraId="462200DB" w14:textId="6A3BFCBC" w:rsidR="00C97736" w:rsidRPr="008D2483" w:rsidRDefault="00593999" w:rsidP="00593999">
      <w:pPr>
        <w:pStyle w:val="ACMAReportDate"/>
        <w:spacing w:after="720"/>
        <w:rPr>
          <w:rFonts w:cs="Arial"/>
        </w:rPr>
      </w:pPr>
      <w:r>
        <w:rPr>
          <w:rFonts w:cs="Arial"/>
        </w:rPr>
        <w:t>MAY</w:t>
      </w:r>
      <w:r w:rsidR="00A705A8" w:rsidRPr="002E469B">
        <w:rPr>
          <w:rFonts w:cs="Arial"/>
        </w:rPr>
        <w:t xml:space="preserve"> </w:t>
      </w:r>
      <w:r w:rsidR="009B6ACD" w:rsidRPr="002E469B">
        <w:rPr>
          <w:rFonts w:cs="Arial"/>
        </w:rPr>
        <w:t>2017</w:t>
      </w:r>
    </w:p>
    <w:p w14:paraId="2187B896" w14:textId="77777777" w:rsidR="00C97736" w:rsidRPr="008D2483" w:rsidRDefault="00C97736" w:rsidP="0041071D">
      <w:pPr>
        <w:rPr>
          <w:rFonts w:cs="Arial"/>
        </w:rPr>
        <w:sectPr w:rsidR="00C97736" w:rsidRPr="008D2483" w:rsidSect="004F556E">
          <w:headerReference w:type="default" r:id="rId11"/>
          <w:footerReference w:type="default" r:id="rId12"/>
          <w:headerReference w:type="first" r:id="rId13"/>
          <w:pgSz w:w="11906" w:h="16838" w:code="9"/>
          <w:pgMar w:top="3924" w:right="1797" w:bottom="1440" w:left="1134" w:header="709" w:footer="454" w:gutter="0"/>
          <w:cols w:space="708"/>
          <w:docGrid w:linePitch="360"/>
        </w:sectPr>
      </w:pPr>
    </w:p>
    <w:p w14:paraId="6EC122F6" w14:textId="77777777" w:rsidR="0005011A" w:rsidRPr="008D2483" w:rsidRDefault="0005011A" w:rsidP="00FC07B9">
      <w:pPr>
        <w:pStyle w:val="ACMACorporateAddressHeader"/>
        <w:rPr>
          <w:rFonts w:cs="Arial"/>
        </w:rPr>
      </w:pPr>
      <w:r w:rsidRPr="008D2483">
        <w:rPr>
          <w:rFonts w:cs="Arial"/>
        </w:rPr>
        <w:lastRenderedPageBreak/>
        <w:t>Canberra</w:t>
      </w:r>
    </w:p>
    <w:p w14:paraId="02673AB8" w14:textId="77777777" w:rsidR="0005011A" w:rsidRPr="008D2483" w:rsidRDefault="0005011A" w:rsidP="00FC07B9">
      <w:pPr>
        <w:pStyle w:val="ACMACorporateAddresses"/>
        <w:rPr>
          <w:rFonts w:cs="Arial"/>
        </w:rPr>
      </w:pPr>
      <w:r w:rsidRPr="008D2483">
        <w:rPr>
          <w:rFonts w:cs="Arial"/>
        </w:rPr>
        <w:t xml:space="preserve">Red Building </w:t>
      </w:r>
      <w:r w:rsidRPr="008D2483">
        <w:rPr>
          <w:rFonts w:cs="Arial"/>
        </w:rPr>
        <w:br/>
        <w:t>Benjamin Offices</w:t>
      </w:r>
      <w:r w:rsidRPr="008D2483">
        <w:rPr>
          <w:rFonts w:cs="Arial"/>
        </w:rPr>
        <w:br/>
        <w:t xml:space="preserve">Chan Street </w:t>
      </w:r>
      <w:r w:rsidRPr="008D2483">
        <w:rPr>
          <w:rFonts w:cs="Arial"/>
        </w:rPr>
        <w:br/>
        <w:t>Belconnen ACT</w:t>
      </w:r>
    </w:p>
    <w:p w14:paraId="4D44685B" w14:textId="77777777" w:rsidR="0005011A" w:rsidRPr="008D2483" w:rsidRDefault="0005011A" w:rsidP="00FC07B9">
      <w:pPr>
        <w:pStyle w:val="ACMACorporateAddresses"/>
        <w:rPr>
          <w:rFonts w:cs="Arial"/>
        </w:rPr>
      </w:pPr>
      <w:r w:rsidRPr="008D2483">
        <w:rPr>
          <w:rFonts w:cs="Arial"/>
        </w:rPr>
        <w:t>PO Box 78</w:t>
      </w:r>
      <w:r w:rsidRPr="008D2483">
        <w:rPr>
          <w:rFonts w:cs="Arial"/>
        </w:rPr>
        <w:br/>
        <w:t>Belconnen ACT 2616</w:t>
      </w:r>
    </w:p>
    <w:p w14:paraId="546437C9" w14:textId="77777777" w:rsidR="00FE1823" w:rsidRPr="008D2483" w:rsidRDefault="0005011A" w:rsidP="00FC07B9">
      <w:pPr>
        <w:pStyle w:val="ACMACorporateAddresses"/>
        <w:rPr>
          <w:rFonts w:cs="Arial"/>
        </w:rPr>
      </w:pPr>
      <w:r w:rsidRPr="008D2483">
        <w:rPr>
          <w:rFonts w:cs="Arial"/>
        </w:rPr>
        <w:t>T</w:t>
      </w:r>
      <w:r w:rsidR="00537604" w:rsidRPr="008D2483">
        <w:rPr>
          <w:rFonts w:cs="Arial"/>
        </w:rPr>
        <w:tab/>
      </w:r>
      <w:r w:rsidRPr="008D2483">
        <w:rPr>
          <w:rFonts w:cs="Arial"/>
        </w:rPr>
        <w:t>+61 2 6219 5555</w:t>
      </w:r>
      <w:r w:rsidRPr="008D2483">
        <w:rPr>
          <w:rFonts w:cs="Arial"/>
        </w:rPr>
        <w:br/>
        <w:t>F</w:t>
      </w:r>
      <w:r w:rsidR="00537604" w:rsidRPr="008D2483">
        <w:rPr>
          <w:rFonts w:cs="Arial"/>
        </w:rPr>
        <w:tab/>
      </w:r>
      <w:r w:rsidRPr="008D2483">
        <w:rPr>
          <w:rFonts w:cs="Arial"/>
        </w:rPr>
        <w:t>+61 2 6219 5353</w:t>
      </w:r>
    </w:p>
    <w:p w14:paraId="23BD0ADD" w14:textId="77777777" w:rsidR="0005011A" w:rsidRPr="008D2483" w:rsidRDefault="0005011A" w:rsidP="00FC07B9">
      <w:pPr>
        <w:pStyle w:val="ACMACorporateAddressHeader"/>
        <w:rPr>
          <w:rFonts w:cs="Arial"/>
        </w:rPr>
      </w:pPr>
      <w:r w:rsidRPr="008D2483">
        <w:rPr>
          <w:rFonts w:cs="Arial"/>
        </w:rPr>
        <w:t>Melbourne</w:t>
      </w:r>
    </w:p>
    <w:p w14:paraId="265688E4" w14:textId="77777777" w:rsidR="0005011A" w:rsidRPr="008D2483" w:rsidRDefault="0005011A" w:rsidP="00FC07B9">
      <w:pPr>
        <w:pStyle w:val="ACMACorporateAddresses"/>
        <w:rPr>
          <w:rFonts w:cs="Arial"/>
        </w:rPr>
      </w:pPr>
      <w:r w:rsidRPr="008D2483">
        <w:rPr>
          <w:rFonts w:cs="Arial"/>
        </w:rPr>
        <w:t xml:space="preserve">Level 32 </w:t>
      </w:r>
      <w:r w:rsidRPr="008D2483">
        <w:rPr>
          <w:rFonts w:cs="Arial"/>
        </w:rPr>
        <w:br/>
        <w:t>Melbourne Central Tower</w:t>
      </w:r>
      <w:r w:rsidRPr="008D2483">
        <w:rPr>
          <w:rFonts w:cs="Arial"/>
        </w:rPr>
        <w:br/>
        <w:t xml:space="preserve">360 Elizabeth Street </w:t>
      </w:r>
      <w:r w:rsidR="008C10F4" w:rsidRPr="008D2483">
        <w:rPr>
          <w:rFonts w:cs="Arial"/>
        </w:rPr>
        <w:br/>
      </w:r>
      <w:r w:rsidRPr="008D2483">
        <w:rPr>
          <w:rFonts w:cs="Arial"/>
        </w:rPr>
        <w:t>Melbourne VIC</w:t>
      </w:r>
    </w:p>
    <w:p w14:paraId="60CE6D0A" w14:textId="77777777" w:rsidR="0005011A" w:rsidRPr="008D2483" w:rsidRDefault="0005011A" w:rsidP="00FC07B9">
      <w:pPr>
        <w:pStyle w:val="ACMACorporateAddresses"/>
        <w:rPr>
          <w:rFonts w:cs="Arial"/>
        </w:rPr>
      </w:pPr>
      <w:r w:rsidRPr="008D2483">
        <w:rPr>
          <w:rFonts w:cs="Arial"/>
        </w:rPr>
        <w:t>PO Box 13112</w:t>
      </w:r>
      <w:r w:rsidRPr="008D2483">
        <w:rPr>
          <w:rFonts w:cs="Arial"/>
        </w:rPr>
        <w:br/>
        <w:t xml:space="preserve">Law Courts </w:t>
      </w:r>
      <w:r w:rsidRPr="008D2483">
        <w:rPr>
          <w:rFonts w:cs="Arial"/>
        </w:rPr>
        <w:br/>
        <w:t>Melbourne VIC 8010</w:t>
      </w:r>
    </w:p>
    <w:p w14:paraId="6A3A0D25" w14:textId="77777777" w:rsidR="0005011A" w:rsidRPr="008D2483" w:rsidRDefault="0005011A" w:rsidP="00FC07B9">
      <w:pPr>
        <w:pStyle w:val="ACMACorporateAddresses"/>
        <w:rPr>
          <w:rFonts w:cs="Arial"/>
        </w:rPr>
      </w:pPr>
      <w:r w:rsidRPr="008D2483">
        <w:rPr>
          <w:rFonts w:cs="Arial"/>
        </w:rPr>
        <w:t>T</w:t>
      </w:r>
      <w:r w:rsidR="00140318" w:rsidRPr="008D2483">
        <w:rPr>
          <w:rFonts w:cs="Arial"/>
        </w:rPr>
        <w:tab/>
      </w:r>
      <w:r w:rsidRPr="008D2483">
        <w:rPr>
          <w:rFonts w:cs="Arial"/>
        </w:rPr>
        <w:t>+61 3 9963 6800</w:t>
      </w:r>
      <w:r w:rsidRPr="008D2483">
        <w:rPr>
          <w:rFonts w:cs="Arial"/>
        </w:rPr>
        <w:br/>
        <w:t>F</w:t>
      </w:r>
      <w:r w:rsidR="00140318" w:rsidRPr="008D2483">
        <w:rPr>
          <w:rFonts w:cs="Arial"/>
        </w:rPr>
        <w:tab/>
      </w:r>
      <w:r w:rsidRPr="008D2483">
        <w:rPr>
          <w:rFonts w:cs="Arial"/>
        </w:rPr>
        <w:t>+61 3 9963 6899</w:t>
      </w:r>
    </w:p>
    <w:p w14:paraId="50172F97" w14:textId="77777777" w:rsidR="0005011A" w:rsidRPr="008D2483" w:rsidRDefault="0005011A" w:rsidP="00FC07B9">
      <w:pPr>
        <w:pStyle w:val="ACMACorporateAddressHeader"/>
        <w:rPr>
          <w:rFonts w:cs="Arial"/>
        </w:rPr>
      </w:pPr>
      <w:r w:rsidRPr="008D2483">
        <w:rPr>
          <w:rFonts w:cs="Arial"/>
        </w:rPr>
        <w:t>Sydney</w:t>
      </w:r>
    </w:p>
    <w:p w14:paraId="248983F5" w14:textId="77777777" w:rsidR="0005011A" w:rsidRPr="008D2483" w:rsidRDefault="0005011A" w:rsidP="00FC07B9">
      <w:pPr>
        <w:pStyle w:val="ACMACorporateAddresses"/>
        <w:rPr>
          <w:rFonts w:cs="Arial"/>
        </w:rPr>
      </w:pPr>
      <w:r w:rsidRPr="008D2483">
        <w:rPr>
          <w:rFonts w:cs="Arial"/>
        </w:rPr>
        <w:t xml:space="preserve">Level 5 </w:t>
      </w:r>
      <w:r w:rsidRPr="008D2483">
        <w:rPr>
          <w:rFonts w:cs="Arial"/>
        </w:rPr>
        <w:br/>
        <w:t>The Bay Centre</w:t>
      </w:r>
      <w:r w:rsidRPr="008D2483">
        <w:rPr>
          <w:rFonts w:cs="Arial"/>
        </w:rPr>
        <w:br/>
        <w:t xml:space="preserve">65 Pirrama Road </w:t>
      </w:r>
      <w:r w:rsidRPr="008D2483">
        <w:rPr>
          <w:rFonts w:cs="Arial"/>
        </w:rPr>
        <w:br/>
        <w:t>Pyrmont NSW</w:t>
      </w:r>
    </w:p>
    <w:p w14:paraId="4A980826" w14:textId="77777777" w:rsidR="0005011A" w:rsidRPr="008D2483" w:rsidRDefault="0005011A" w:rsidP="00FC07B9">
      <w:pPr>
        <w:pStyle w:val="ACMACorporateAddresses"/>
        <w:rPr>
          <w:rFonts w:cs="Arial"/>
        </w:rPr>
      </w:pPr>
      <w:r w:rsidRPr="008D2483">
        <w:rPr>
          <w:rFonts w:cs="Arial"/>
        </w:rPr>
        <w:t>PO Box Q500</w:t>
      </w:r>
      <w:r w:rsidRPr="008D2483">
        <w:rPr>
          <w:rFonts w:cs="Arial"/>
        </w:rPr>
        <w:br/>
        <w:t xml:space="preserve">Queen Victoria Building </w:t>
      </w:r>
      <w:r w:rsidRPr="008D2483">
        <w:rPr>
          <w:rFonts w:cs="Arial"/>
        </w:rPr>
        <w:br/>
        <w:t>NSW 1230</w:t>
      </w:r>
    </w:p>
    <w:p w14:paraId="457D71D8" w14:textId="77777777" w:rsidR="0005011A" w:rsidRPr="008D2483" w:rsidRDefault="0005011A" w:rsidP="00FC07B9">
      <w:pPr>
        <w:pStyle w:val="ACMACorporateAddresses"/>
        <w:rPr>
          <w:rFonts w:cs="Arial"/>
        </w:rPr>
      </w:pPr>
      <w:r w:rsidRPr="008D2483">
        <w:rPr>
          <w:rFonts w:cs="Arial"/>
        </w:rPr>
        <w:t>T</w:t>
      </w:r>
      <w:r w:rsidR="00140318" w:rsidRPr="008D2483">
        <w:rPr>
          <w:rFonts w:cs="Arial"/>
        </w:rPr>
        <w:tab/>
      </w:r>
      <w:r w:rsidRPr="008D2483">
        <w:rPr>
          <w:rFonts w:cs="Arial"/>
        </w:rPr>
        <w:t>+61 2 9334 7700</w:t>
      </w:r>
      <w:r w:rsidR="00140318" w:rsidRPr="008D2483">
        <w:rPr>
          <w:rFonts w:cs="Arial"/>
        </w:rPr>
        <w:t xml:space="preserve"> or</w:t>
      </w:r>
      <w:r w:rsidRPr="008D2483">
        <w:rPr>
          <w:rFonts w:cs="Arial"/>
        </w:rPr>
        <w:t xml:space="preserve"> 1800 226 667</w:t>
      </w:r>
      <w:r w:rsidRPr="008D2483">
        <w:rPr>
          <w:rFonts w:cs="Arial"/>
        </w:rPr>
        <w:br/>
        <w:t>F</w:t>
      </w:r>
      <w:r w:rsidR="00140318" w:rsidRPr="008D2483">
        <w:rPr>
          <w:rFonts w:cs="Arial"/>
        </w:rPr>
        <w:tab/>
      </w:r>
      <w:r w:rsidRPr="008D2483">
        <w:rPr>
          <w:rFonts w:cs="Arial"/>
        </w:rPr>
        <w:t>+61 2 9334 7799</w:t>
      </w:r>
    </w:p>
    <w:p w14:paraId="788555B7" w14:textId="77777777" w:rsidR="00140318" w:rsidRPr="008D2483" w:rsidRDefault="00140318" w:rsidP="00FC07B9">
      <w:pPr>
        <w:pStyle w:val="ACMACopyrightHeader"/>
        <w:rPr>
          <w:rFonts w:cs="Arial"/>
        </w:rPr>
      </w:pPr>
      <w:r w:rsidRPr="008D2483">
        <w:rPr>
          <w:rFonts w:cs="Arial"/>
        </w:rPr>
        <w:t>Copyright notice</w:t>
      </w:r>
    </w:p>
    <w:p w14:paraId="2E363D0D" w14:textId="77777777" w:rsidR="00140318" w:rsidRPr="008D2483" w:rsidRDefault="00623FF9" w:rsidP="00623FF9">
      <w:pPr>
        <w:pStyle w:val="ACMACClogo"/>
        <w:rPr>
          <w:rFonts w:cs="Arial"/>
        </w:rPr>
      </w:pPr>
      <w:r w:rsidRPr="008D2483">
        <w:rPr>
          <w:rFonts w:cs="Arial"/>
          <w:noProof/>
        </w:rPr>
        <w:drawing>
          <wp:inline distT="0" distB="0" distL="0" distR="0" wp14:anchorId="5331FAAB" wp14:editId="3F6A4272">
            <wp:extent cx="838200" cy="295275"/>
            <wp:effectExtent l="0" t="0" r="0" b="0"/>
            <wp:docPr id="1" name="Picture 1" title="Creative Commons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4"/>
                    </pic:cNvPr>
                    <pic:cNvPicPr>
                      <a:picLocks noChangeAspect="1" noChangeArrowheads="1"/>
                    </pic:cNvPicPr>
                  </pic:nvPicPr>
                  <pic:blipFill>
                    <a:blip r:embed="rId15" cstate="print"/>
                    <a:srcRect/>
                    <a:stretch>
                      <a:fillRect/>
                    </a:stretch>
                  </pic:blipFill>
                  <pic:spPr bwMode="auto">
                    <a:xfrm>
                      <a:off x="0" y="0"/>
                      <a:ext cx="838200" cy="295275"/>
                    </a:xfrm>
                    <a:prstGeom prst="rect">
                      <a:avLst/>
                    </a:prstGeom>
                    <a:noFill/>
                  </pic:spPr>
                </pic:pic>
              </a:graphicData>
            </a:graphic>
          </wp:inline>
        </w:drawing>
      </w:r>
    </w:p>
    <w:p w14:paraId="71D0E107" w14:textId="77777777" w:rsidR="00140318" w:rsidRPr="008D2483" w:rsidRDefault="008867D1" w:rsidP="00FC07B9">
      <w:pPr>
        <w:pStyle w:val="ACMACorporateAddresses"/>
        <w:rPr>
          <w:rStyle w:val="Hyperlink"/>
          <w:rFonts w:cs="Arial"/>
        </w:rPr>
      </w:pPr>
      <w:hyperlink r:id="rId16" w:tooltip="Creative Commons Licenses" w:history="1">
        <w:r w:rsidR="00140318" w:rsidRPr="008D2483">
          <w:rPr>
            <w:rStyle w:val="Hyperlink"/>
            <w:rFonts w:cs="Arial"/>
          </w:rPr>
          <w:t>http://creativecommons.org/licenses/by/3.0/au/</w:t>
        </w:r>
      </w:hyperlink>
    </w:p>
    <w:p w14:paraId="7555CA6B" w14:textId="77777777" w:rsidR="00140318" w:rsidRPr="008D2483" w:rsidRDefault="00140318" w:rsidP="00FC07B9">
      <w:pPr>
        <w:pStyle w:val="ACMACorporateAddresses"/>
        <w:rPr>
          <w:rFonts w:cs="Arial"/>
        </w:rPr>
      </w:pPr>
      <w:r w:rsidRPr="008D2483">
        <w:rPr>
          <w:rFonts w:cs="Arial"/>
        </w:rPr>
        <w:t xml:space="preserve">With the exception of coats of arms, logos, emblems, images, other third-party material or devices protected by a trademark, this content is licensed under the Creative Commons Australia Attribution 3.0 Licence. </w:t>
      </w:r>
    </w:p>
    <w:p w14:paraId="774354E4" w14:textId="5FF64C1C" w:rsidR="00140318" w:rsidRPr="008D2483" w:rsidRDefault="00C34A05" w:rsidP="00FC07B9">
      <w:pPr>
        <w:pStyle w:val="ACMACorporateAddresses"/>
        <w:rPr>
          <w:rFonts w:cs="Arial"/>
        </w:rPr>
      </w:pPr>
      <w:r w:rsidRPr="008D2483">
        <w:rPr>
          <w:rFonts w:cs="Arial"/>
        </w:rPr>
        <w:t>We request attribution as</w:t>
      </w:r>
      <w:r w:rsidR="00140318" w:rsidRPr="008D2483">
        <w:rPr>
          <w:rFonts w:cs="Arial"/>
        </w:rPr>
        <w:t xml:space="preserve"> © Commonwealth of Australia (Australian Communic</w:t>
      </w:r>
      <w:r w:rsidR="00B6003C" w:rsidRPr="008D2483">
        <w:rPr>
          <w:rFonts w:cs="Arial"/>
        </w:rPr>
        <w:t>ations and Media Authority) 201</w:t>
      </w:r>
      <w:r w:rsidR="0000268B">
        <w:rPr>
          <w:rFonts w:cs="Arial"/>
        </w:rPr>
        <w:t>7</w:t>
      </w:r>
      <w:r w:rsidR="00140318" w:rsidRPr="008D2483">
        <w:rPr>
          <w:rFonts w:cs="Arial"/>
        </w:rPr>
        <w:t>.</w:t>
      </w:r>
    </w:p>
    <w:p w14:paraId="6D1CAFED" w14:textId="77777777" w:rsidR="00140318" w:rsidRPr="008D2483" w:rsidRDefault="00140318" w:rsidP="00FC07B9">
      <w:pPr>
        <w:pStyle w:val="ACMACorporateAddresses"/>
        <w:rPr>
          <w:rFonts w:cs="Arial"/>
        </w:rPr>
      </w:pPr>
      <w:r w:rsidRPr="008D2483">
        <w:rPr>
          <w:rFonts w:cs="Arial"/>
        </w:rPr>
        <w:t>All other rights are reserved.</w:t>
      </w:r>
    </w:p>
    <w:p w14:paraId="0096161B" w14:textId="77777777" w:rsidR="00140318" w:rsidRPr="008D2483" w:rsidRDefault="00140318" w:rsidP="00FC07B9">
      <w:pPr>
        <w:pStyle w:val="ACMACorporateAddresses"/>
        <w:rPr>
          <w:rFonts w:cs="Arial"/>
        </w:rPr>
      </w:pPr>
      <w:r w:rsidRPr="008D2483">
        <w:rPr>
          <w:rFonts w:cs="Arial"/>
        </w:rP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18DAB8CB" w14:textId="77777777" w:rsidR="00140318" w:rsidRPr="008D2483" w:rsidRDefault="00140318" w:rsidP="00FC07B9">
      <w:pPr>
        <w:pStyle w:val="ACMACorporateAddresses"/>
        <w:rPr>
          <w:rFonts w:cs="Arial"/>
        </w:rPr>
      </w:pPr>
      <w:r w:rsidRPr="008D2483">
        <w:rPr>
          <w:rFonts w:cs="Arial"/>
        </w:rPr>
        <w:t>Written enquiries may be sent to:</w:t>
      </w:r>
    </w:p>
    <w:p w14:paraId="19EFF2F4" w14:textId="77777777" w:rsidR="00D16FE3" w:rsidRPr="008D2483" w:rsidRDefault="00140318" w:rsidP="00D16FE3">
      <w:pPr>
        <w:pStyle w:val="ACMACorporateAddresses"/>
        <w:rPr>
          <w:rStyle w:val="Hyperlink"/>
          <w:rFonts w:cs="Arial"/>
        </w:rPr>
      </w:pPr>
      <w:r w:rsidRPr="008D2483">
        <w:rPr>
          <w:rFonts w:cs="Arial"/>
        </w:rPr>
        <w:t>Manager, Editorial and Design</w:t>
      </w:r>
      <w:r w:rsidR="00623FF9" w:rsidRPr="008D2483">
        <w:rPr>
          <w:rFonts w:cs="Arial"/>
        </w:rPr>
        <w:br/>
      </w:r>
      <w:r w:rsidRPr="008D2483">
        <w:rPr>
          <w:rFonts w:cs="Arial"/>
        </w:rPr>
        <w:t>PO Box 13112</w:t>
      </w:r>
      <w:r w:rsidR="00623FF9" w:rsidRPr="008D2483">
        <w:rPr>
          <w:rFonts w:cs="Arial"/>
        </w:rPr>
        <w:br/>
      </w:r>
      <w:r w:rsidRPr="008D2483">
        <w:rPr>
          <w:rFonts w:cs="Arial"/>
        </w:rPr>
        <w:t>Law Courts</w:t>
      </w:r>
      <w:r w:rsidR="00623FF9" w:rsidRPr="008D2483">
        <w:rPr>
          <w:rFonts w:cs="Arial"/>
        </w:rPr>
        <w:br/>
      </w:r>
      <w:r w:rsidRPr="008D2483">
        <w:rPr>
          <w:rFonts w:cs="Arial"/>
        </w:rPr>
        <w:t>Melbourne VIC 8010</w:t>
      </w:r>
      <w:r w:rsidR="00623FF9" w:rsidRPr="008D2483">
        <w:rPr>
          <w:rFonts w:cs="Arial"/>
        </w:rPr>
        <w:br/>
      </w:r>
      <w:r w:rsidRPr="008D2483">
        <w:rPr>
          <w:rFonts w:cs="Arial"/>
        </w:rPr>
        <w:t xml:space="preserve">Email: </w:t>
      </w:r>
      <w:hyperlink r:id="rId17" w:history="1">
        <w:r w:rsidRPr="008D2483">
          <w:rPr>
            <w:rStyle w:val="Hyperlink"/>
            <w:rFonts w:cs="Arial"/>
          </w:rPr>
          <w:t>candinfo@acma.gov.au</w:t>
        </w:r>
      </w:hyperlink>
    </w:p>
    <w:p w14:paraId="25484A41" w14:textId="77777777" w:rsidR="00D16FE3" w:rsidRPr="008D2483" w:rsidRDefault="00D16FE3" w:rsidP="00D16FE3">
      <w:pPr>
        <w:pStyle w:val="ACMACorporateAddresses"/>
        <w:rPr>
          <w:rStyle w:val="Hyperlink"/>
          <w:rFonts w:cs="Arial"/>
        </w:rPr>
      </w:pPr>
    </w:p>
    <w:p w14:paraId="61556602" w14:textId="77777777" w:rsidR="00D16FE3" w:rsidRPr="008D2483" w:rsidRDefault="00D16FE3" w:rsidP="00D16FE3">
      <w:pPr>
        <w:pStyle w:val="ACMACorporateAddresses"/>
        <w:rPr>
          <w:rFonts w:cs="Arial"/>
        </w:rPr>
        <w:sectPr w:rsidR="00D16FE3" w:rsidRPr="008D2483">
          <w:headerReference w:type="even" r:id="rId18"/>
          <w:headerReference w:type="default" r:id="rId19"/>
          <w:footerReference w:type="even" r:id="rId20"/>
          <w:footerReference w:type="default" r:id="rId21"/>
          <w:pgSz w:w="11906" w:h="16838" w:code="9"/>
          <w:pgMar w:top="3924" w:right="1797" w:bottom="697" w:left="1134" w:header="709" w:footer="119" w:gutter="0"/>
          <w:cols w:space="708"/>
          <w:docGrid w:linePitch="360"/>
        </w:sectPr>
      </w:pPr>
    </w:p>
    <w:p w14:paraId="18D32830" w14:textId="77777777" w:rsidR="00230E2B" w:rsidRDefault="00230E2B">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\h \z \t "ACMA_ExecSummaryHeading,1" </w:instrText>
      </w:r>
      <w:r>
        <w:rPr>
          <w:rFonts w:cs="Arial"/>
          <w:b w:val="0"/>
        </w:rPr>
        <w:fldChar w:fldCharType="separate"/>
      </w:r>
      <w:hyperlink w:anchor="_Toc481058285" w:history="1">
        <w:r w:rsidRPr="009231AD">
          <w:rPr>
            <w:rStyle w:val="Hyperlink"/>
          </w:rPr>
          <w:t>Purpose of the ACMA supporting material</w:t>
        </w:r>
        <w:r>
          <w:rPr>
            <w:webHidden/>
          </w:rPr>
          <w:tab/>
        </w:r>
        <w:r>
          <w:rPr>
            <w:webHidden/>
          </w:rPr>
          <w:fldChar w:fldCharType="begin"/>
        </w:r>
        <w:r>
          <w:rPr>
            <w:webHidden/>
          </w:rPr>
          <w:instrText xml:space="preserve"> PAGEREF _Toc481058285 \h </w:instrText>
        </w:r>
        <w:r>
          <w:rPr>
            <w:webHidden/>
          </w:rPr>
        </w:r>
        <w:r>
          <w:rPr>
            <w:webHidden/>
          </w:rPr>
          <w:fldChar w:fldCharType="separate"/>
        </w:r>
        <w:r>
          <w:rPr>
            <w:webHidden/>
          </w:rPr>
          <w:t>1</w:t>
        </w:r>
        <w:r>
          <w:rPr>
            <w:webHidden/>
          </w:rPr>
          <w:fldChar w:fldCharType="end"/>
        </w:r>
      </w:hyperlink>
    </w:p>
    <w:p w14:paraId="77B96EB5" w14:textId="77777777" w:rsidR="00230E2B" w:rsidRDefault="008867D1">
      <w:pPr>
        <w:pStyle w:val="TOC1"/>
        <w:rPr>
          <w:rFonts w:asciiTheme="minorHAnsi" w:eastAsiaTheme="minorEastAsia" w:hAnsiTheme="minorHAnsi" w:cstheme="minorBidi"/>
          <w:b w:val="0"/>
          <w:spacing w:val="0"/>
          <w:sz w:val="22"/>
          <w:szCs w:val="22"/>
        </w:rPr>
      </w:pPr>
      <w:hyperlink w:anchor="_Toc481058286" w:history="1">
        <w:r w:rsidR="00230E2B" w:rsidRPr="009231AD">
          <w:rPr>
            <w:rStyle w:val="Hyperlink"/>
          </w:rPr>
          <w:t>Existing arrangements</w:t>
        </w:r>
        <w:r w:rsidR="00230E2B">
          <w:rPr>
            <w:webHidden/>
          </w:rPr>
          <w:tab/>
        </w:r>
        <w:r w:rsidR="00230E2B">
          <w:rPr>
            <w:webHidden/>
          </w:rPr>
          <w:fldChar w:fldCharType="begin"/>
        </w:r>
        <w:r w:rsidR="00230E2B">
          <w:rPr>
            <w:webHidden/>
          </w:rPr>
          <w:instrText xml:space="preserve"> PAGEREF _Toc481058286 \h </w:instrText>
        </w:r>
        <w:r w:rsidR="00230E2B">
          <w:rPr>
            <w:webHidden/>
          </w:rPr>
        </w:r>
        <w:r w:rsidR="00230E2B">
          <w:rPr>
            <w:webHidden/>
          </w:rPr>
          <w:fldChar w:fldCharType="separate"/>
        </w:r>
        <w:r w:rsidR="00230E2B">
          <w:rPr>
            <w:webHidden/>
          </w:rPr>
          <w:t>2</w:t>
        </w:r>
        <w:r w:rsidR="00230E2B">
          <w:rPr>
            <w:webHidden/>
          </w:rPr>
          <w:fldChar w:fldCharType="end"/>
        </w:r>
      </w:hyperlink>
    </w:p>
    <w:p w14:paraId="1FD91B94" w14:textId="77777777" w:rsidR="00230E2B" w:rsidRDefault="008867D1">
      <w:pPr>
        <w:pStyle w:val="TOC2"/>
        <w:rPr>
          <w:rFonts w:asciiTheme="minorHAnsi" w:eastAsiaTheme="minorEastAsia" w:hAnsiTheme="minorHAnsi" w:cstheme="minorBidi"/>
          <w:spacing w:val="0"/>
          <w:sz w:val="22"/>
          <w:szCs w:val="22"/>
        </w:rPr>
      </w:pPr>
      <w:hyperlink w:anchor="_Toc481058287" w:history="1">
        <w:r w:rsidR="00230E2B" w:rsidRPr="009231AD">
          <w:rPr>
            <w:rStyle w:val="Hyperlink"/>
          </w:rPr>
          <w:t>Technical standards</w:t>
        </w:r>
        <w:r w:rsidR="00230E2B">
          <w:rPr>
            <w:webHidden/>
          </w:rPr>
          <w:tab/>
        </w:r>
        <w:r w:rsidR="00230E2B">
          <w:rPr>
            <w:webHidden/>
          </w:rPr>
          <w:fldChar w:fldCharType="begin"/>
        </w:r>
        <w:r w:rsidR="00230E2B">
          <w:rPr>
            <w:webHidden/>
          </w:rPr>
          <w:instrText xml:space="preserve"> PAGEREF _Toc481058287 \h </w:instrText>
        </w:r>
        <w:r w:rsidR="00230E2B">
          <w:rPr>
            <w:webHidden/>
          </w:rPr>
        </w:r>
        <w:r w:rsidR="00230E2B">
          <w:rPr>
            <w:webHidden/>
          </w:rPr>
          <w:fldChar w:fldCharType="separate"/>
        </w:r>
        <w:r w:rsidR="00230E2B">
          <w:rPr>
            <w:webHidden/>
          </w:rPr>
          <w:t>2</w:t>
        </w:r>
        <w:r w:rsidR="00230E2B">
          <w:rPr>
            <w:webHidden/>
          </w:rPr>
          <w:fldChar w:fldCharType="end"/>
        </w:r>
      </w:hyperlink>
    </w:p>
    <w:p w14:paraId="6703C020" w14:textId="77777777" w:rsidR="00230E2B" w:rsidRDefault="008867D1">
      <w:pPr>
        <w:pStyle w:val="TOC2"/>
        <w:rPr>
          <w:rFonts w:asciiTheme="minorHAnsi" w:eastAsiaTheme="minorEastAsia" w:hAnsiTheme="minorHAnsi" w:cstheme="minorBidi"/>
          <w:spacing w:val="0"/>
          <w:sz w:val="22"/>
          <w:szCs w:val="22"/>
        </w:rPr>
      </w:pPr>
      <w:hyperlink w:anchor="_Toc481058288" w:history="1">
        <w:r w:rsidR="00230E2B" w:rsidRPr="009231AD">
          <w:rPr>
            <w:rStyle w:val="Hyperlink"/>
          </w:rPr>
          <w:t>Other provisions relating to supply and operation</w:t>
        </w:r>
        <w:r w:rsidR="00230E2B">
          <w:rPr>
            <w:webHidden/>
          </w:rPr>
          <w:tab/>
        </w:r>
        <w:r w:rsidR="00230E2B">
          <w:rPr>
            <w:webHidden/>
          </w:rPr>
          <w:fldChar w:fldCharType="begin"/>
        </w:r>
        <w:r w:rsidR="00230E2B">
          <w:rPr>
            <w:webHidden/>
          </w:rPr>
          <w:instrText xml:space="preserve"> PAGEREF _Toc481058288 \h </w:instrText>
        </w:r>
        <w:r w:rsidR="00230E2B">
          <w:rPr>
            <w:webHidden/>
          </w:rPr>
        </w:r>
        <w:r w:rsidR="00230E2B">
          <w:rPr>
            <w:webHidden/>
          </w:rPr>
          <w:fldChar w:fldCharType="separate"/>
        </w:r>
        <w:r w:rsidR="00230E2B">
          <w:rPr>
            <w:webHidden/>
          </w:rPr>
          <w:t>2</w:t>
        </w:r>
        <w:r w:rsidR="00230E2B">
          <w:rPr>
            <w:webHidden/>
          </w:rPr>
          <w:fldChar w:fldCharType="end"/>
        </w:r>
      </w:hyperlink>
    </w:p>
    <w:p w14:paraId="15EE70C8" w14:textId="77777777" w:rsidR="00230E2B" w:rsidRDefault="008867D1">
      <w:pPr>
        <w:pStyle w:val="TOC2"/>
        <w:rPr>
          <w:rFonts w:asciiTheme="minorHAnsi" w:eastAsiaTheme="minorEastAsia" w:hAnsiTheme="minorHAnsi" w:cstheme="minorBidi"/>
          <w:spacing w:val="0"/>
          <w:sz w:val="22"/>
          <w:szCs w:val="22"/>
        </w:rPr>
      </w:pPr>
      <w:hyperlink w:anchor="_Toc481058289" w:history="1">
        <w:r w:rsidR="00230E2B" w:rsidRPr="009231AD">
          <w:rPr>
            <w:rStyle w:val="Hyperlink"/>
          </w:rPr>
          <w:t>Changes to supply models</w:t>
        </w:r>
        <w:r w:rsidR="00230E2B">
          <w:rPr>
            <w:webHidden/>
          </w:rPr>
          <w:tab/>
        </w:r>
        <w:r w:rsidR="00230E2B">
          <w:rPr>
            <w:webHidden/>
          </w:rPr>
          <w:fldChar w:fldCharType="begin"/>
        </w:r>
        <w:r w:rsidR="00230E2B">
          <w:rPr>
            <w:webHidden/>
          </w:rPr>
          <w:instrText xml:space="preserve"> PAGEREF _Toc481058289 \h </w:instrText>
        </w:r>
        <w:r w:rsidR="00230E2B">
          <w:rPr>
            <w:webHidden/>
          </w:rPr>
        </w:r>
        <w:r w:rsidR="00230E2B">
          <w:rPr>
            <w:webHidden/>
          </w:rPr>
          <w:fldChar w:fldCharType="separate"/>
        </w:r>
        <w:r w:rsidR="00230E2B">
          <w:rPr>
            <w:webHidden/>
          </w:rPr>
          <w:t>3</w:t>
        </w:r>
        <w:r w:rsidR="00230E2B">
          <w:rPr>
            <w:webHidden/>
          </w:rPr>
          <w:fldChar w:fldCharType="end"/>
        </w:r>
      </w:hyperlink>
    </w:p>
    <w:p w14:paraId="7769645F" w14:textId="77777777" w:rsidR="00230E2B" w:rsidRDefault="008867D1">
      <w:pPr>
        <w:pStyle w:val="TOC1"/>
        <w:rPr>
          <w:rFonts w:asciiTheme="minorHAnsi" w:eastAsiaTheme="minorEastAsia" w:hAnsiTheme="minorHAnsi" w:cstheme="minorBidi"/>
          <w:b w:val="0"/>
          <w:spacing w:val="0"/>
          <w:sz w:val="22"/>
          <w:szCs w:val="22"/>
        </w:rPr>
      </w:pPr>
      <w:hyperlink w:anchor="_Toc481058290" w:history="1">
        <w:r w:rsidR="00230E2B" w:rsidRPr="009231AD">
          <w:rPr>
            <w:rStyle w:val="Hyperlink"/>
          </w:rPr>
          <w:t>Radiocommunications Bill 2017</w:t>
        </w:r>
        <w:r w:rsidR="00230E2B">
          <w:rPr>
            <w:webHidden/>
          </w:rPr>
          <w:tab/>
        </w:r>
        <w:r w:rsidR="00230E2B">
          <w:rPr>
            <w:webHidden/>
          </w:rPr>
          <w:fldChar w:fldCharType="begin"/>
        </w:r>
        <w:r w:rsidR="00230E2B">
          <w:rPr>
            <w:webHidden/>
          </w:rPr>
          <w:instrText xml:space="preserve"> PAGEREF _Toc481058290 \h </w:instrText>
        </w:r>
        <w:r w:rsidR="00230E2B">
          <w:rPr>
            <w:webHidden/>
          </w:rPr>
        </w:r>
        <w:r w:rsidR="00230E2B">
          <w:rPr>
            <w:webHidden/>
          </w:rPr>
          <w:fldChar w:fldCharType="separate"/>
        </w:r>
        <w:r w:rsidR="00230E2B">
          <w:rPr>
            <w:webHidden/>
          </w:rPr>
          <w:t>5</w:t>
        </w:r>
        <w:r w:rsidR="00230E2B">
          <w:rPr>
            <w:webHidden/>
          </w:rPr>
          <w:fldChar w:fldCharType="end"/>
        </w:r>
      </w:hyperlink>
    </w:p>
    <w:p w14:paraId="213C87CD" w14:textId="77777777" w:rsidR="00230E2B" w:rsidRDefault="008867D1">
      <w:pPr>
        <w:pStyle w:val="TOC2"/>
        <w:rPr>
          <w:rFonts w:asciiTheme="minorHAnsi" w:eastAsiaTheme="minorEastAsia" w:hAnsiTheme="minorHAnsi" w:cstheme="minorBidi"/>
          <w:spacing w:val="0"/>
          <w:sz w:val="22"/>
          <w:szCs w:val="22"/>
        </w:rPr>
      </w:pPr>
      <w:hyperlink w:anchor="_Toc481058291" w:history="1">
        <w:r w:rsidR="00230E2B" w:rsidRPr="009231AD">
          <w:rPr>
            <w:rStyle w:val="Hyperlink"/>
          </w:rPr>
          <w:t>Proposed approach of equipment rules</w:t>
        </w:r>
        <w:r w:rsidR="00230E2B">
          <w:rPr>
            <w:webHidden/>
          </w:rPr>
          <w:tab/>
        </w:r>
        <w:r w:rsidR="00230E2B">
          <w:rPr>
            <w:webHidden/>
          </w:rPr>
          <w:fldChar w:fldCharType="begin"/>
        </w:r>
        <w:r w:rsidR="00230E2B">
          <w:rPr>
            <w:webHidden/>
          </w:rPr>
          <w:instrText xml:space="preserve"> PAGEREF _Toc481058291 \h </w:instrText>
        </w:r>
        <w:r w:rsidR="00230E2B">
          <w:rPr>
            <w:webHidden/>
          </w:rPr>
        </w:r>
        <w:r w:rsidR="00230E2B">
          <w:rPr>
            <w:webHidden/>
          </w:rPr>
          <w:fldChar w:fldCharType="separate"/>
        </w:r>
        <w:r w:rsidR="00230E2B">
          <w:rPr>
            <w:webHidden/>
          </w:rPr>
          <w:t>5</w:t>
        </w:r>
        <w:r w:rsidR="00230E2B">
          <w:rPr>
            <w:webHidden/>
          </w:rPr>
          <w:fldChar w:fldCharType="end"/>
        </w:r>
      </w:hyperlink>
    </w:p>
    <w:p w14:paraId="2A327D8B" w14:textId="77777777" w:rsidR="00230E2B" w:rsidRDefault="008867D1">
      <w:pPr>
        <w:pStyle w:val="TOC2"/>
        <w:rPr>
          <w:rFonts w:asciiTheme="minorHAnsi" w:eastAsiaTheme="minorEastAsia" w:hAnsiTheme="minorHAnsi" w:cstheme="minorBidi"/>
          <w:spacing w:val="0"/>
          <w:sz w:val="22"/>
          <w:szCs w:val="22"/>
        </w:rPr>
      </w:pPr>
      <w:hyperlink w:anchor="_Toc481058292" w:history="1">
        <w:r w:rsidR="00230E2B" w:rsidRPr="009231AD">
          <w:rPr>
            <w:rStyle w:val="Hyperlink"/>
          </w:rPr>
          <w:t>Responsible supplier</w:t>
        </w:r>
        <w:r w:rsidR="00230E2B">
          <w:rPr>
            <w:webHidden/>
          </w:rPr>
          <w:tab/>
        </w:r>
        <w:r w:rsidR="00230E2B">
          <w:rPr>
            <w:webHidden/>
          </w:rPr>
          <w:fldChar w:fldCharType="begin"/>
        </w:r>
        <w:r w:rsidR="00230E2B">
          <w:rPr>
            <w:webHidden/>
          </w:rPr>
          <w:instrText xml:space="preserve"> PAGEREF _Toc481058292 \h </w:instrText>
        </w:r>
        <w:r w:rsidR="00230E2B">
          <w:rPr>
            <w:webHidden/>
          </w:rPr>
        </w:r>
        <w:r w:rsidR="00230E2B">
          <w:rPr>
            <w:webHidden/>
          </w:rPr>
          <w:fldChar w:fldCharType="separate"/>
        </w:r>
        <w:r w:rsidR="00230E2B">
          <w:rPr>
            <w:webHidden/>
          </w:rPr>
          <w:t>6</w:t>
        </w:r>
        <w:r w:rsidR="00230E2B">
          <w:rPr>
            <w:webHidden/>
          </w:rPr>
          <w:fldChar w:fldCharType="end"/>
        </w:r>
      </w:hyperlink>
    </w:p>
    <w:p w14:paraId="6E070E91" w14:textId="77777777" w:rsidR="00230E2B" w:rsidRDefault="008867D1">
      <w:pPr>
        <w:pStyle w:val="TOC2"/>
        <w:rPr>
          <w:rFonts w:asciiTheme="minorHAnsi" w:eastAsiaTheme="minorEastAsia" w:hAnsiTheme="minorHAnsi" w:cstheme="minorBidi"/>
          <w:spacing w:val="0"/>
          <w:sz w:val="22"/>
          <w:szCs w:val="22"/>
        </w:rPr>
      </w:pPr>
      <w:hyperlink w:anchor="_Toc481058293" w:history="1">
        <w:r w:rsidR="00230E2B" w:rsidRPr="009231AD">
          <w:rPr>
            <w:rStyle w:val="Hyperlink"/>
          </w:rPr>
          <w:t>Technical standards</w:t>
        </w:r>
        <w:r w:rsidR="00230E2B">
          <w:rPr>
            <w:webHidden/>
          </w:rPr>
          <w:tab/>
        </w:r>
        <w:r w:rsidR="00230E2B">
          <w:rPr>
            <w:webHidden/>
          </w:rPr>
          <w:fldChar w:fldCharType="begin"/>
        </w:r>
        <w:r w:rsidR="00230E2B">
          <w:rPr>
            <w:webHidden/>
          </w:rPr>
          <w:instrText xml:space="preserve"> PAGEREF _Toc481058293 \h </w:instrText>
        </w:r>
        <w:r w:rsidR="00230E2B">
          <w:rPr>
            <w:webHidden/>
          </w:rPr>
        </w:r>
        <w:r w:rsidR="00230E2B">
          <w:rPr>
            <w:webHidden/>
          </w:rPr>
          <w:fldChar w:fldCharType="separate"/>
        </w:r>
        <w:r w:rsidR="00230E2B">
          <w:rPr>
            <w:webHidden/>
          </w:rPr>
          <w:t>6</w:t>
        </w:r>
        <w:r w:rsidR="00230E2B">
          <w:rPr>
            <w:webHidden/>
          </w:rPr>
          <w:fldChar w:fldCharType="end"/>
        </w:r>
      </w:hyperlink>
    </w:p>
    <w:p w14:paraId="1FC6BF0C" w14:textId="77777777" w:rsidR="00230E2B" w:rsidRDefault="008867D1">
      <w:pPr>
        <w:pStyle w:val="TOC2"/>
        <w:rPr>
          <w:rFonts w:asciiTheme="minorHAnsi" w:eastAsiaTheme="minorEastAsia" w:hAnsiTheme="minorHAnsi" w:cstheme="minorBidi"/>
          <w:spacing w:val="0"/>
          <w:sz w:val="22"/>
          <w:szCs w:val="22"/>
        </w:rPr>
      </w:pPr>
      <w:hyperlink w:anchor="_Toc481058294" w:history="1">
        <w:r w:rsidR="00230E2B" w:rsidRPr="009231AD">
          <w:rPr>
            <w:rStyle w:val="Hyperlink"/>
          </w:rPr>
          <w:t>Record-keeping requirements</w:t>
        </w:r>
        <w:r w:rsidR="00230E2B">
          <w:rPr>
            <w:webHidden/>
          </w:rPr>
          <w:tab/>
        </w:r>
        <w:r w:rsidR="00230E2B">
          <w:rPr>
            <w:webHidden/>
          </w:rPr>
          <w:fldChar w:fldCharType="begin"/>
        </w:r>
        <w:r w:rsidR="00230E2B">
          <w:rPr>
            <w:webHidden/>
          </w:rPr>
          <w:instrText xml:space="preserve"> PAGEREF _Toc481058294 \h </w:instrText>
        </w:r>
        <w:r w:rsidR="00230E2B">
          <w:rPr>
            <w:webHidden/>
          </w:rPr>
        </w:r>
        <w:r w:rsidR="00230E2B">
          <w:rPr>
            <w:webHidden/>
          </w:rPr>
          <w:fldChar w:fldCharType="separate"/>
        </w:r>
        <w:r w:rsidR="00230E2B">
          <w:rPr>
            <w:webHidden/>
          </w:rPr>
          <w:t>7</w:t>
        </w:r>
        <w:r w:rsidR="00230E2B">
          <w:rPr>
            <w:webHidden/>
          </w:rPr>
          <w:fldChar w:fldCharType="end"/>
        </w:r>
      </w:hyperlink>
    </w:p>
    <w:p w14:paraId="269BF844" w14:textId="77777777" w:rsidR="00230E2B" w:rsidRDefault="008867D1">
      <w:pPr>
        <w:pStyle w:val="TOC2"/>
        <w:rPr>
          <w:rFonts w:asciiTheme="minorHAnsi" w:eastAsiaTheme="minorEastAsia" w:hAnsiTheme="minorHAnsi" w:cstheme="minorBidi"/>
          <w:spacing w:val="0"/>
          <w:sz w:val="22"/>
          <w:szCs w:val="22"/>
        </w:rPr>
      </w:pPr>
      <w:hyperlink w:anchor="_Toc481058295" w:history="1">
        <w:r w:rsidR="00230E2B" w:rsidRPr="009231AD">
          <w:rPr>
            <w:rStyle w:val="Hyperlink"/>
          </w:rPr>
          <w:t>Relationship between equipment rules and spectrum authorisations</w:t>
        </w:r>
        <w:r w:rsidR="00230E2B">
          <w:rPr>
            <w:webHidden/>
          </w:rPr>
          <w:tab/>
        </w:r>
        <w:r w:rsidR="00230E2B">
          <w:rPr>
            <w:webHidden/>
          </w:rPr>
          <w:fldChar w:fldCharType="begin"/>
        </w:r>
        <w:r w:rsidR="00230E2B">
          <w:rPr>
            <w:webHidden/>
          </w:rPr>
          <w:instrText xml:space="preserve"> PAGEREF _Toc481058295 \h </w:instrText>
        </w:r>
        <w:r w:rsidR="00230E2B">
          <w:rPr>
            <w:webHidden/>
          </w:rPr>
        </w:r>
        <w:r w:rsidR="00230E2B">
          <w:rPr>
            <w:webHidden/>
          </w:rPr>
          <w:fldChar w:fldCharType="separate"/>
        </w:r>
        <w:r w:rsidR="00230E2B">
          <w:rPr>
            <w:webHidden/>
          </w:rPr>
          <w:t>7</w:t>
        </w:r>
        <w:r w:rsidR="00230E2B">
          <w:rPr>
            <w:webHidden/>
          </w:rPr>
          <w:fldChar w:fldCharType="end"/>
        </w:r>
      </w:hyperlink>
    </w:p>
    <w:p w14:paraId="4890186D" w14:textId="77777777" w:rsidR="00230E2B" w:rsidRDefault="008867D1">
      <w:pPr>
        <w:pStyle w:val="TOC2"/>
        <w:rPr>
          <w:rFonts w:asciiTheme="minorHAnsi" w:eastAsiaTheme="minorEastAsia" w:hAnsiTheme="minorHAnsi" w:cstheme="minorBidi"/>
          <w:spacing w:val="0"/>
          <w:sz w:val="22"/>
          <w:szCs w:val="22"/>
        </w:rPr>
      </w:pPr>
      <w:hyperlink w:anchor="_Toc481058296" w:history="1">
        <w:r w:rsidR="00230E2B" w:rsidRPr="009231AD">
          <w:rPr>
            <w:rStyle w:val="Hyperlink"/>
          </w:rPr>
          <w:t>EME requirements</w:t>
        </w:r>
        <w:r w:rsidR="00230E2B">
          <w:rPr>
            <w:webHidden/>
          </w:rPr>
          <w:tab/>
        </w:r>
        <w:r w:rsidR="00230E2B">
          <w:rPr>
            <w:webHidden/>
          </w:rPr>
          <w:fldChar w:fldCharType="begin"/>
        </w:r>
        <w:r w:rsidR="00230E2B">
          <w:rPr>
            <w:webHidden/>
          </w:rPr>
          <w:instrText xml:space="preserve"> PAGEREF _Toc481058296 \h </w:instrText>
        </w:r>
        <w:r w:rsidR="00230E2B">
          <w:rPr>
            <w:webHidden/>
          </w:rPr>
        </w:r>
        <w:r w:rsidR="00230E2B">
          <w:rPr>
            <w:webHidden/>
          </w:rPr>
          <w:fldChar w:fldCharType="separate"/>
        </w:r>
        <w:r w:rsidR="00230E2B">
          <w:rPr>
            <w:webHidden/>
          </w:rPr>
          <w:t>7</w:t>
        </w:r>
        <w:r w:rsidR="00230E2B">
          <w:rPr>
            <w:webHidden/>
          </w:rPr>
          <w:fldChar w:fldCharType="end"/>
        </w:r>
      </w:hyperlink>
    </w:p>
    <w:p w14:paraId="5B05F1A0" w14:textId="77777777" w:rsidR="00230E2B" w:rsidRDefault="008867D1">
      <w:pPr>
        <w:pStyle w:val="TOC2"/>
        <w:rPr>
          <w:rFonts w:asciiTheme="minorHAnsi" w:eastAsiaTheme="minorEastAsia" w:hAnsiTheme="minorHAnsi" w:cstheme="minorBidi"/>
          <w:spacing w:val="0"/>
          <w:sz w:val="22"/>
          <w:szCs w:val="22"/>
        </w:rPr>
      </w:pPr>
      <w:hyperlink w:anchor="_Toc481058297" w:history="1">
        <w:r w:rsidR="00230E2B" w:rsidRPr="009231AD">
          <w:rPr>
            <w:rStyle w:val="Hyperlink"/>
          </w:rPr>
          <w:t>Consolidation of requirements</w:t>
        </w:r>
        <w:r w:rsidR="00230E2B">
          <w:rPr>
            <w:webHidden/>
          </w:rPr>
          <w:tab/>
        </w:r>
        <w:r w:rsidR="00230E2B">
          <w:rPr>
            <w:webHidden/>
          </w:rPr>
          <w:fldChar w:fldCharType="begin"/>
        </w:r>
        <w:r w:rsidR="00230E2B">
          <w:rPr>
            <w:webHidden/>
          </w:rPr>
          <w:instrText xml:space="preserve"> PAGEREF _Toc481058297 \h </w:instrText>
        </w:r>
        <w:r w:rsidR="00230E2B">
          <w:rPr>
            <w:webHidden/>
          </w:rPr>
        </w:r>
        <w:r w:rsidR="00230E2B">
          <w:rPr>
            <w:webHidden/>
          </w:rPr>
          <w:fldChar w:fldCharType="separate"/>
        </w:r>
        <w:r w:rsidR="00230E2B">
          <w:rPr>
            <w:webHidden/>
          </w:rPr>
          <w:t>7</w:t>
        </w:r>
        <w:r w:rsidR="00230E2B">
          <w:rPr>
            <w:webHidden/>
          </w:rPr>
          <w:fldChar w:fldCharType="end"/>
        </w:r>
      </w:hyperlink>
    </w:p>
    <w:p w14:paraId="0E1373C6" w14:textId="77777777" w:rsidR="00230E2B" w:rsidRDefault="008867D1">
      <w:pPr>
        <w:pStyle w:val="TOC1"/>
        <w:rPr>
          <w:rFonts w:asciiTheme="minorHAnsi" w:eastAsiaTheme="minorEastAsia" w:hAnsiTheme="minorHAnsi" w:cstheme="minorBidi"/>
          <w:b w:val="0"/>
          <w:spacing w:val="0"/>
          <w:sz w:val="22"/>
          <w:szCs w:val="22"/>
        </w:rPr>
      </w:pPr>
      <w:hyperlink w:anchor="_Toc481058298" w:history="1">
        <w:r w:rsidR="00230E2B" w:rsidRPr="009231AD">
          <w:rPr>
            <w:rStyle w:val="Hyperlink"/>
          </w:rPr>
          <w:t>Implementation and transition</w:t>
        </w:r>
        <w:r w:rsidR="00230E2B">
          <w:rPr>
            <w:webHidden/>
          </w:rPr>
          <w:tab/>
        </w:r>
        <w:r w:rsidR="00230E2B">
          <w:rPr>
            <w:webHidden/>
          </w:rPr>
          <w:fldChar w:fldCharType="begin"/>
        </w:r>
        <w:r w:rsidR="00230E2B">
          <w:rPr>
            <w:webHidden/>
          </w:rPr>
          <w:instrText xml:space="preserve"> PAGEREF _Toc481058298 \h </w:instrText>
        </w:r>
        <w:r w:rsidR="00230E2B">
          <w:rPr>
            <w:webHidden/>
          </w:rPr>
        </w:r>
        <w:r w:rsidR="00230E2B">
          <w:rPr>
            <w:webHidden/>
          </w:rPr>
          <w:fldChar w:fldCharType="separate"/>
        </w:r>
        <w:r w:rsidR="00230E2B">
          <w:rPr>
            <w:webHidden/>
          </w:rPr>
          <w:t>9</w:t>
        </w:r>
        <w:r w:rsidR="00230E2B">
          <w:rPr>
            <w:webHidden/>
          </w:rPr>
          <w:fldChar w:fldCharType="end"/>
        </w:r>
      </w:hyperlink>
    </w:p>
    <w:p w14:paraId="1B4D34F2" w14:textId="77777777" w:rsidR="00230E2B" w:rsidRDefault="008867D1">
      <w:pPr>
        <w:pStyle w:val="TOC2"/>
        <w:rPr>
          <w:rFonts w:asciiTheme="minorHAnsi" w:eastAsiaTheme="minorEastAsia" w:hAnsiTheme="minorHAnsi" w:cstheme="minorBidi"/>
          <w:spacing w:val="0"/>
          <w:sz w:val="22"/>
          <w:szCs w:val="22"/>
        </w:rPr>
      </w:pPr>
      <w:hyperlink w:anchor="_Toc481058299" w:history="1">
        <w:r w:rsidR="00230E2B" w:rsidRPr="009231AD">
          <w:rPr>
            <w:rStyle w:val="Hyperlink"/>
          </w:rPr>
          <w:t>Transition</w:t>
        </w:r>
        <w:r w:rsidR="00230E2B">
          <w:rPr>
            <w:webHidden/>
          </w:rPr>
          <w:tab/>
        </w:r>
        <w:r w:rsidR="00230E2B">
          <w:rPr>
            <w:webHidden/>
          </w:rPr>
          <w:fldChar w:fldCharType="begin"/>
        </w:r>
        <w:r w:rsidR="00230E2B">
          <w:rPr>
            <w:webHidden/>
          </w:rPr>
          <w:instrText xml:space="preserve"> PAGEREF _Toc481058299 \h </w:instrText>
        </w:r>
        <w:r w:rsidR="00230E2B">
          <w:rPr>
            <w:webHidden/>
          </w:rPr>
        </w:r>
        <w:r w:rsidR="00230E2B">
          <w:rPr>
            <w:webHidden/>
          </w:rPr>
          <w:fldChar w:fldCharType="separate"/>
        </w:r>
        <w:r w:rsidR="00230E2B">
          <w:rPr>
            <w:webHidden/>
          </w:rPr>
          <w:t>9</w:t>
        </w:r>
        <w:r w:rsidR="00230E2B">
          <w:rPr>
            <w:webHidden/>
          </w:rPr>
          <w:fldChar w:fldCharType="end"/>
        </w:r>
      </w:hyperlink>
    </w:p>
    <w:p w14:paraId="7BF4DC5C" w14:textId="77777777" w:rsidR="00230E2B" w:rsidRDefault="008867D1">
      <w:pPr>
        <w:pStyle w:val="TOC1"/>
        <w:rPr>
          <w:rFonts w:asciiTheme="minorHAnsi" w:eastAsiaTheme="minorEastAsia" w:hAnsiTheme="minorHAnsi" w:cstheme="minorBidi"/>
          <w:b w:val="0"/>
          <w:spacing w:val="0"/>
          <w:sz w:val="22"/>
          <w:szCs w:val="22"/>
        </w:rPr>
      </w:pPr>
      <w:hyperlink w:anchor="_Toc481058300" w:history="1">
        <w:r w:rsidR="00230E2B" w:rsidRPr="009231AD">
          <w:rPr>
            <w:rStyle w:val="Hyperlink"/>
          </w:rPr>
          <w:t>Related matters</w:t>
        </w:r>
        <w:r w:rsidR="00230E2B">
          <w:rPr>
            <w:webHidden/>
          </w:rPr>
          <w:tab/>
        </w:r>
        <w:r w:rsidR="00230E2B">
          <w:rPr>
            <w:webHidden/>
          </w:rPr>
          <w:fldChar w:fldCharType="begin"/>
        </w:r>
        <w:r w:rsidR="00230E2B">
          <w:rPr>
            <w:webHidden/>
          </w:rPr>
          <w:instrText xml:space="preserve"> PAGEREF _Toc481058300 \h </w:instrText>
        </w:r>
        <w:r w:rsidR="00230E2B">
          <w:rPr>
            <w:webHidden/>
          </w:rPr>
        </w:r>
        <w:r w:rsidR="00230E2B">
          <w:rPr>
            <w:webHidden/>
          </w:rPr>
          <w:fldChar w:fldCharType="separate"/>
        </w:r>
        <w:r w:rsidR="00230E2B">
          <w:rPr>
            <w:webHidden/>
          </w:rPr>
          <w:t>11</w:t>
        </w:r>
        <w:r w:rsidR="00230E2B">
          <w:rPr>
            <w:webHidden/>
          </w:rPr>
          <w:fldChar w:fldCharType="end"/>
        </w:r>
      </w:hyperlink>
    </w:p>
    <w:p w14:paraId="174CAF4C" w14:textId="3BAA9723" w:rsidR="000A4A51" w:rsidRPr="008D2483" w:rsidRDefault="00230E2B" w:rsidP="008C4362">
      <w:pPr>
        <w:pStyle w:val="TOC1"/>
        <w:rPr>
          <w:rFonts w:cs="Arial"/>
        </w:rPr>
      </w:pPr>
      <w:r>
        <w:rPr>
          <w:rFonts w:cs="Arial"/>
          <w:b w:val="0"/>
        </w:rPr>
        <w:fldChar w:fldCharType="end"/>
      </w:r>
    </w:p>
    <w:p w14:paraId="73EDC3A2" w14:textId="77777777" w:rsidR="004D56FF" w:rsidRPr="008D2483" w:rsidRDefault="004D56FF">
      <w:pPr>
        <w:rPr>
          <w:rFonts w:cs="Arial"/>
        </w:rPr>
        <w:sectPr w:rsidR="004D56FF" w:rsidRPr="008D2483" w:rsidSect="00C77380">
          <w:headerReference w:type="even" r:id="rId22"/>
          <w:headerReference w:type="default" r:id="rId23"/>
          <w:footerReference w:type="even" r:id="rId24"/>
          <w:footerReference w:type="default" r:id="rId25"/>
          <w:footerReference w:type="first" r:id="rId26"/>
          <w:pgSz w:w="11906" w:h="16838" w:code="9"/>
          <w:pgMar w:top="3646" w:right="3101" w:bottom="1134" w:left="1134" w:header="709" w:footer="119" w:gutter="0"/>
          <w:cols w:space="708"/>
          <w:titlePg/>
          <w:docGrid w:linePitch="360"/>
        </w:sectPr>
      </w:pPr>
    </w:p>
    <w:p w14:paraId="23802C29" w14:textId="609F5238" w:rsidR="00EF4B52" w:rsidRDefault="00EF4B52" w:rsidP="00AE665A">
      <w:pPr>
        <w:pStyle w:val="Heading1"/>
      </w:pPr>
      <w:bookmarkStart w:id="1" w:name="_Toc477251157"/>
      <w:bookmarkStart w:id="2" w:name="_Toc481058285"/>
      <w:r>
        <w:lastRenderedPageBreak/>
        <w:t>Purpose of the ACMA supporting material</w:t>
      </w:r>
      <w:bookmarkEnd w:id="1"/>
      <w:bookmarkEnd w:id="2"/>
    </w:p>
    <w:p w14:paraId="072AF378" w14:textId="77777777" w:rsidR="00EF4B52" w:rsidRDefault="00EF4B52" w:rsidP="00AE665A">
      <w:r>
        <w:t xml:space="preserve">The ACMA will be responsible for designing and developing new spectrum management arrangements in accordance with the Exposure Draft of the Radiocommunications Bill 2017 (the exposure draft of the Bill), should the Bill be enacted in its current form. </w:t>
      </w:r>
    </w:p>
    <w:p w14:paraId="15CAFC84" w14:textId="77777777" w:rsidR="00EF4B52" w:rsidRDefault="00EF4B52" w:rsidP="00AE665A">
      <w:r>
        <w:t>The ACMA’s supporting material is intended to provide stakeholders with a greater understanding of how the ACMA envisages key aspects of the Bill may operate, should the Bill be enacted, in order to facilitate consideration of the exposure draft of the Bill.</w:t>
      </w:r>
    </w:p>
    <w:p w14:paraId="27461717" w14:textId="77777777" w:rsidR="00EF4B52" w:rsidRDefault="00EF4B52" w:rsidP="00AE665A">
      <w:r>
        <w:t xml:space="preserve">The ACMA has a particular interest in the views of stakeholders that could inform its approach to transitioning to and implementing the reformed legislation. While the exposure draft of the Bill is available for consultation, the ACMA will join the Department of Communications and the Arts (DoCA) in its stakeholder engagement activities so that the ACMA can benefit from those discussions. However, stakeholders should direct submissions on the package to DoCA as it is the agency responsible for this process. </w:t>
      </w:r>
    </w:p>
    <w:p w14:paraId="46F09D9B" w14:textId="77777777" w:rsidR="00EF4B52" w:rsidRDefault="00EF4B52" w:rsidP="00AE665A">
      <w:r>
        <w:t xml:space="preserve">The ACMA intends to undertake further substantial stakeholder consultation as it designs and then settles on its approach to giving practical effect to the new legislative and policy framework, should the Bill be enacted in its current form. </w:t>
      </w:r>
    </w:p>
    <w:p w14:paraId="17DB0B64" w14:textId="77777777" w:rsidR="00EF4B52" w:rsidRDefault="00EF4B52" w:rsidP="00AE665A">
      <w:r>
        <w:t xml:space="preserve">All views expressed in the ACMA supporting material are preliminary observations only, and have been developed to assist stakeholders in considering and responding to the exposure draft of the Bill. </w:t>
      </w:r>
      <w:r w:rsidRPr="00640D25">
        <w:rPr>
          <w:b/>
        </w:rPr>
        <w:t>The supporting material cannot and does not fetter the Authority’s discretion in the making of future decisions about the matters discussed in this material or any other matter.</w:t>
      </w:r>
      <w:r>
        <w:t xml:space="preserve"> The ACMA will assess each decision it makes under the </w:t>
      </w:r>
      <w:r>
        <w:rPr>
          <w:i/>
          <w:iCs/>
        </w:rPr>
        <w:t>Radiocommunications Act 1992</w:t>
      </w:r>
      <w:r>
        <w:t>, and under any future legislation, on its merits and in accordance with the requirements of any applicable legislation and administrative law.</w:t>
      </w:r>
    </w:p>
    <w:p w14:paraId="3658246A" w14:textId="026FDC5B" w:rsidR="00EF4B52" w:rsidRDefault="00EF4B52" w:rsidP="00EF4B52">
      <w:r>
        <w:t>No person should rely on statements made in the ACMA supporting material as an indication or explanation of future or present rights and obligations. Neither the ACMA nor the Commonwealth accepts any responsibility or liability for any damage, loss or expense incurred as a result of reliance on any part of the ACMA supporting material. Any person reading this supporting material is advised to also consult the exposure draft of the Bill and DoCA’s explanatory materials.</w:t>
      </w:r>
    </w:p>
    <w:p w14:paraId="03771391" w14:textId="77777777" w:rsidR="008D2483" w:rsidRPr="008D2483" w:rsidRDefault="008D2483" w:rsidP="008D2483">
      <w:pPr>
        <w:pStyle w:val="Heading1"/>
        <w:rPr>
          <w:color w:val="auto"/>
        </w:rPr>
      </w:pPr>
      <w:bookmarkStart w:id="3" w:name="_Toc481058286"/>
      <w:r w:rsidRPr="008D2483">
        <w:lastRenderedPageBreak/>
        <w:t>Existing arrangements</w:t>
      </w:r>
      <w:bookmarkEnd w:id="3"/>
    </w:p>
    <w:p w14:paraId="0A3662F1" w14:textId="5B122A47" w:rsidR="008D2483" w:rsidRPr="008D2483" w:rsidRDefault="008D2483" w:rsidP="008D2483">
      <w:pPr>
        <w:spacing w:after="80"/>
        <w:rPr>
          <w:rFonts w:cs="Arial"/>
        </w:rPr>
      </w:pPr>
      <w:r w:rsidRPr="008D2483">
        <w:rPr>
          <w:rFonts w:cs="Arial"/>
        </w:rPr>
        <w:t xml:space="preserve">The ACMA has implemented the </w:t>
      </w:r>
      <w:r w:rsidR="00F75D1E">
        <w:rPr>
          <w:rFonts w:cs="Arial"/>
        </w:rPr>
        <w:t>device</w:t>
      </w:r>
      <w:r w:rsidR="00F75D1E" w:rsidRPr="008D2483">
        <w:rPr>
          <w:rFonts w:cs="Arial"/>
        </w:rPr>
        <w:t xml:space="preserve"> </w:t>
      </w:r>
      <w:r w:rsidRPr="008D2483">
        <w:rPr>
          <w:rFonts w:cs="Arial"/>
        </w:rPr>
        <w:t>supply arrangements in the</w:t>
      </w:r>
      <w:r w:rsidR="00AC5D8C">
        <w:rPr>
          <w:rFonts w:cs="Arial"/>
        </w:rPr>
        <w:t xml:space="preserve"> </w:t>
      </w:r>
      <w:r w:rsidR="00AC5D8C" w:rsidRPr="001E0075">
        <w:rPr>
          <w:rFonts w:cs="Arial"/>
          <w:i/>
        </w:rPr>
        <w:t>Radiocommunications Act 1992</w:t>
      </w:r>
      <w:r w:rsidR="00AC5D8C" w:rsidRPr="00B14FA4">
        <w:rPr>
          <w:rFonts w:cs="Arial"/>
        </w:rPr>
        <w:t xml:space="preserve"> </w:t>
      </w:r>
      <w:r w:rsidR="00AC5D8C">
        <w:rPr>
          <w:rFonts w:cs="Arial"/>
        </w:rPr>
        <w:t xml:space="preserve">(the </w:t>
      </w:r>
      <w:r w:rsidRPr="008D2483">
        <w:rPr>
          <w:rFonts w:cs="Arial"/>
        </w:rPr>
        <w:t>1992 Act</w:t>
      </w:r>
      <w:r w:rsidR="00AC5D8C">
        <w:rPr>
          <w:rFonts w:cs="Arial"/>
        </w:rPr>
        <w:t>)</w:t>
      </w:r>
      <w:r w:rsidRPr="008D2483">
        <w:rPr>
          <w:rFonts w:cs="Arial"/>
        </w:rPr>
        <w:t xml:space="preserve"> by making:</w:t>
      </w:r>
    </w:p>
    <w:p w14:paraId="637E730B" w14:textId="319FB2CE" w:rsidR="008D2483" w:rsidRPr="008D2483" w:rsidRDefault="008D2483" w:rsidP="008D2483">
      <w:pPr>
        <w:pStyle w:val="ListBullet"/>
      </w:pPr>
      <w:r w:rsidRPr="008D2483">
        <w:t>technical standards under section 162</w:t>
      </w:r>
    </w:p>
    <w:p w14:paraId="05104F62" w14:textId="77777777" w:rsidR="008D2483" w:rsidRPr="008D2483" w:rsidRDefault="008D2483" w:rsidP="008D2483">
      <w:pPr>
        <w:pStyle w:val="ListBulletLast"/>
      </w:pPr>
      <w:r w:rsidRPr="008D2483">
        <w:t>labelling notices under section 182.</w:t>
      </w:r>
    </w:p>
    <w:p w14:paraId="5DC202AB" w14:textId="77777777" w:rsidR="008D2483" w:rsidRPr="008D2483" w:rsidRDefault="008D2483" w:rsidP="00AD677E">
      <w:r w:rsidRPr="008D2483">
        <w:t>Among other things, the labelling notices require the Australian importer or manufacturer of a device, or that person’s authorised agent, to register on the national supplier database and hold certain documentation demonstrating compliance in relation to the device.</w:t>
      </w:r>
    </w:p>
    <w:p w14:paraId="76ED506E" w14:textId="569B5D5B" w:rsidR="008D2483" w:rsidRPr="008D2483" w:rsidRDefault="008D2483" w:rsidP="008D2483">
      <w:pPr>
        <w:spacing w:after="80"/>
        <w:rPr>
          <w:rFonts w:cs="Arial"/>
        </w:rPr>
      </w:pPr>
      <w:r w:rsidRPr="008D2483">
        <w:rPr>
          <w:rFonts w:cs="Arial"/>
        </w:rPr>
        <w:t>The arrangements under the 1992 Act are grouped into three categories:</w:t>
      </w:r>
    </w:p>
    <w:p w14:paraId="093384E6" w14:textId="5BD49FAB" w:rsidR="008D2483" w:rsidRPr="008D2483" w:rsidRDefault="00AC5D8C" w:rsidP="008D2483">
      <w:pPr>
        <w:pStyle w:val="ListBullet"/>
      </w:pPr>
      <w:r>
        <w:t>E</w:t>
      </w:r>
      <w:r w:rsidR="008D2483" w:rsidRPr="008D2483">
        <w:t>lectromagnetic energy</w:t>
      </w:r>
      <w:r>
        <w:t xml:space="preserve"> (</w:t>
      </w:r>
      <w:r w:rsidR="008D2483" w:rsidRPr="008D2483">
        <w:t>EME</w:t>
      </w:r>
      <w:r>
        <w:t>)</w:t>
      </w:r>
      <w:r w:rsidR="008D2483" w:rsidRPr="008D2483">
        <w:t xml:space="preserve"> requirements manage the health and safety risk of exposure to the electromagnetic energy emitted by radiocommunications </w:t>
      </w:r>
      <w:r w:rsidR="00FE5BEB">
        <w:t>devices</w:t>
      </w:r>
      <w:r>
        <w:t>.</w:t>
      </w:r>
    </w:p>
    <w:p w14:paraId="187E25A0" w14:textId="2B41F0F1" w:rsidR="008D2483" w:rsidRPr="008D2483" w:rsidRDefault="00AC5D8C" w:rsidP="008D2483">
      <w:pPr>
        <w:pStyle w:val="ListBullet"/>
      </w:pPr>
      <w:r>
        <w:t>E</w:t>
      </w:r>
      <w:r w:rsidR="008D2483" w:rsidRPr="008D2483">
        <w:t>lectromagnetic compatibility</w:t>
      </w:r>
      <w:r>
        <w:t xml:space="preserve"> (</w:t>
      </w:r>
      <w:r w:rsidR="008D2483" w:rsidRPr="008D2483">
        <w:t>EMC</w:t>
      </w:r>
      <w:r>
        <w:t>)</w:t>
      </w:r>
      <w:r w:rsidR="008D2483" w:rsidRPr="008D2483">
        <w:t xml:space="preserve"> requirements manage the risk of interference to radiocommunications services from non-intentional</w:t>
      </w:r>
      <w:r w:rsidR="00F75D1E">
        <w:t>ly</w:t>
      </w:r>
      <w:r w:rsidR="008D2483" w:rsidRPr="008D2483">
        <w:t xml:space="preserve"> emitting devices (</w:t>
      </w:r>
      <w:r w:rsidR="007A30F0">
        <w:t>for example,</w:t>
      </w:r>
      <w:r w:rsidR="008D2483" w:rsidRPr="008D2483">
        <w:t xml:space="preserve"> electrical goods)</w:t>
      </w:r>
      <w:r>
        <w:t>.</w:t>
      </w:r>
    </w:p>
    <w:p w14:paraId="3A763C33" w14:textId="0AA77727" w:rsidR="008D2483" w:rsidRPr="008D2483" w:rsidRDefault="00AC5D8C" w:rsidP="008D2483">
      <w:pPr>
        <w:pStyle w:val="ListBulletLast"/>
      </w:pPr>
      <w:r>
        <w:t>R</w:t>
      </w:r>
      <w:r w:rsidR="008D2483" w:rsidRPr="008D2483">
        <w:t xml:space="preserve">adiocommunications </w:t>
      </w:r>
      <w:r w:rsidR="00FE5BEB">
        <w:t>devices</w:t>
      </w:r>
      <w:r w:rsidR="008D2483" w:rsidRPr="008D2483">
        <w:t xml:space="preserve"> requirements impose frequency and power emission requirements on radiocommunications </w:t>
      </w:r>
      <w:r w:rsidR="00FE5BEB">
        <w:t xml:space="preserve">devices </w:t>
      </w:r>
      <w:r w:rsidR="008D2483" w:rsidRPr="008D2483">
        <w:t>to minimise the risk of interference. Typically</w:t>
      </w:r>
      <w:r w:rsidR="0006308D">
        <w:t>,</w:t>
      </w:r>
      <w:r w:rsidR="008D2483" w:rsidRPr="008D2483">
        <w:t xml:space="preserve"> these requirements apply to devices authorised by a class licence that are not individually coordinated and operate in frequency ranges shared with a large number of other class-licensed devices.</w:t>
      </w:r>
      <w:r w:rsidR="008D2483" w:rsidRPr="008D2483" w:rsidDel="00005B88">
        <w:t xml:space="preserve"> </w:t>
      </w:r>
    </w:p>
    <w:p w14:paraId="64F03888" w14:textId="77777777" w:rsidR="008D2483" w:rsidRPr="008D2483" w:rsidRDefault="008D2483" w:rsidP="008D2483">
      <w:pPr>
        <w:rPr>
          <w:rFonts w:cs="Arial"/>
        </w:rPr>
      </w:pPr>
      <w:r w:rsidRPr="008D2483">
        <w:rPr>
          <w:rFonts w:cs="Arial"/>
        </w:rPr>
        <w:t>Each of the categories requires compliance with technical standards, labelling and record-keeping requirements.</w:t>
      </w:r>
    </w:p>
    <w:p w14:paraId="6EB5A899" w14:textId="77777777" w:rsidR="008D2483" w:rsidRPr="008D2483" w:rsidRDefault="008D2483" w:rsidP="008D2483">
      <w:pPr>
        <w:pStyle w:val="Heading2"/>
      </w:pPr>
      <w:bookmarkStart w:id="4" w:name="_Toc481058287"/>
      <w:r w:rsidRPr="008D2483">
        <w:t>Technical standards</w:t>
      </w:r>
      <w:bookmarkEnd w:id="4"/>
    </w:p>
    <w:p w14:paraId="4A11E4B3" w14:textId="7BB5EFC8" w:rsidR="008D2483" w:rsidRPr="008D2483" w:rsidRDefault="008D2483" w:rsidP="008D2483">
      <w:pPr>
        <w:rPr>
          <w:rFonts w:cs="Arial"/>
        </w:rPr>
      </w:pPr>
      <w:r w:rsidRPr="008D2483">
        <w:rPr>
          <w:rFonts w:cs="Arial"/>
        </w:rPr>
        <w:t xml:space="preserve">Technical standards made by the ACMA under section 162 refer directly to industry standards. The </w:t>
      </w:r>
      <w:r w:rsidR="00FE5BEB">
        <w:rPr>
          <w:rFonts w:cs="Arial"/>
        </w:rPr>
        <w:t>incorporated</w:t>
      </w:r>
      <w:r w:rsidRPr="008D2483">
        <w:rPr>
          <w:rFonts w:cs="Arial"/>
        </w:rPr>
        <w:t xml:space="preserve"> industry standards are typically AS/NZS standards. These AS/NZS standards may in turn reference international standards.</w:t>
      </w:r>
    </w:p>
    <w:p w14:paraId="2B7F8F41" w14:textId="62ECD369" w:rsidR="008D2483" w:rsidRPr="008D2483" w:rsidRDefault="008D2483" w:rsidP="008D2483">
      <w:pPr>
        <w:rPr>
          <w:rFonts w:cs="Arial"/>
        </w:rPr>
      </w:pPr>
      <w:r w:rsidRPr="008D2483">
        <w:rPr>
          <w:rFonts w:cs="Arial"/>
        </w:rPr>
        <w:t xml:space="preserve">Technical standards for radiocommunications transmitters also support the </w:t>
      </w:r>
      <w:r w:rsidR="00F722FF">
        <w:rPr>
          <w:rFonts w:cs="Arial"/>
        </w:rPr>
        <w:t>regulation</w:t>
      </w:r>
      <w:r w:rsidRPr="008D2483">
        <w:rPr>
          <w:rFonts w:cs="Arial"/>
        </w:rPr>
        <w:t xml:space="preserve"> </w:t>
      </w:r>
      <w:r w:rsidR="00C21B85">
        <w:rPr>
          <w:rFonts w:cs="Arial"/>
        </w:rPr>
        <w:t xml:space="preserve">of </w:t>
      </w:r>
      <w:r w:rsidR="00DC28A1" w:rsidRPr="008D2483">
        <w:rPr>
          <w:rFonts w:cs="Arial"/>
        </w:rPr>
        <w:t>class</w:t>
      </w:r>
      <w:r w:rsidR="00DC28A1">
        <w:rPr>
          <w:rFonts w:cs="Arial"/>
        </w:rPr>
        <w:t>-</w:t>
      </w:r>
      <w:r w:rsidRPr="008D2483">
        <w:rPr>
          <w:rFonts w:cs="Arial"/>
        </w:rPr>
        <w:t>licens</w:t>
      </w:r>
      <w:r w:rsidR="00F722FF">
        <w:rPr>
          <w:rFonts w:cs="Arial"/>
        </w:rPr>
        <w:t>ed devices</w:t>
      </w:r>
      <w:r w:rsidRPr="008D2483">
        <w:rPr>
          <w:rFonts w:cs="Arial"/>
        </w:rPr>
        <w:t xml:space="preserve"> by specifying </w:t>
      </w:r>
      <w:r w:rsidR="00F722FF">
        <w:rPr>
          <w:rFonts w:cs="Arial"/>
        </w:rPr>
        <w:t xml:space="preserve">technical </w:t>
      </w:r>
      <w:r w:rsidRPr="008D2483">
        <w:rPr>
          <w:rFonts w:cs="Arial"/>
        </w:rPr>
        <w:t xml:space="preserve">requirements that </w:t>
      </w:r>
      <w:r w:rsidR="0006308D">
        <w:rPr>
          <w:rFonts w:cs="Arial"/>
        </w:rPr>
        <w:t>reflect those in</w:t>
      </w:r>
      <w:r w:rsidRPr="008D2483">
        <w:rPr>
          <w:rFonts w:cs="Arial"/>
        </w:rPr>
        <w:t xml:space="preserve"> in the relevant class licence.  </w:t>
      </w:r>
    </w:p>
    <w:p w14:paraId="57A77D7D" w14:textId="05BCDA4E" w:rsidR="008D2483" w:rsidRPr="008D2483" w:rsidRDefault="008D2483" w:rsidP="00AD677E">
      <w:r w:rsidRPr="008D2483">
        <w:t xml:space="preserve">For example, the </w:t>
      </w:r>
      <w:r w:rsidRPr="00E7226B">
        <w:t>Radiocommunications (Low Interference Potential Devices) Class Licence 2015</w:t>
      </w:r>
      <w:r w:rsidRPr="00AD677E">
        <w:t xml:space="preserve"> </w:t>
      </w:r>
      <w:r w:rsidRPr="008D2483">
        <w:t>(LIPD Class Licence) requires a person operating a device under the class licence to comply with each applicable standard for the device</w:t>
      </w:r>
      <w:r w:rsidR="00FE5BEB">
        <w:t>, subject to limited exceptions</w:t>
      </w:r>
      <w:r w:rsidRPr="008D2483">
        <w:rPr>
          <w:i/>
        </w:rPr>
        <w:t xml:space="preserve">. </w:t>
      </w:r>
      <w:r w:rsidRPr="008D2483">
        <w:t xml:space="preserve">The </w:t>
      </w:r>
      <w:r w:rsidR="00FE5BEB">
        <w:t xml:space="preserve">main </w:t>
      </w:r>
      <w:r w:rsidRPr="008D2483">
        <w:t xml:space="preserve">applicable standard for low interference potential devices is the </w:t>
      </w:r>
      <w:r w:rsidRPr="00E7226B">
        <w:t>Radiocommunications (Short Range Devices) Standard 2014</w:t>
      </w:r>
      <w:r w:rsidRPr="00AD677E">
        <w:t xml:space="preserve"> </w:t>
      </w:r>
      <w:r w:rsidRPr="008D2483">
        <w:t>(the SRD standard). The SRD standard adopts AS/NZS 4268, which contains technical parameters that align with the requirements</w:t>
      </w:r>
      <w:r w:rsidR="00FE5BEB">
        <w:t xml:space="preserve"> specified</w:t>
      </w:r>
      <w:r w:rsidRPr="008D2483">
        <w:t xml:space="preserve"> in the LIPD Class Licence. This supports the supply and operation of a large number of devices under the LIPD Class Licence</w:t>
      </w:r>
      <w:r w:rsidR="007A30F0">
        <w:t>,</w:t>
      </w:r>
      <w:r w:rsidRPr="008D2483">
        <w:t xml:space="preserve"> while minimising the risk of interference between those devices or with other services. </w:t>
      </w:r>
    </w:p>
    <w:p w14:paraId="4F860C2F" w14:textId="77777777" w:rsidR="008D2483" w:rsidRPr="008D2483" w:rsidRDefault="008D2483" w:rsidP="00E7226B">
      <w:pPr>
        <w:pStyle w:val="Heading2"/>
        <w:keepLines/>
      </w:pPr>
      <w:bookmarkStart w:id="5" w:name="_Toc481058288"/>
      <w:r w:rsidRPr="008D2483">
        <w:t>Other provisions relating to supply and operation</w:t>
      </w:r>
      <w:bookmarkEnd w:id="5"/>
    </w:p>
    <w:p w14:paraId="648E56DE" w14:textId="77777777" w:rsidR="008D2483" w:rsidRPr="008D2483" w:rsidRDefault="008D2483" w:rsidP="00E7226B">
      <w:pPr>
        <w:keepNext/>
        <w:keepLines/>
        <w:spacing w:after="80"/>
        <w:rPr>
          <w:rFonts w:cs="Arial"/>
        </w:rPr>
      </w:pPr>
      <w:r w:rsidRPr="008D2483">
        <w:rPr>
          <w:rFonts w:cs="Arial"/>
        </w:rPr>
        <w:t>The 1992 Act also includes provisions in relation to:</w:t>
      </w:r>
    </w:p>
    <w:p w14:paraId="43A75CCA" w14:textId="390F9177" w:rsidR="008D2483" w:rsidRPr="008D2483" w:rsidRDefault="008D2483" w:rsidP="00AD677E">
      <w:pPr>
        <w:pStyle w:val="ListBullet"/>
      </w:pPr>
      <w:r w:rsidRPr="008D2483">
        <w:t xml:space="preserve">the </w:t>
      </w:r>
      <w:r w:rsidRPr="00AD677E">
        <w:t>supply</w:t>
      </w:r>
      <w:r w:rsidRPr="008D2483">
        <w:t>, possession and operation of ‘non-standard devices’ (that is, devices that do not comply with an applicable standard) (sections 157, 158 and 160)</w:t>
      </w:r>
    </w:p>
    <w:p w14:paraId="069F7892" w14:textId="77777777" w:rsidR="008D2483" w:rsidRPr="008D2483" w:rsidRDefault="008D2483">
      <w:pPr>
        <w:pStyle w:val="ListBulletLast"/>
      </w:pPr>
      <w:r w:rsidRPr="008D2483">
        <w:lastRenderedPageBreak/>
        <w:t>the supply of devices that are required to bear a compliance label (sections 182 and 186).</w:t>
      </w:r>
    </w:p>
    <w:p w14:paraId="2EE11B95" w14:textId="254C65BD" w:rsidR="008D2483" w:rsidRPr="008D2483" w:rsidRDefault="008D2483" w:rsidP="008D2483">
      <w:pPr>
        <w:rPr>
          <w:rFonts w:cs="Arial"/>
        </w:rPr>
      </w:pPr>
      <w:r w:rsidRPr="008D2483">
        <w:rPr>
          <w:rFonts w:cs="Arial"/>
        </w:rPr>
        <w:t>Broadly speaking, sections 157 and 158 provide that the operation and possession, respectively, of a non-standard device is an offence. A person does not contravene sections 157 and 158 if a permit has been issued under section 167. Section 160 provides that the supply of a non-standard device is an offence. A person does not contravene section 160 if supplying a non-standard device in accordance with a permission under section 174. A non-standard device is one that does not comply with one or more applicable technical standards.</w:t>
      </w:r>
    </w:p>
    <w:p w14:paraId="0CEBF2DB" w14:textId="22F9C854" w:rsidR="008D2483" w:rsidRPr="008D2483" w:rsidRDefault="008D2483" w:rsidP="008D2483">
      <w:pPr>
        <w:rPr>
          <w:rFonts w:cs="Arial"/>
        </w:rPr>
      </w:pPr>
      <w:r w:rsidRPr="008D2483">
        <w:rPr>
          <w:rFonts w:cs="Arial"/>
        </w:rPr>
        <w:t>Section 182 allows the ACMA to make labelling notices</w:t>
      </w:r>
      <w:r w:rsidRPr="008D2483">
        <w:rPr>
          <w:rStyle w:val="FootnoteReference"/>
          <w:rFonts w:cs="Arial"/>
        </w:rPr>
        <w:footnoteReference w:id="2"/>
      </w:r>
      <w:r w:rsidRPr="008D2483">
        <w:rPr>
          <w:rFonts w:cs="Arial"/>
        </w:rPr>
        <w:t xml:space="preserve"> requiring a supplier to apply a label to a device that indicates that the device meets the requirements of specified </w:t>
      </w:r>
      <w:r w:rsidR="00FE5BEB">
        <w:rPr>
          <w:rFonts w:cs="Arial"/>
        </w:rPr>
        <w:t xml:space="preserve">applicable </w:t>
      </w:r>
      <w:r w:rsidRPr="008D2483">
        <w:rPr>
          <w:rFonts w:cs="Arial"/>
        </w:rPr>
        <w:t>standards. If the device is a radiocommunications device, the label may also indicate that the device complies with the specified class licence. Section 186 makes it an offence for a person who manufactured or imported a device, who knows that a label is required to be applied to the device, to supply the device unles</w:t>
      </w:r>
      <w:r>
        <w:rPr>
          <w:rFonts w:cs="Arial"/>
        </w:rPr>
        <w:t>s a label has been so applied.</w:t>
      </w:r>
    </w:p>
    <w:p w14:paraId="52D07939" w14:textId="77777777" w:rsidR="008D2483" w:rsidRPr="008D2483" w:rsidRDefault="008D2483" w:rsidP="00AD677E">
      <w:r w:rsidRPr="008D2483">
        <w:t>Section 301 also provides for the supply of specified radiocommunications devices to be limited to licensees who are authorised by their licence to operate such a device, or to a person authorised by such a licensee. Mobile phone repeaters are the only devices subject to supply arrangements established under section 301.</w:t>
      </w:r>
    </w:p>
    <w:p w14:paraId="22C76C5B" w14:textId="77777777" w:rsidR="008D2483" w:rsidRPr="008D2483" w:rsidRDefault="008D2483" w:rsidP="008D2483">
      <w:pPr>
        <w:rPr>
          <w:rFonts w:cs="Arial"/>
        </w:rPr>
      </w:pPr>
      <w:r w:rsidRPr="008D2483">
        <w:rPr>
          <w:rFonts w:cs="Arial"/>
        </w:rPr>
        <w:t xml:space="preserve">In addition, EME requirements for fixed transmitters are contained in the </w:t>
      </w:r>
      <w:r w:rsidRPr="00E7226B">
        <w:rPr>
          <w:rFonts w:cs="Arial"/>
        </w:rPr>
        <w:t>Radiocommunications Licence Conditions (Apparatus Licence) Determination 2015</w:t>
      </w:r>
      <w:r w:rsidRPr="008D2483">
        <w:rPr>
          <w:rFonts w:cs="Arial"/>
          <w:i/>
        </w:rPr>
        <w:t xml:space="preserve"> </w:t>
      </w:r>
      <w:r w:rsidRPr="008D2483">
        <w:rPr>
          <w:rFonts w:cs="Arial"/>
        </w:rPr>
        <w:t>made under paragraph 107(1)(f) of the 1992 Act and the</w:t>
      </w:r>
      <w:r w:rsidRPr="00E7226B">
        <w:rPr>
          <w:rFonts w:cs="Arial"/>
        </w:rPr>
        <w:t xml:space="preserve"> Radiocommunications Licence Conditions (Temporary Community Broadcasting Licence) Determination 2015</w:t>
      </w:r>
      <w:r w:rsidRPr="008D2483">
        <w:rPr>
          <w:rFonts w:cs="Arial"/>
          <w:i/>
        </w:rPr>
        <w:t xml:space="preserve"> </w:t>
      </w:r>
      <w:r w:rsidRPr="008D2483">
        <w:rPr>
          <w:rFonts w:cs="Arial"/>
        </w:rPr>
        <w:t>made under paragraph 108A(1)(e) of the 1992 Act.</w:t>
      </w:r>
    </w:p>
    <w:p w14:paraId="5794A112" w14:textId="77777777" w:rsidR="008D2483" w:rsidRPr="008D2483" w:rsidRDefault="008D2483" w:rsidP="008D2483">
      <w:pPr>
        <w:pStyle w:val="Heading2"/>
      </w:pPr>
      <w:bookmarkStart w:id="6" w:name="_Toc481058289"/>
      <w:r w:rsidRPr="008D2483">
        <w:t>Changes to supply models</w:t>
      </w:r>
      <w:bookmarkEnd w:id="6"/>
    </w:p>
    <w:p w14:paraId="7BF40A59" w14:textId="6664EE61" w:rsidR="008D2483" w:rsidRPr="008D2483" w:rsidRDefault="008D2483" w:rsidP="00AD677E">
      <w:pPr>
        <w:spacing w:after="80"/>
      </w:pPr>
      <w:r w:rsidRPr="008D2483">
        <w:t xml:space="preserve">The </w:t>
      </w:r>
      <w:r w:rsidR="00F75D1E">
        <w:t xml:space="preserve">device </w:t>
      </w:r>
      <w:r w:rsidRPr="008D2483">
        <w:t>supply arrangements under the 1992 Act are premised on a linear supply chain model. This model assumes that the roles of the parties in the supply chain are distinct and easily understood. That is:</w:t>
      </w:r>
    </w:p>
    <w:p w14:paraId="5C3DFE3A" w14:textId="6386F86F" w:rsidR="008D2483" w:rsidRPr="008D2483" w:rsidRDefault="008D2483" w:rsidP="008D2483">
      <w:pPr>
        <w:pStyle w:val="ListBullet"/>
      </w:pPr>
      <w:r w:rsidRPr="008D2483">
        <w:t>Australian manufacturer → exclusive local distributor → retailer → customer (end-user)</w:t>
      </w:r>
    </w:p>
    <w:p w14:paraId="514EE7B0" w14:textId="4BF5A3D3" w:rsidR="008D2483" w:rsidRPr="008D2483" w:rsidRDefault="004A14D7" w:rsidP="008D2483">
      <w:pPr>
        <w:pStyle w:val="ListBulletLast"/>
      </w:pPr>
      <w:r>
        <w:t>o</w:t>
      </w:r>
      <w:r w:rsidR="008D2483" w:rsidRPr="008D2483">
        <w:t xml:space="preserve">verseas manufacturer → importer/exclusive local distributor → retailer → customer (end-user). </w:t>
      </w:r>
    </w:p>
    <w:p w14:paraId="5B1B2500" w14:textId="4A7938BF" w:rsidR="008D2483" w:rsidRPr="008D2483" w:rsidRDefault="008D2483" w:rsidP="00AD677E">
      <w:r w:rsidRPr="008D2483">
        <w:t xml:space="preserve">In the case of importation, the supply arrangements assume that the local importer or distributor of a product, or that person’s authorised agent, is the appropriate person to hold the necessary compliance documentation for the product. </w:t>
      </w:r>
    </w:p>
    <w:p w14:paraId="3B675794" w14:textId="65FEFF1B" w:rsidR="008D2483" w:rsidRPr="008D2483" w:rsidRDefault="008D2483" w:rsidP="008D2483">
      <w:pPr>
        <w:rPr>
          <w:rFonts w:cs="Arial"/>
        </w:rPr>
      </w:pPr>
      <w:r w:rsidRPr="008D2483">
        <w:rPr>
          <w:rFonts w:cs="Arial"/>
        </w:rPr>
        <w:t xml:space="preserve">Modern supply chains </w:t>
      </w:r>
      <w:r w:rsidR="0006308D">
        <w:rPr>
          <w:rFonts w:cs="Arial"/>
        </w:rPr>
        <w:t>can be</w:t>
      </w:r>
      <w:r w:rsidR="0006308D" w:rsidRPr="008D2483">
        <w:rPr>
          <w:rFonts w:cs="Arial"/>
        </w:rPr>
        <w:t xml:space="preserve"> </w:t>
      </w:r>
      <w:r w:rsidRPr="008D2483">
        <w:rPr>
          <w:rFonts w:cs="Arial"/>
        </w:rPr>
        <w:t>more complex and diffuse. The person with the regulatory obligation to hold compliance records for a device may be difficult to identify. Identifying the party responsible for compliance is further complicated where individual devices are installed into larger systems or installations. These systems may be constructed from multiple individual items (</w:t>
      </w:r>
      <w:r w:rsidR="004A14D7">
        <w:rPr>
          <w:rFonts w:cs="Arial"/>
        </w:rPr>
        <w:t>for example,</w:t>
      </w:r>
      <w:r w:rsidRPr="008D2483">
        <w:rPr>
          <w:rFonts w:cs="Arial"/>
        </w:rPr>
        <w:t xml:space="preserve"> an array of LED lights</w:t>
      </w:r>
      <w:r>
        <w:rPr>
          <w:rFonts w:cs="Arial"/>
        </w:rPr>
        <w:t>, a local area Wi-Fi network).</w:t>
      </w:r>
    </w:p>
    <w:p w14:paraId="069795CC" w14:textId="019AD272" w:rsidR="008D2483" w:rsidRPr="008D2483" w:rsidRDefault="008D2483" w:rsidP="00640D25">
      <w:pPr>
        <w:keepNext/>
        <w:spacing w:after="80"/>
        <w:rPr>
          <w:rFonts w:cs="Arial"/>
        </w:rPr>
      </w:pPr>
      <w:r w:rsidRPr="008D2483">
        <w:rPr>
          <w:rFonts w:cs="Arial"/>
        </w:rPr>
        <w:lastRenderedPageBreak/>
        <w:t xml:space="preserve">Modern supply models </w:t>
      </w:r>
      <w:r w:rsidR="000F4BE4">
        <w:rPr>
          <w:rFonts w:cs="Arial"/>
        </w:rPr>
        <w:t xml:space="preserve">may </w:t>
      </w:r>
      <w:r w:rsidRPr="008D2483">
        <w:rPr>
          <w:rFonts w:cs="Arial"/>
        </w:rPr>
        <w:t>include:</w:t>
      </w:r>
    </w:p>
    <w:p w14:paraId="005A5C19" w14:textId="028D9756" w:rsidR="008D2483" w:rsidRPr="008D2483" w:rsidRDefault="004A14D7" w:rsidP="00640D25">
      <w:pPr>
        <w:pStyle w:val="ListBullet"/>
        <w:keepNext/>
      </w:pPr>
      <w:r>
        <w:t>g</w:t>
      </w:r>
      <w:r w:rsidR="008D2483" w:rsidRPr="008D2483">
        <w:t xml:space="preserve">rey import: overseas manufacturer → multiple local distributors/importers → retailer → retail customer </w:t>
      </w:r>
    </w:p>
    <w:p w14:paraId="258BEC46" w14:textId="0CF380A2" w:rsidR="008D2483" w:rsidRPr="008D2483" w:rsidRDefault="004A14D7" w:rsidP="008D2483">
      <w:pPr>
        <w:pStyle w:val="ListBullet"/>
      </w:pPr>
      <w:r>
        <w:t>d</w:t>
      </w:r>
      <w:r w:rsidR="008D2483" w:rsidRPr="008D2483">
        <w:t>rop shipping: overseas manufacturer → customer purchasing via on-line retailer (where on-line retailer does not physically handle goods and customer has no direct relationship with overseas manufacturer or distributor/importer)</w:t>
      </w:r>
      <w:r w:rsidR="008D2483" w:rsidRPr="008D2483" w:rsidDel="00176268">
        <w:t xml:space="preserve"> </w:t>
      </w:r>
    </w:p>
    <w:p w14:paraId="03F3EDF6" w14:textId="749A77C7" w:rsidR="008D2483" w:rsidRPr="008D2483" w:rsidRDefault="004A14D7" w:rsidP="008D2483">
      <w:pPr>
        <w:pStyle w:val="ListBullet"/>
      </w:pPr>
      <w:r>
        <w:t>d</w:t>
      </w:r>
      <w:r w:rsidR="008D2483" w:rsidRPr="008D2483">
        <w:t>irect import: overseas supplier → local retail customer</w:t>
      </w:r>
    </w:p>
    <w:p w14:paraId="3FFC9E87" w14:textId="50869376" w:rsidR="008D2483" w:rsidRPr="008D2483" w:rsidRDefault="004A14D7" w:rsidP="008D2483">
      <w:pPr>
        <w:pStyle w:val="ListBulletLast"/>
      </w:pPr>
      <w:r>
        <w:t>o</w:t>
      </w:r>
      <w:r w:rsidR="008D2483" w:rsidRPr="008D2483">
        <w:t>nline market: internet market (</w:t>
      </w:r>
      <w:r>
        <w:t>for example,</w:t>
      </w:r>
      <w:r w:rsidR="008D2483" w:rsidRPr="008D2483">
        <w:t xml:space="preserve"> eBay, Ali Baba, Gumtree) → local business → retail customer.</w:t>
      </w:r>
    </w:p>
    <w:p w14:paraId="595A88AB" w14:textId="22938A2C" w:rsidR="008D2483" w:rsidRPr="008D2483" w:rsidRDefault="008D2483" w:rsidP="008D2483">
      <w:pPr>
        <w:pStyle w:val="Heading1"/>
      </w:pPr>
      <w:bookmarkStart w:id="7" w:name="_Toc481058290"/>
      <w:r w:rsidRPr="008D2483">
        <w:lastRenderedPageBreak/>
        <w:t>Radiocommunications Bill 201</w:t>
      </w:r>
      <w:r w:rsidR="00AC5D8C">
        <w:t>7</w:t>
      </w:r>
      <w:bookmarkEnd w:id="7"/>
    </w:p>
    <w:p w14:paraId="0139E9FB" w14:textId="1ED484A7" w:rsidR="008D2483" w:rsidRPr="008D2483" w:rsidRDefault="008D2483" w:rsidP="008D2483">
      <w:pPr>
        <w:rPr>
          <w:rFonts w:cs="Arial"/>
        </w:rPr>
      </w:pPr>
      <w:r w:rsidRPr="008D2483">
        <w:rPr>
          <w:rFonts w:cs="Arial"/>
        </w:rPr>
        <w:t>Part</w:t>
      </w:r>
      <w:r w:rsidR="005549CA">
        <w:rPr>
          <w:rFonts w:cs="Arial"/>
        </w:rPr>
        <w:t xml:space="preserve"> 10</w:t>
      </w:r>
      <w:r w:rsidRPr="008D2483">
        <w:rPr>
          <w:rFonts w:cs="Arial"/>
        </w:rPr>
        <w:t xml:space="preserve"> of the</w:t>
      </w:r>
      <w:r w:rsidR="00AC5D8C">
        <w:rPr>
          <w:rFonts w:cs="Arial"/>
        </w:rPr>
        <w:t xml:space="preserve"> Exposure Draft of the Radiocommunications Bill 2017 (the</w:t>
      </w:r>
      <w:r w:rsidRPr="008D2483">
        <w:rPr>
          <w:rFonts w:cs="Arial"/>
        </w:rPr>
        <w:t xml:space="preserve"> Bill</w:t>
      </w:r>
      <w:r w:rsidR="00AC5D8C">
        <w:rPr>
          <w:rFonts w:cs="Arial"/>
        </w:rPr>
        <w:t>)</w:t>
      </w:r>
      <w:r w:rsidRPr="008D2483">
        <w:rPr>
          <w:rFonts w:cs="Arial"/>
        </w:rPr>
        <w:t xml:space="preserve"> proposes to authorise the ACMA to make rules relating to equipment (‘equipment rules’). The rules must be directed toward one or more of the objectives listed in clause 1</w:t>
      </w:r>
      <w:r w:rsidR="005549CA">
        <w:rPr>
          <w:rFonts w:cs="Arial"/>
        </w:rPr>
        <w:t>2</w:t>
      </w:r>
      <w:r w:rsidRPr="008D2483">
        <w:rPr>
          <w:rFonts w:cs="Arial"/>
        </w:rPr>
        <w:t xml:space="preserve">1 of the Bill. The objectives include </w:t>
      </w:r>
      <w:r w:rsidR="008C56A4">
        <w:rPr>
          <w:rFonts w:cs="Arial"/>
        </w:rPr>
        <w:t>containing</w:t>
      </w:r>
      <w:r w:rsidR="008C56A4" w:rsidRPr="008D2483">
        <w:rPr>
          <w:rFonts w:cs="Arial"/>
        </w:rPr>
        <w:t xml:space="preserve"> </w:t>
      </w:r>
      <w:r w:rsidRPr="008D2483">
        <w:rPr>
          <w:rFonts w:cs="Arial"/>
        </w:rPr>
        <w:t>interference through the management of EMC and the operation of radiocommunications transmitters</w:t>
      </w:r>
      <w:r w:rsidR="002266C9">
        <w:rPr>
          <w:rFonts w:cs="Arial"/>
        </w:rPr>
        <w:t>,</w:t>
      </w:r>
      <w:r w:rsidRPr="008D2483">
        <w:rPr>
          <w:rFonts w:cs="Arial"/>
        </w:rPr>
        <w:t xml:space="preserve"> and establishing arrangements to manage risks to the health and safety of persons</w:t>
      </w:r>
      <w:r w:rsidR="008C56A4">
        <w:rPr>
          <w:rFonts w:cs="Arial"/>
        </w:rPr>
        <w:t xml:space="preserve"> resulting from a reasonably foreseeable use of radiocommunications transmitters</w:t>
      </w:r>
      <w:r w:rsidRPr="008D2483">
        <w:rPr>
          <w:rFonts w:cs="Arial"/>
        </w:rPr>
        <w:t xml:space="preserve">. The </w:t>
      </w:r>
      <w:r w:rsidR="00717F8E">
        <w:rPr>
          <w:rFonts w:cs="Arial"/>
        </w:rPr>
        <w:t xml:space="preserve">equipment rules made under the Bill may </w:t>
      </w:r>
      <w:r w:rsidRPr="008D2483">
        <w:rPr>
          <w:rFonts w:cs="Arial"/>
        </w:rPr>
        <w:t>allow regulatory obligations to be met by a broader range of participants, rather than just the Australian manufacturer or importer, which will provide more flexibility to establish arrangements that are appropriate for modern supply chains.</w:t>
      </w:r>
    </w:p>
    <w:p w14:paraId="25D1FE34" w14:textId="06FC51AE" w:rsidR="008D2483" w:rsidRPr="008D2483" w:rsidRDefault="008D2483" w:rsidP="008D2483">
      <w:pPr>
        <w:pStyle w:val="Heading2"/>
      </w:pPr>
      <w:bookmarkStart w:id="8" w:name="_Toc481058291"/>
      <w:r w:rsidRPr="008D2483">
        <w:t xml:space="preserve">Proposed approach of </w:t>
      </w:r>
      <w:r w:rsidR="002266C9">
        <w:t>e</w:t>
      </w:r>
      <w:r w:rsidRPr="008D2483">
        <w:t xml:space="preserve">quipment </w:t>
      </w:r>
      <w:r w:rsidR="002266C9">
        <w:t>r</w:t>
      </w:r>
      <w:r w:rsidRPr="008D2483">
        <w:t>ules</w:t>
      </w:r>
      <w:bookmarkEnd w:id="8"/>
    </w:p>
    <w:p w14:paraId="0411D754" w14:textId="154449DB" w:rsidR="008D2483" w:rsidRPr="008D2483" w:rsidRDefault="008D2483" w:rsidP="008D2483">
      <w:pPr>
        <w:rPr>
          <w:rFonts w:cs="Arial"/>
          <w:sz w:val="24"/>
        </w:rPr>
      </w:pPr>
      <w:r w:rsidRPr="008D2483">
        <w:t>The ACMA will take</w:t>
      </w:r>
      <w:r w:rsidRPr="008D2483">
        <w:rPr>
          <w:rFonts w:cs="Arial"/>
        </w:rPr>
        <w:t xml:space="preserve"> an evidence-informed approach to implementing the Bill</w:t>
      </w:r>
      <w:r w:rsidR="002266C9">
        <w:rPr>
          <w:rFonts w:cs="Arial"/>
        </w:rPr>
        <w:t>,</w:t>
      </w:r>
      <w:r w:rsidRPr="008D2483">
        <w:rPr>
          <w:rFonts w:cs="Arial"/>
        </w:rPr>
        <w:t xml:space="preserve"> </w:t>
      </w:r>
      <w:r w:rsidR="00FD0A56">
        <w:rPr>
          <w:rFonts w:cs="Arial"/>
        </w:rPr>
        <w:t xml:space="preserve">if passed, </w:t>
      </w:r>
      <w:r w:rsidRPr="008D2483">
        <w:rPr>
          <w:rFonts w:cs="Arial"/>
        </w:rPr>
        <w:t xml:space="preserve">consistent with the government’s policies on best practice regulation and deregulation. In choosing the options with the greatest net benefit, the ACMA would gather the best available evidence including </w:t>
      </w:r>
      <w:r w:rsidR="0006308D">
        <w:rPr>
          <w:rFonts w:cs="Arial"/>
        </w:rPr>
        <w:t>by</w:t>
      </w:r>
      <w:r w:rsidR="0006308D" w:rsidRPr="008D2483">
        <w:rPr>
          <w:rFonts w:cs="Arial"/>
        </w:rPr>
        <w:t xml:space="preserve"> </w:t>
      </w:r>
      <w:r w:rsidRPr="008D2483">
        <w:rPr>
          <w:rFonts w:cs="Arial"/>
        </w:rPr>
        <w:t>seeking the views of current and prospective spectrum users and other key stakeholders.</w:t>
      </w:r>
    </w:p>
    <w:p w14:paraId="3B7E669A" w14:textId="5378432B" w:rsidR="008D2483" w:rsidRPr="008D2483" w:rsidRDefault="008D2483" w:rsidP="008D2483">
      <w:pPr>
        <w:spacing w:after="80"/>
        <w:rPr>
          <w:rFonts w:cs="Arial"/>
        </w:rPr>
      </w:pPr>
      <w:r w:rsidRPr="008D2483">
        <w:rPr>
          <w:rFonts w:cs="Arial"/>
        </w:rPr>
        <w:t xml:space="preserve">The ACMA anticipates that any </w:t>
      </w:r>
      <w:r w:rsidR="002266C9">
        <w:rPr>
          <w:rFonts w:cs="Arial"/>
        </w:rPr>
        <w:t>e</w:t>
      </w:r>
      <w:r w:rsidRPr="008D2483">
        <w:rPr>
          <w:rFonts w:cs="Arial"/>
        </w:rPr>
        <w:t xml:space="preserve">quipment </w:t>
      </w:r>
      <w:r w:rsidR="002266C9">
        <w:rPr>
          <w:rFonts w:cs="Arial"/>
        </w:rPr>
        <w:t>r</w:t>
      </w:r>
      <w:r w:rsidRPr="008D2483">
        <w:rPr>
          <w:rFonts w:cs="Arial"/>
        </w:rPr>
        <w:t>ules it may make would include four main parts:</w:t>
      </w:r>
    </w:p>
    <w:p w14:paraId="7B330329" w14:textId="47B5ADB3" w:rsidR="008D2483" w:rsidRPr="008D2483" w:rsidRDefault="002266C9" w:rsidP="008D2483">
      <w:pPr>
        <w:pStyle w:val="ListBullet"/>
      </w:pPr>
      <w:r>
        <w:t>g</w:t>
      </w:r>
      <w:r w:rsidR="008D2483" w:rsidRPr="008D2483">
        <w:t>eneral requirements, including labelling and supplier registration</w:t>
      </w:r>
    </w:p>
    <w:p w14:paraId="6F0D42EA" w14:textId="5DAE451F" w:rsidR="008D2483" w:rsidRPr="008D2483" w:rsidRDefault="008D2483" w:rsidP="008D2483">
      <w:pPr>
        <w:pStyle w:val="ListBullet"/>
      </w:pPr>
      <w:r w:rsidRPr="008D2483">
        <w:t>EME</w:t>
      </w:r>
      <w:r w:rsidR="008C56A4">
        <w:t xml:space="preserve"> standards, </w:t>
      </w:r>
      <w:r w:rsidRPr="008D2483">
        <w:t xml:space="preserve">and record-keeping </w:t>
      </w:r>
      <w:r w:rsidR="00717F8E">
        <w:t xml:space="preserve">requirements </w:t>
      </w:r>
      <w:r w:rsidRPr="008D2483">
        <w:t>for mobile/portable equipment and fixed transmitters</w:t>
      </w:r>
    </w:p>
    <w:p w14:paraId="6ACCF122" w14:textId="019E9653" w:rsidR="008D2483" w:rsidRPr="008D2483" w:rsidRDefault="008D2483" w:rsidP="008D2483">
      <w:pPr>
        <w:pStyle w:val="ListBullet"/>
      </w:pPr>
      <w:r w:rsidRPr="008D2483">
        <w:t>EMC standards and record</w:t>
      </w:r>
      <w:r w:rsidR="002266C9">
        <w:t>-</w:t>
      </w:r>
      <w:r w:rsidRPr="008D2483">
        <w:t xml:space="preserve">keeping </w:t>
      </w:r>
      <w:r w:rsidR="00717F8E">
        <w:t>requirements</w:t>
      </w:r>
    </w:p>
    <w:p w14:paraId="534B955E" w14:textId="3BF99C62" w:rsidR="008D2483" w:rsidRPr="008D2483" w:rsidRDefault="002266C9" w:rsidP="008D2483">
      <w:pPr>
        <w:pStyle w:val="ListBulletLast"/>
      </w:pPr>
      <w:r>
        <w:t>r</w:t>
      </w:r>
      <w:r w:rsidR="008D2483" w:rsidRPr="008D2483">
        <w:t>adiocommunications transmitter standards and record-keeping</w:t>
      </w:r>
      <w:r w:rsidR="00717F8E">
        <w:t xml:space="preserve"> requirements</w:t>
      </w:r>
      <w:r w:rsidR="008D2483" w:rsidRPr="008D2483">
        <w:t>.</w:t>
      </w:r>
    </w:p>
    <w:p w14:paraId="15AE2645" w14:textId="4E066867" w:rsidR="008D2483" w:rsidRPr="008D2483" w:rsidRDefault="008D2483" w:rsidP="008D2483">
      <w:pPr>
        <w:spacing w:after="80"/>
        <w:rPr>
          <w:rFonts w:cs="Arial"/>
        </w:rPr>
      </w:pPr>
      <w:r w:rsidRPr="008D2483">
        <w:rPr>
          <w:rFonts w:cs="Arial"/>
        </w:rPr>
        <w:t xml:space="preserve">In broad terms, the ACMA expects that the </w:t>
      </w:r>
      <w:r w:rsidR="002266C9">
        <w:rPr>
          <w:rFonts w:cs="Arial"/>
        </w:rPr>
        <w:t>e</w:t>
      </w:r>
      <w:r w:rsidRPr="008D2483">
        <w:rPr>
          <w:rFonts w:cs="Arial"/>
        </w:rPr>
        <w:t xml:space="preserve">quipment </w:t>
      </w:r>
      <w:r w:rsidR="002266C9">
        <w:rPr>
          <w:rFonts w:cs="Arial"/>
        </w:rPr>
        <w:t>r</w:t>
      </w:r>
      <w:r w:rsidRPr="008D2483">
        <w:rPr>
          <w:rFonts w:cs="Arial"/>
        </w:rPr>
        <w:t>ules would:</w:t>
      </w:r>
    </w:p>
    <w:p w14:paraId="54FEE6DA" w14:textId="77777777" w:rsidR="008D2483" w:rsidRPr="008D2483" w:rsidRDefault="008D2483" w:rsidP="008D2483">
      <w:pPr>
        <w:pStyle w:val="ListBullet"/>
      </w:pPr>
      <w:r w:rsidRPr="008D2483">
        <w:t>define the scope of the equipment to which each part applies, and the person responsible for ensuring the equipment complies with relevant requirements</w:t>
      </w:r>
    </w:p>
    <w:p w14:paraId="51EB2577" w14:textId="77777777" w:rsidR="008D2483" w:rsidRPr="008D2483" w:rsidRDefault="008D2483" w:rsidP="008D2483">
      <w:pPr>
        <w:pStyle w:val="ListBullet"/>
      </w:pPr>
      <w:r w:rsidRPr="008D2483">
        <w:t>differentiate between different categories of in-scope equipment according to the risk profile of the equipment</w:t>
      </w:r>
    </w:p>
    <w:p w14:paraId="45093221" w14:textId="4A613740" w:rsidR="008D2483" w:rsidRPr="008D2483" w:rsidDel="00737C87" w:rsidRDefault="008D2483" w:rsidP="008D2483">
      <w:pPr>
        <w:pStyle w:val="ListBulletLast"/>
      </w:pPr>
      <w:r w:rsidRPr="008D2483">
        <w:t xml:space="preserve">reference or adopt industry standards and specify the compliance documentation that can be used by </w:t>
      </w:r>
      <w:r w:rsidR="00717F8E">
        <w:t>the</w:t>
      </w:r>
      <w:r w:rsidRPr="008D2483">
        <w:t xml:space="preserve"> responsible </w:t>
      </w:r>
      <w:r w:rsidR="00717F8E">
        <w:t>entity</w:t>
      </w:r>
      <w:r w:rsidRPr="008D2483">
        <w:t xml:space="preserve"> to demonstrate compliance with those applicable standards. </w:t>
      </w:r>
    </w:p>
    <w:p w14:paraId="0CD4E50C" w14:textId="59F1B808" w:rsidR="008D2483" w:rsidRPr="008D2483" w:rsidRDefault="008D2483" w:rsidP="008D2483">
      <w:pPr>
        <w:spacing w:after="80"/>
        <w:rPr>
          <w:rFonts w:cs="Arial"/>
        </w:rPr>
      </w:pPr>
      <w:r w:rsidRPr="008D2483">
        <w:rPr>
          <w:rFonts w:cs="Arial"/>
        </w:rPr>
        <w:t xml:space="preserve">It is expected that Part </w:t>
      </w:r>
      <w:r w:rsidR="005549CA">
        <w:rPr>
          <w:rFonts w:cs="Arial"/>
        </w:rPr>
        <w:t>10</w:t>
      </w:r>
      <w:r w:rsidRPr="008D2483">
        <w:rPr>
          <w:rFonts w:cs="Arial"/>
        </w:rPr>
        <w:t xml:space="preserve"> of the Bill</w:t>
      </w:r>
      <w:r w:rsidR="00FD0A56">
        <w:rPr>
          <w:rFonts w:cs="Arial"/>
        </w:rPr>
        <w:t>, if passed,</w:t>
      </w:r>
      <w:r w:rsidRPr="008D2483">
        <w:rPr>
          <w:rFonts w:cs="Arial"/>
        </w:rPr>
        <w:t xml:space="preserve"> will enable the ACMA to make </w:t>
      </w:r>
      <w:r w:rsidR="002266C9">
        <w:rPr>
          <w:rFonts w:cs="Arial"/>
        </w:rPr>
        <w:t>e</w:t>
      </w:r>
      <w:r w:rsidRPr="008D2483">
        <w:rPr>
          <w:rFonts w:cs="Arial"/>
        </w:rPr>
        <w:t xml:space="preserve">quipment </w:t>
      </w:r>
      <w:r w:rsidR="002266C9">
        <w:rPr>
          <w:rFonts w:cs="Arial"/>
        </w:rPr>
        <w:t>r</w:t>
      </w:r>
      <w:r w:rsidRPr="008D2483">
        <w:rPr>
          <w:rFonts w:cs="Arial"/>
        </w:rPr>
        <w:t xml:space="preserve">ules that preserve the fundamental elements of the 1992 </w:t>
      </w:r>
      <w:r w:rsidR="0006308D">
        <w:rPr>
          <w:rFonts w:cs="Arial"/>
        </w:rPr>
        <w:t xml:space="preserve">Act </w:t>
      </w:r>
      <w:r w:rsidR="00717F8E">
        <w:rPr>
          <w:rFonts w:cs="Arial"/>
        </w:rPr>
        <w:t xml:space="preserve">equipment regulation </w:t>
      </w:r>
      <w:r w:rsidRPr="008D2483">
        <w:rPr>
          <w:rFonts w:cs="Arial"/>
        </w:rPr>
        <w:t>arrangements, including:</w:t>
      </w:r>
    </w:p>
    <w:p w14:paraId="5E63B4A8" w14:textId="40EC281E" w:rsidR="008D2483" w:rsidRPr="008D2483" w:rsidRDefault="002266C9" w:rsidP="008D2483">
      <w:pPr>
        <w:pStyle w:val="ListBullet"/>
      </w:pPr>
      <w:r>
        <w:t>t</w:t>
      </w:r>
      <w:r w:rsidR="008D2483" w:rsidRPr="008D2483">
        <w:t>he requirement that certain equipment display a compliance label (the Regulatory Compliance Mark or RCM), the use of which attests to compliance of the equipment with applicable standard/s</w:t>
      </w:r>
      <w:r w:rsidR="008A4957">
        <w:t xml:space="preserve"> </w:t>
      </w:r>
      <w:r w:rsidR="00717F8E">
        <w:t>and/</w:t>
      </w:r>
      <w:r w:rsidR="008A4957">
        <w:t>or other requirements</w:t>
      </w:r>
    </w:p>
    <w:p w14:paraId="32166CD2" w14:textId="59E0E9BB" w:rsidR="008D2483" w:rsidRPr="008D2483" w:rsidRDefault="002266C9" w:rsidP="008D2483">
      <w:pPr>
        <w:pStyle w:val="ListBullet"/>
      </w:pPr>
      <w:r>
        <w:t>r</w:t>
      </w:r>
      <w:r w:rsidR="008D2483" w:rsidRPr="008D2483">
        <w:t xml:space="preserve">ecord keeping obligations, labelling and supplier obligations imposed on a person (‘the responsible </w:t>
      </w:r>
      <w:r w:rsidR="00717F8E">
        <w:t>entity</w:t>
      </w:r>
      <w:r w:rsidR="00717F8E" w:rsidRPr="008D2483">
        <w:t>’</w:t>
      </w:r>
      <w:r w:rsidR="008D2483" w:rsidRPr="008D2483">
        <w:t xml:space="preserve">) in relation to equipment </w:t>
      </w:r>
    </w:p>
    <w:p w14:paraId="21597B53" w14:textId="5D9DB399" w:rsidR="008D2483" w:rsidRPr="008D2483" w:rsidRDefault="002266C9" w:rsidP="008D2483">
      <w:pPr>
        <w:pStyle w:val="ListBullet"/>
      </w:pPr>
      <w:r>
        <w:t>p</w:t>
      </w:r>
      <w:r w:rsidR="008D2483" w:rsidRPr="008D2483">
        <w:t>rohibitions or restrictions imposed on person</w:t>
      </w:r>
      <w:r w:rsidR="00717F8E">
        <w:t>s</w:t>
      </w:r>
      <w:r w:rsidR="008D2483" w:rsidRPr="008D2483">
        <w:t xml:space="preserve"> supplying a non-standard device, or a device that is required to be labelled under the </w:t>
      </w:r>
      <w:r>
        <w:t>e</w:t>
      </w:r>
      <w:r w:rsidR="008D2483" w:rsidRPr="008D2483">
        <w:t xml:space="preserve">quipment </w:t>
      </w:r>
      <w:r>
        <w:t>r</w:t>
      </w:r>
      <w:r w:rsidR="008D2483" w:rsidRPr="008D2483">
        <w:t>ules and does not bear the compliance label</w:t>
      </w:r>
    </w:p>
    <w:p w14:paraId="00DCDA20" w14:textId="05FFCB47" w:rsidR="008D2483" w:rsidRPr="008D2483" w:rsidRDefault="002266C9" w:rsidP="008D2483">
      <w:pPr>
        <w:pStyle w:val="ListBulletLast"/>
      </w:pPr>
      <w:r>
        <w:lastRenderedPageBreak/>
        <w:t>r</w:t>
      </w:r>
      <w:r w:rsidR="008D2483" w:rsidRPr="008D2483">
        <w:t>estrictions on the supply of certain equipment so that that equipment can only be legally supplied to the holder of the appropriate licence under the Bill, or a person authorised in writing by the licensee.</w:t>
      </w:r>
    </w:p>
    <w:p w14:paraId="33A8AF3B" w14:textId="6E19FC43" w:rsidR="008D2483" w:rsidRPr="008D2483" w:rsidRDefault="008D2483" w:rsidP="008D2483">
      <w:pPr>
        <w:spacing w:after="80"/>
        <w:rPr>
          <w:rFonts w:cs="Arial"/>
        </w:rPr>
      </w:pPr>
      <w:r w:rsidRPr="008D2483">
        <w:rPr>
          <w:rFonts w:cs="Arial"/>
        </w:rPr>
        <w:t xml:space="preserve">The ACMA may also consider making </w:t>
      </w:r>
      <w:r w:rsidR="002266C9">
        <w:rPr>
          <w:rFonts w:cs="Arial"/>
        </w:rPr>
        <w:t>e</w:t>
      </w:r>
      <w:r w:rsidRPr="008D2483">
        <w:rPr>
          <w:rFonts w:cs="Arial"/>
        </w:rPr>
        <w:t xml:space="preserve">quipment </w:t>
      </w:r>
      <w:r w:rsidR="002266C9">
        <w:rPr>
          <w:rFonts w:cs="Arial"/>
        </w:rPr>
        <w:t>r</w:t>
      </w:r>
      <w:r w:rsidRPr="008D2483">
        <w:rPr>
          <w:rFonts w:cs="Arial"/>
        </w:rPr>
        <w:t>ules that:</w:t>
      </w:r>
    </w:p>
    <w:p w14:paraId="69572759" w14:textId="77777777" w:rsidR="008D2483" w:rsidRPr="008D2483" w:rsidRDefault="008D2483" w:rsidP="008D2483">
      <w:pPr>
        <w:pStyle w:val="ListBullet"/>
      </w:pPr>
      <w:r w:rsidRPr="008D2483">
        <w:t>accommodate a wider range of arrangements for compliance responsibility</w:t>
      </w:r>
    </w:p>
    <w:p w14:paraId="4F8D8086" w14:textId="77777777" w:rsidR="008D2483" w:rsidRPr="008D2483" w:rsidRDefault="008D2483" w:rsidP="008D2483">
      <w:pPr>
        <w:pStyle w:val="ListBullet"/>
      </w:pPr>
      <w:r w:rsidRPr="008D2483">
        <w:t>simplify the regulatory arrangements for supply, including:</w:t>
      </w:r>
    </w:p>
    <w:p w14:paraId="02886827" w14:textId="77777777" w:rsidR="008D2483" w:rsidRPr="008D2483" w:rsidRDefault="008D2483" w:rsidP="008D2483">
      <w:pPr>
        <w:pStyle w:val="ListBullet2"/>
      </w:pPr>
      <w:r w:rsidRPr="008D2483">
        <w:t>direct adoption of international standards</w:t>
      </w:r>
    </w:p>
    <w:p w14:paraId="461060FB" w14:textId="77777777" w:rsidR="008D2483" w:rsidRPr="008D2483" w:rsidRDefault="008D2483" w:rsidP="008D2483">
      <w:pPr>
        <w:pStyle w:val="ListBullet2"/>
      </w:pPr>
      <w:r w:rsidRPr="008D2483">
        <w:t xml:space="preserve">greater scope for recognition of overseas compliance documentation </w:t>
      </w:r>
    </w:p>
    <w:p w14:paraId="7D655B98" w14:textId="7F55F385" w:rsidR="008D2483" w:rsidRPr="008D2483" w:rsidRDefault="008D2483" w:rsidP="008D2483">
      <w:pPr>
        <w:pStyle w:val="ListBullet2"/>
      </w:pPr>
      <w:r w:rsidRPr="008D2483">
        <w:t xml:space="preserve">removal of delays between amendments to spectrum authorisations and changes to relevant </w:t>
      </w:r>
      <w:r w:rsidR="00063315">
        <w:t xml:space="preserve">industry </w:t>
      </w:r>
      <w:r w:rsidRPr="008D2483">
        <w:t>technical standards</w:t>
      </w:r>
    </w:p>
    <w:p w14:paraId="3477C1F7" w14:textId="77777777" w:rsidR="008D2483" w:rsidRPr="008D2483" w:rsidRDefault="008D2483" w:rsidP="008D2483">
      <w:pPr>
        <w:pStyle w:val="ListBulletLast"/>
      </w:pPr>
      <w:r w:rsidRPr="008D2483">
        <w:t>consolidate regulatory requirements into a single regulatory instrument.</w:t>
      </w:r>
    </w:p>
    <w:p w14:paraId="7159025C" w14:textId="77777777" w:rsidR="008D2483" w:rsidRPr="008D2483" w:rsidRDefault="008D2483" w:rsidP="008D2483">
      <w:pPr>
        <w:pStyle w:val="Heading2"/>
      </w:pPr>
      <w:bookmarkStart w:id="9" w:name="_Toc481058292"/>
      <w:r w:rsidRPr="008D2483">
        <w:t>Responsible supplier</w:t>
      </w:r>
      <w:bookmarkEnd w:id="9"/>
    </w:p>
    <w:p w14:paraId="7EBC7742" w14:textId="0E917BE7" w:rsidR="008D2483" w:rsidRPr="008D2483" w:rsidRDefault="008D2483" w:rsidP="008D2483">
      <w:pPr>
        <w:rPr>
          <w:rFonts w:cs="Arial"/>
        </w:rPr>
      </w:pPr>
      <w:r w:rsidRPr="008D2483">
        <w:rPr>
          <w:rFonts w:cs="Arial"/>
        </w:rPr>
        <w:t xml:space="preserve">Under the 1992 </w:t>
      </w:r>
      <w:r w:rsidR="0006308D">
        <w:rPr>
          <w:rFonts w:cs="Arial"/>
        </w:rPr>
        <w:t xml:space="preserve">Act </w:t>
      </w:r>
      <w:r w:rsidR="00850E74">
        <w:rPr>
          <w:rFonts w:cs="Arial"/>
        </w:rPr>
        <w:t>device supply</w:t>
      </w:r>
      <w:r w:rsidR="00717F8E">
        <w:rPr>
          <w:rFonts w:cs="Arial"/>
        </w:rPr>
        <w:t xml:space="preserve"> </w:t>
      </w:r>
      <w:r w:rsidRPr="008D2483">
        <w:rPr>
          <w:rFonts w:cs="Arial"/>
        </w:rPr>
        <w:t xml:space="preserve">arrangements, the Australian manufacturer or importer of a product is responsible for record-keeping and labelling obligations that apply to the product. The importer or manufacturer may authorise an Australian-based agent to carry out the compliance requirements on its behalf. In such instances, a written agency agreement must exist between the agent (in Australia) and the supplier. The agreement must identify the agent as the person responsible for the compliance arrangements on behalf of the supplier. </w:t>
      </w:r>
      <w:r w:rsidR="00717F8E">
        <w:rPr>
          <w:rFonts w:cs="Arial"/>
        </w:rPr>
        <w:t>However, an importer or manufacturer, or an agent of the importer of manufacturer may also authorise another person to apply labels</w:t>
      </w:r>
      <w:r w:rsidR="002261B2">
        <w:rPr>
          <w:rFonts w:cs="Arial"/>
        </w:rPr>
        <w:t>, and maintain compliance documentation,</w:t>
      </w:r>
      <w:r w:rsidR="00717F8E">
        <w:rPr>
          <w:rFonts w:cs="Arial"/>
        </w:rPr>
        <w:t xml:space="preserve"> on their behalf. </w:t>
      </w:r>
      <w:r w:rsidRPr="008D2483">
        <w:rPr>
          <w:rFonts w:cs="Arial"/>
        </w:rPr>
        <w:t xml:space="preserve"> </w:t>
      </w:r>
    </w:p>
    <w:p w14:paraId="1F38184A" w14:textId="6EEEFBA9" w:rsidR="008D2483" w:rsidRPr="008D2483" w:rsidRDefault="008D2483" w:rsidP="008D2483">
      <w:pPr>
        <w:rPr>
          <w:rFonts w:cs="Arial"/>
        </w:rPr>
      </w:pPr>
      <w:r w:rsidRPr="008D2483">
        <w:rPr>
          <w:rFonts w:cs="Arial"/>
        </w:rPr>
        <w:t>The Bill, if passed, would allow the ACMA flexibility in identifying responsibility for device compliance. Record-keeping obligations could be tailored to</w:t>
      </w:r>
      <w:r w:rsidR="002266C9">
        <w:rPr>
          <w:rFonts w:cs="Arial"/>
        </w:rPr>
        <w:t>,</w:t>
      </w:r>
      <w:r w:rsidRPr="008D2483">
        <w:rPr>
          <w:rFonts w:cs="Arial"/>
        </w:rPr>
        <w:t xml:space="preserve"> and imposed on</w:t>
      </w:r>
      <w:r w:rsidR="002266C9">
        <w:rPr>
          <w:rFonts w:cs="Arial"/>
        </w:rPr>
        <w:t>,</w:t>
      </w:r>
      <w:r w:rsidRPr="008D2483">
        <w:rPr>
          <w:rFonts w:cs="Arial"/>
        </w:rPr>
        <w:t xml:space="preserve"> the appropriate person in the supply chain, while still providing certainty to industry. </w:t>
      </w:r>
    </w:p>
    <w:p w14:paraId="4608855B" w14:textId="442B1950" w:rsidR="008D2483" w:rsidRPr="008D2483" w:rsidRDefault="008D2483">
      <w:r w:rsidRPr="008D2483">
        <w:t xml:space="preserve">In recognition of modern supply models, the ACMA expects to consider if there is scope for the </w:t>
      </w:r>
      <w:r w:rsidR="002266C9">
        <w:t>e</w:t>
      </w:r>
      <w:r w:rsidRPr="008D2483">
        <w:t xml:space="preserve">quipment </w:t>
      </w:r>
      <w:r w:rsidR="002266C9">
        <w:t>r</w:t>
      </w:r>
      <w:r w:rsidRPr="008D2483">
        <w:t>ules to allow an overseas manufacturer to authorise an Australian agent to assume compliance obligations on behalf of multiple importers of specified products. This would allow a person to operate as an ‘agent</w:t>
      </w:r>
      <w:r w:rsidR="002266C9">
        <w:t>-</w:t>
      </w:r>
      <w:r w:rsidRPr="008D2483">
        <w:t>at</w:t>
      </w:r>
      <w:r w:rsidR="002266C9">
        <w:t>-</w:t>
      </w:r>
      <w:r w:rsidRPr="008D2483">
        <w:t xml:space="preserve">large’ for particular equipment.  </w:t>
      </w:r>
    </w:p>
    <w:p w14:paraId="4FF0CFEC" w14:textId="3A359DD7" w:rsidR="008D2483" w:rsidRPr="008D2483" w:rsidRDefault="008D2483" w:rsidP="008D2483">
      <w:pPr>
        <w:rPr>
          <w:rFonts w:cs="Arial"/>
        </w:rPr>
      </w:pPr>
      <w:r w:rsidRPr="008D2483">
        <w:rPr>
          <w:rFonts w:cs="Arial"/>
        </w:rPr>
        <w:t xml:space="preserve">The Bill may also enable the ACMA to impose record-keeping or information production obligations on persons other than ‘importers’ and ‘manufacturers’. For example, the </w:t>
      </w:r>
      <w:r w:rsidR="002266C9">
        <w:rPr>
          <w:rFonts w:cs="Arial"/>
        </w:rPr>
        <w:t>e</w:t>
      </w:r>
      <w:r w:rsidRPr="008D2483">
        <w:rPr>
          <w:rFonts w:cs="Arial"/>
        </w:rPr>
        <w:t xml:space="preserve">quipment </w:t>
      </w:r>
      <w:r w:rsidR="002266C9">
        <w:rPr>
          <w:rFonts w:cs="Arial"/>
        </w:rPr>
        <w:t>r</w:t>
      </w:r>
      <w:r w:rsidRPr="008D2483">
        <w:rPr>
          <w:rFonts w:cs="Arial"/>
        </w:rPr>
        <w:t xml:space="preserve">ules could impose obligations on a person arranging for the import of a product from a supplier to an end-user in Australia. Record-keeping obligations on a person other than the </w:t>
      </w:r>
      <w:r w:rsidR="002261B2">
        <w:rPr>
          <w:rFonts w:cs="Arial"/>
        </w:rPr>
        <w:t xml:space="preserve">importer or manufacturer </w:t>
      </w:r>
      <w:r w:rsidRPr="008D2483">
        <w:rPr>
          <w:rFonts w:cs="Arial"/>
        </w:rPr>
        <w:t xml:space="preserve">would be subject to normal checks and balances that apply to legislative instruments, including best practice regulation requirements published by the Office of Best Practice Regulation. </w:t>
      </w:r>
    </w:p>
    <w:p w14:paraId="64655EBC" w14:textId="77777777" w:rsidR="008D2483" w:rsidRPr="008D2483" w:rsidRDefault="008D2483" w:rsidP="008D2483">
      <w:pPr>
        <w:pStyle w:val="Heading2"/>
      </w:pPr>
      <w:bookmarkStart w:id="10" w:name="_Toc481058293"/>
      <w:r w:rsidRPr="008D2483">
        <w:t>Technical standards</w:t>
      </w:r>
      <w:bookmarkEnd w:id="10"/>
    </w:p>
    <w:p w14:paraId="1FF02F83" w14:textId="4476E2FC" w:rsidR="008D2483" w:rsidRPr="008D2483" w:rsidRDefault="008D2483" w:rsidP="008D2483">
      <w:pPr>
        <w:rPr>
          <w:rFonts w:cs="Arial"/>
        </w:rPr>
      </w:pPr>
      <w:r w:rsidRPr="008D2483">
        <w:rPr>
          <w:rFonts w:cs="Arial"/>
        </w:rPr>
        <w:t xml:space="preserve">Consistent with </w:t>
      </w:r>
      <w:r w:rsidR="002266C9">
        <w:rPr>
          <w:rFonts w:cs="Arial"/>
        </w:rPr>
        <w:t>g</w:t>
      </w:r>
      <w:r w:rsidRPr="008D2483">
        <w:rPr>
          <w:rFonts w:cs="Arial"/>
        </w:rPr>
        <w:t xml:space="preserve">overnment policy, the ACMA would consider making </w:t>
      </w:r>
      <w:r w:rsidR="002266C9">
        <w:rPr>
          <w:rFonts w:cs="Arial"/>
        </w:rPr>
        <w:t>e</w:t>
      </w:r>
      <w:r w:rsidRPr="008D2483">
        <w:rPr>
          <w:rFonts w:cs="Arial"/>
        </w:rPr>
        <w:t xml:space="preserve">quipment </w:t>
      </w:r>
      <w:r w:rsidR="002266C9">
        <w:rPr>
          <w:rFonts w:cs="Arial"/>
        </w:rPr>
        <w:t>r</w:t>
      </w:r>
      <w:r w:rsidRPr="008D2483">
        <w:rPr>
          <w:rFonts w:cs="Arial"/>
        </w:rPr>
        <w:t xml:space="preserve">ules that </w:t>
      </w:r>
      <w:r w:rsidR="002261B2">
        <w:rPr>
          <w:rFonts w:cs="Arial"/>
        </w:rPr>
        <w:t>pres</w:t>
      </w:r>
      <w:r w:rsidR="00DE705F">
        <w:rPr>
          <w:rFonts w:cs="Arial"/>
        </w:rPr>
        <w:t>c</w:t>
      </w:r>
      <w:r w:rsidR="002261B2">
        <w:rPr>
          <w:rFonts w:cs="Arial"/>
        </w:rPr>
        <w:t xml:space="preserve">ribe </w:t>
      </w:r>
      <w:r w:rsidRPr="008D2483">
        <w:rPr>
          <w:rFonts w:cs="Arial"/>
        </w:rPr>
        <w:t xml:space="preserve">international standards </w:t>
      </w:r>
      <w:r w:rsidR="002261B2">
        <w:rPr>
          <w:rFonts w:cs="Arial"/>
        </w:rPr>
        <w:t xml:space="preserve">directly </w:t>
      </w:r>
      <w:r w:rsidRPr="008D2483">
        <w:rPr>
          <w:rFonts w:cs="Arial"/>
        </w:rPr>
        <w:t xml:space="preserve">wherever possible. The ACMA would generally adopt or refer to Australian standards only where necessary (typically because of Australian or region-specific spectrum arrangements). The ACMA expects to look to expert Australian technical committees for advice on the appropriate standard to </w:t>
      </w:r>
      <w:r w:rsidR="002261B2">
        <w:rPr>
          <w:rFonts w:cs="Arial"/>
        </w:rPr>
        <w:t>prescribe</w:t>
      </w:r>
      <w:r w:rsidRPr="008D2483">
        <w:rPr>
          <w:rFonts w:cs="Arial"/>
        </w:rPr>
        <w:t xml:space="preserve">. </w:t>
      </w:r>
      <w:r w:rsidR="00EB7D36">
        <w:rPr>
          <w:rFonts w:cs="Arial"/>
        </w:rPr>
        <w:t xml:space="preserve">Where appropriate, the ACMA may consider a flexible approach to </w:t>
      </w:r>
      <w:r w:rsidR="002261B2">
        <w:rPr>
          <w:rFonts w:cs="Arial"/>
        </w:rPr>
        <w:t xml:space="preserve">demonstrating compliance by reference to international </w:t>
      </w:r>
      <w:r w:rsidR="00EB7D36">
        <w:rPr>
          <w:rFonts w:cs="Arial"/>
        </w:rPr>
        <w:t>standards</w:t>
      </w:r>
      <w:r w:rsidR="000F4BE4">
        <w:rPr>
          <w:rFonts w:cs="Arial"/>
        </w:rPr>
        <w:t>.</w:t>
      </w:r>
      <w:r w:rsidR="00EB7D36">
        <w:rPr>
          <w:rFonts w:cs="Arial"/>
        </w:rPr>
        <w:t xml:space="preserve"> </w:t>
      </w:r>
      <w:r w:rsidR="00EB7D36" w:rsidRPr="008D2483">
        <w:rPr>
          <w:rFonts w:cs="Arial"/>
        </w:rPr>
        <w:t>The</w:t>
      </w:r>
      <w:r w:rsidRPr="008D2483">
        <w:rPr>
          <w:rFonts w:cs="Arial"/>
        </w:rPr>
        <w:t xml:space="preserve"> ACMA expects that the </w:t>
      </w:r>
      <w:r w:rsidR="002266C9">
        <w:rPr>
          <w:rFonts w:cs="Arial"/>
        </w:rPr>
        <w:t>e</w:t>
      </w:r>
      <w:r w:rsidRPr="008D2483">
        <w:rPr>
          <w:rFonts w:cs="Arial"/>
        </w:rPr>
        <w:t xml:space="preserve">quipment </w:t>
      </w:r>
      <w:r w:rsidR="002266C9">
        <w:rPr>
          <w:rFonts w:cs="Arial"/>
        </w:rPr>
        <w:t>r</w:t>
      </w:r>
      <w:r w:rsidRPr="008D2483">
        <w:rPr>
          <w:rFonts w:cs="Arial"/>
        </w:rPr>
        <w:t>ules will cater for the operation of international agreements</w:t>
      </w:r>
      <w:r w:rsidR="00FD0A56">
        <w:rPr>
          <w:rFonts w:cs="Arial"/>
        </w:rPr>
        <w:t>,</w:t>
      </w:r>
      <w:r w:rsidRPr="008D2483">
        <w:rPr>
          <w:rFonts w:cs="Arial"/>
        </w:rPr>
        <w:t xml:space="preserve"> such as </w:t>
      </w:r>
      <w:r w:rsidR="00FD0A56">
        <w:rPr>
          <w:rFonts w:cs="Arial"/>
        </w:rPr>
        <w:t>m</w:t>
      </w:r>
      <w:r w:rsidRPr="008D2483">
        <w:rPr>
          <w:rFonts w:cs="Arial"/>
        </w:rPr>
        <w:t xml:space="preserve">utual </w:t>
      </w:r>
      <w:r w:rsidR="00FD0A56">
        <w:rPr>
          <w:rFonts w:cs="Arial"/>
        </w:rPr>
        <w:t>r</w:t>
      </w:r>
      <w:r w:rsidRPr="008D2483">
        <w:rPr>
          <w:rFonts w:cs="Arial"/>
        </w:rPr>
        <w:t xml:space="preserve">ecognition </w:t>
      </w:r>
      <w:r w:rsidR="00FD0A56">
        <w:rPr>
          <w:rFonts w:cs="Arial"/>
        </w:rPr>
        <w:t>a</w:t>
      </w:r>
      <w:r w:rsidRPr="008D2483">
        <w:rPr>
          <w:rFonts w:cs="Arial"/>
        </w:rPr>
        <w:t>greements.</w:t>
      </w:r>
    </w:p>
    <w:p w14:paraId="5C5B6691" w14:textId="1FEEBDFB" w:rsidR="008D2483" w:rsidRPr="008D2483" w:rsidRDefault="008D2483" w:rsidP="008D2483">
      <w:pPr>
        <w:rPr>
          <w:rFonts w:cs="Arial"/>
        </w:rPr>
      </w:pPr>
      <w:r w:rsidRPr="008D2483">
        <w:rPr>
          <w:rFonts w:cs="Arial"/>
        </w:rPr>
        <w:lastRenderedPageBreak/>
        <w:t xml:space="preserve">The ACMA expects to consider </w:t>
      </w:r>
      <w:r w:rsidR="00850E74">
        <w:rPr>
          <w:rFonts w:cs="Arial"/>
        </w:rPr>
        <w:t>whether it is possible and practical to adapt the existing</w:t>
      </w:r>
      <w:r w:rsidRPr="008D2483">
        <w:rPr>
          <w:rFonts w:cs="Arial"/>
        </w:rPr>
        <w:t xml:space="preserve"> approach for </w:t>
      </w:r>
      <w:r w:rsidR="002261B2">
        <w:rPr>
          <w:rFonts w:cs="Arial"/>
        </w:rPr>
        <w:t xml:space="preserve">prescribing </w:t>
      </w:r>
      <w:r w:rsidR="009E3729">
        <w:rPr>
          <w:rFonts w:cs="Arial"/>
        </w:rPr>
        <w:t xml:space="preserve">industry </w:t>
      </w:r>
      <w:r w:rsidRPr="008D2483">
        <w:rPr>
          <w:rFonts w:cs="Arial"/>
        </w:rPr>
        <w:t xml:space="preserve">EMC standards </w:t>
      </w:r>
      <w:r w:rsidR="002261B2">
        <w:rPr>
          <w:rFonts w:cs="Arial"/>
        </w:rPr>
        <w:t xml:space="preserve">in relation to </w:t>
      </w:r>
      <w:r w:rsidRPr="008D2483">
        <w:rPr>
          <w:rFonts w:cs="Arial"/>
        </w:rPr>
        <w:t xml:space="preserve">other </w:t>
      </w:r>
      <w:r w:rsidR="008C56A4">
        <w:rPr>
          <w:rFonts w:cs="Arial"/>
        </w:rPr>
        <w:t xml:space="preserve">industry </w:t>
      </w:r>
      <w:r w:rsidRPr="008D2483">
        <w:rPr>
          <w:rFonts w:cs="Arial"/>
        </w:rPr>
        <w:t xml:space="preserve">technical standards in the </w:t>
      </w:r>
      <w:r w:rsidR="00FD0A56">
        <w:rPr>
          <w:rFonts w:cs="Arial"/>
        </w:rPr>
        <w:t>e</w:t>
      </w:r>
      <w:r w:rsidRPr="008D2483">
        <w:rPr>
          <w:rFonts w:cs="Arial"/>
        </w:rPr>
        <w:t xml:space="preserve">quipment </w:t>
      </w:r>
      <w:r w:rsidR="00FD0A56">
        <w:rPr>
          <w:rFonts w:cs="Arial"/>
        </w:rPr>
        <w:t>r</w:t>
      </w:r>
      <w:r w:rsidRPr="008D2483">
        <w:rPr>
          <w:rFonts w:cs="Arial"/>
        </w:rPr>
        <w:t xml:space="preserve">ules. Under the approach already in place for EMC standards, suppliers are referred directly to industry standards listed on the ACMA website. If this approach were to be implemented more generally in the </w:t>
      </w:r>
      <w:r w:rsidR="002266C9">
        <w:rPr>
          <w:rFonts w:cs="Arial"/>
        </w:rPr>
        <w:t>e</w:t>
      </w:r>
      <w:r w:rsidRPr="008D2483">
        <w:rPr>
          <w:rFonts w:cs="Arial"/>
        </w:rPr>
        <w:t xml:space="preserve">quipment </w:t>
      </w:r>
      <w:r w:rsidR="002266C9">
        <w:rPr>
          <w:rFonts w:cs="Arial"/>
        </w:rPr>
        <w:t>r</w:t>
      </w:r>
      <w:r w:rsidRPr="008D2483">
        <w:rPr>
          <w:rFonts w:cs="Arial"/>
        </w:rPr>
        <w:t xml:space="preserve">ules, the ACMA would no longer make separate technical standards that reference or adopt industry standards. The </w:t>
      </w:r>
      <w:r w:rsidR="002266C9">
        <w:rPr>
          <w:rFonts w:cs="Arial"/>
        </w:rPr>
        <w:t>e</w:t>
      </w:r>
      <w:r w:rsidRPr="008D2483">
        <w:rPr>
          <w:rFonts w:cs="Arial"/>
        </w:rPr>
        <w:t xml:space="preserve">quipment </w:t>
      </w:r>
      <w:r w:rsidR="002266C9">
        <w:rPr>
          <w:rFonts w:cs="Arial"/>
        </w:rPr>
        <w:t>r</w:t>
      </w:r>
      <w:r w:rsidRPr="008D2483">
        <w:rPr>
          <w:rFonts w:cs="Arial"/>
        </w:rPr>
        <w:t xml:space="preserve">ules would refer directly to the industry standard, rather than through a separate instrument. This </w:t>
      </w:r>
      <w:r w:rsidR="000F4BE4">
        <w:rPr>
          <w:rFonts w:cs="Arial"/>
        </w:rPr>
        <w:t>could</w:t>
      </w:r>
      <w:r w:rsidR="000F4BE4" w:rsidRPr="008D2483">
        <w:rPr>
          <w:rFonts w:cs="Arial"/>
        </w:rPr>
        <w:t xml:space="preserve"> </w:t>
      </w:r>
      <w:r w:rsidRPr="008D2483">
        <w:rPr>
          <w:rFonts w:cs="Arial"/>
        </w:rPr>
        <w:t>allow the ACMA to improve the transparency between ACMA regulatory requirements and underlying industry standards.</w:t>
      </w:r>
    </w:p>
    <w:p w14:paraId="397AA86F" w14:textId="77777777" w:rsidR="008D2483" w:rsidRPr="008D2483" w:rsidRDefault="008D2483" w:rsidP="008D2483">
      <w:pPr>
        <w:pStyle w:val="Heading2"/>
      </w:pPr>
      <w:bookmarkStart w:id="11" w:name="_Toc481058294"/>
      <w:r w:rsidRPr="008D2483">
        <w:t>Record-keeping requirements</w:t>
      </w:r>
      <w:bookmarkEnd w:id="11"/>
    </w:p>
    <w:p w14:paraId="319C8969" w14:textId="04A4AB12" w:rsidR="008D2483" w:rsidRPr="008D2483" w:rsidRDefault="008D2483" w:rsidP="008D2483">
      <w:pPr>
        <w:rPr>
          <w:rFonts w:cs="Arial"/>
        </w:rPr>
      </w:pPr>
      <w:r w:rsidRPr="008D2483">
        <w:rPr>
          <w:rFonts w:cs="Arial"/>
        </w:rPr>
        <w:t xml:space="preserve">The Bill would provide the ACMA with the flexibility to recognise overseas compliance documentation </w:t>
      </w:r>
      <w:r w:rsidR="002261B2">
        <w:rPr>
          <w:rFonts w:cs="Arial"/>
        </w:rPr>
        <w:t xml:space="preserve">through </w:t>
      </w:r>
      <w:r w:rsidRPr="008D2483">
        <w:rPr>
          <w:rFonts w:cs="Arial"/>
        </w:rPr>
        <w:t xml:space="preserve">the </w:t>
      </w:r>
      <w:r w:rsidR="002266C9">
        <w:rPr>
          <w:rFonts w:cs="Arial"/>
        </w:rPr>
        <w:t>e</w:t>
      </w:r>
      <w:r w:rsidRPr="008D2483">
        <w:rPr>
          <w:rFonts w:cs="Arial"/>
        </w:rPr>
        <w:t xml:space="preserve">quipment </w:t>
      </w:r>
      <w:r w:rsidR="002266C9">
        <w:rPr>
          <w:rFonts w:cs="Arial"/>
        </w:rPr>
        <w:t>r</w:t>
      </w:r>
      <w:r w:rsidRPr="008D2483">
        <w:rPr>
          <w:rFonts w:cs="Arial"/>
        </w:rPr>
        <w:t xml:space="preserve">ules. This may allow the ACMA to list overseas compliance documentation that can be used to demonstrate compliance with a particular national or international standard </w:t>
      </w:r>
      <w:r w:rsidR="00FC1BD8">
        <w:rPr>
          <w:rFonts w:cs="Arial"/>
        </w:rPr>
        <w:t xml:space="preserve">referenced in </w:t>
      </w:r>
      <w:r w:rsidRPr="008D2483">
        <w:rPr>
          <w:rFonts w:cs="Arial"/>
        </w:rPr>
        <w:t xml:space="preserve">the </w:t>
      </w:r>
      <w:r w:rsidR="002266C9">
        <w:rPr>
          <w:rFonts w:cs="Arial"/>
        </w:rPr>
        <w:t>e</w:t>
      </w:r>
      <w:r w:rsidRPr="008D2483">
        <w:rPr>
          <w:rFonts w:cs="Arial"/>
        </w:rPr>
        <w:t xml:space="preserve">quipment </w:t>
      </w:r>
      <w:r w:rsidR="002266C9">
        <w:rPr>
          <w:rFonts w:cs="Arial"/>
        </w:rPr>
        <w:t>r</w:t>
      </w:r>
      <w:r w:rsidRPr="008D2483">
        <w:rPr>
          <w:rFonts w:cs="Arial"/>
        </w:rPr>
        <w:t xml:space="preserve">ules.  </w:t>
      </w:r>
    </w:p>
    <w:p w14:paraId="5D5047E0" w14:textId="5C1AA4A9" w:rsidR="008D2483" w:rsidRPr="008D2483" w:rsidRDefault="008D2483" w:rsidP="008D2483">
      <w:pPr>
        <w:pStyle w:val="Heading2"/>
      </w:pPr>
      <w:bookmarkStart w:id="12" w:name="_Toc481058295"/>
      <w:r w:rsidRPr="008D2483">
        <w:t xml:space="preserve">Relationship between </w:t>
      </w:r>
      <w:r w:rsidR="002266C9">
        <w:t>e</w:t>
      </w:r>
      <w:r w:rsidRPr="008D2483">
        <w:t xml:space="preserve">quipment </w:t>
      </w:r>
      <w:r w:rsidR="002266C9">
        <w:t>r</w:t>
      </w:r>
      <w:r w:rsidRPr="008D2483">
        <w:t xml:space="preserve">ules and </w:t>
      </w:r>
      <w:r w:rsidR="002266C9">
        <w:t>s</w:t>
      </w:r>
      <w:r w:rsidRPr="008D2483">
        <w:t xml:space="preserve">pectrum </w:t>
      </w:r>
      <w:r w:rsidR="002266C9">
        <w:t>a</w:t>
      </w:r>
      <w:r w:rsidRPr="008D2483">
        <w:t>uthorisations</w:t>
      </w:r>
      <w:bookmarkEnd w:id="12"/>
    </w:p>
    <w:p w14:paraId="6BE24832" w14:textId="68E3E7F4" w:rsidR="008D2483" w:rsidRPr="008D2483" w:rsidRDefault="008D2483" w:rsidP="008D2483">
      <w:pPr>
        <w:rPr>
          <w:rFonts w:cs="Arial"/>
        </w:rPr>
      </w:pPr>
      <w:r w:rsidRPr="008D2483">
        <w:rPr>
          <w:rFonts w:cs="Arial"/>
        </w:rPr>
        <w:t>The ACMA expects to consider adopting a more transparent relationship between the technical parameters relevant to the supply of devices, including industry standards, and the relevant spectrum authorisation. Where feasible, this approach could provide benefits to suppliers and users by allowing automatic updates to supply requirements after changes to spectrum authorisations. This could reduce delay costs by shortening the time to market for devices operated under spectrum authorisations</w:t>
      </w:r>
      <w:r w:rsidR="002266C9">
        <w:rPr>
          <w:rFonts w:cs="Arial"/>
        </w:rPr>
        <w:t>.</w:t>
      </w:r>
      <w:r w:rsidRPr="008D2483">
        <w:rPr>
          <w:rStyle w:val="FootnoteReference"/>
          <w:rFonts w:cs="Arial"/>
        </w:rPr>
        <w:footnoteReference w:id="3"/>
      </w:r>
    </w:p>
    <w:p w14:paraId="62F88E9D" w14:textId="77777777" w:rsidR="008D2483" w:rsidRPr="008D2483" w:rsidRDefault="008D2483" w:rsidP="008D2483">
      <w:pPr>
        <w:pStyle w:val="Heading2"/>
      </w:pPr>
      <w:bookmarkStart w:id="13" w:name="_Toc481058296"/>
      <w:r w:rsidRPr="008D2483">
        <w:t>EME requirements</w:t>
      </w:r>
      <w:bookmarkEnd w:id="13"/>
    </w:p>
    <w:p w14:paraId="7483FEF7" w14:textId="555BD3AA" w:rsidR="008D2483" w:rsidRPr="008D2483" w:rsidRDefault="008D2483" w:rsidP="008D2483">
      <w:pPr>
        <w:spacing w:after="80"/>
        <w:rPr>
          <w:rFonts w:cs="Arial"/>
        </w:rPr>
      </w:pPr>
      <w:r w:rsidRPr="008D2483">
        <w:rPr>
          <w:rFonts w:cs="Arial"/>
        </w:rPr>
        <w:t xml:space="preserve">The Bill provides the opportunity to consolidate EME arrangements for mobile/portable end-user equipment and fixed location transmitters. This approach </w:t>
      </w:r>
      <w:r w:rsidR="002261B2">
        <w:rPr>
          <w:rFonts w:cs="Arial"/>
        </w:rPr>
        <w:t xml:space="preserve">may </w:t>
      </w:r>
      <w:r w:rsidRPr="008D2483">
        <w:rPr>
          <w:rFonts w:cs="Arial"/>
        </w:rPr>
        <w:t xml:space="preserve">simplify industry EME compliance requirements by including supply requirements and operational conditions in a single legislative instrument. This approach </w:t>
      </w:r>
      <w:r w:rsidR="002261B2">
        <w:rPr>
          <w:rFonts w:cs="Arial"/>
        </w:rPr>
        <w:t>might</w:t>
      </w:r>
      <w:r w:rsidRPr="008D2483">
        <w:rPr>
          <w:rFonts w:cs="Arial"/>
        </w:rPr>
        <w:t xml:space="preserve"> entail the </w:t>
      </w:r>
      <w:r w:rsidR="002266C9">
        <w:rPr>
          <w:rFonts w:cs="Arial"/>
        </w:rPr>
        <w:t>e</w:t>
      </w:r>
      <w:r w:rsidRPr="008D2483">
        <w:rPr>
          <w:rFonts w:cs="Arial"/>
        </w:rPr>
        <w:t xml:space="preserve">quipment </w:t>
      </w:r>
      <w:r w:rsidR="002266C9">
        <w:rPr>
          <w:rFonts w:cs="Arial"/>
        </w:rPr>
        <w:t>r</w:t>
      </w:r>
      <w:r w:rsidRPr="008D2483">
        <w:rPr>
          <w:rFonts w:cs="Arial"/>
        </w:rPr>
        <w:t>ules replacing</w:t>
      </w:r>
      <w:r w:rsidR="002266C9">
        <w:rPr>
          <w:rFonts w:cs="Arial"/>
        </w:rPr>
        <w:t xml:space="preserve"> the</w:t>
      </w:r>
      <w:r w:rsidRPr="008D2483">
        <w:rPr>
          <w:rFonts w:cs="Arial"/>
        </w:rPr>
        <w:t>:</w:t>
      </w:r>
    </w:p>
    <w:p w14:paraId="06D93315" w14:textId="68217025" w:rsidR="008D2483" w:rsidRPr="008D2483" w:rsidRDefault="008D2483" w:rsidP="008D2483">
      <w:pPr>
        <w:pStyle w:val="ListBullet"/>
      </w:pPr>
      <w:r w:rsidRPr="008D2483">
        <w:t>Radiocommunications (Compliance Labelling – Electromagnetic Radiation) Notice 2014</w:t>
      </w:r>
    </w:p>
    <w:p w14:paraId="55896F17" w14:textId="4DAED312" w:rsidR="008D2483" w:rsidRPr="008D2483" w:rsidRDefault="008D2483" w:rsidP="008D2483">
      <w:pPr>
        <w:pStyle w:val="ListBullet"/>
      </w:pPr>
      <w:r w:rsidRPr="008D2483">
        <w:t xml:space="preserve">Radiocommunications (Electromagnetic Radiation </w:t>
      </w:r>
      <w:r w:rsidR="00FD0A56">
        <w:t>–</w:t>
      </w:r>
      <w:r w:rsidR="00FD0A56" w:rsidRPr="008D2483">
        <w:t xml:space="preserve"> </w:t>
      </w:r>
      <w:r w:rsidRPr="008D2483">
        <w:t>Human Exposure) Standard 2014</w:t>
      </w:r>
    </w:p>
    <w:p w14:paraId="1477A39E" w14:textId="46E438B3" w:rsidR="008D2483" w:rsidRPr="008D2483" w:rsidRDefault="008D2483" w:rsidP="008D2483">
      <w:pPr>
        <w:pStyle w:val="ListBulletLast"/>
      </w:pPr>
      <w:r w:rsidRPr="008D2483">
        <w:t>EME conditions specified in the Radiocommunications Licence Conditions (Apparatus Licence) Determination 2015 and the Radiocommunications Licence Conditions (Temporary Community Broadcasting Licence) Determination 2015.</w:t>
      </w:r>
    </w:p>
    <w:p w14:paraId="4CCCAB35" w14:textId="48D5DF45" w:rsidR="008D2483" w:rsidRPr="008D2483" w:rsidRDefault="008D2483" w:rsidP="008D2483">
      <w:pPr>
        <w:rPr>
          <w:rFonts w:cs="Arial"/>
        </w:rPr>
      </w:pPr>
      <w:r w:rsidRPr="008D2483">
        <w:t>The Bill</w:t>
      </w:r>
      <w:r w:rsidRPr="008D2483">
        <w:rPr>
          <w:rFonts w:cs="Arial"/>
        </w:rPr>
        <w:t xml:space="preserve"> proposes a requirement that the ACMA consult with the Australian Radiation Protection and Nuclear Safety Agency (ARPANSA) prior to making </w:t>
      </w:r>
      <w:r w:rsidR="002266C9">
        <w:rPr>
          <w:rFonts w:cs="Arial"/>
        </w:rPr>
        <w:t>e</w:t>
      </w:r>
      <w:r w:rsidRPr="008D2483">
        <w:rPr>
          <w:rFonts w:cs="Arial"/>
        </w:rPr>
        <w:t xml:space="preserve">quipment </w:t>
      </w:r>
      <w:r w:rsidR="002266C9">
        <w:rPr>
          <w:rFonts w:cs="Arial"/>
        </w:rPr>
        <w:t>r</w:t>
      </w:r>
      <w:r w:rsidRPr="008D2483">
        <w:rPr>
          <w:rFonts w:cs="Arial"/>
        </w:rPr>
        <w:t xml:space="preserve">ules about EME. </w:t>
      </w:r>
    </w:p>
    <w:p w14:paraId="62D0DCAE" w14:textId="77777777" w:rsidR="008D2483" w:rsidRPr="008D2483" w:rsidRDefault="008D2483" w:rsidP="008D2483">
      <w:pPr>
        <w:pStyle w:val="Heading2"/>
      </w:pPr>
      <w:bookmarkStart w:id="14" w:name="_Toc481058297"/>
      <w:r w:rsidRPr="008D2483">
        <w:t>Consolidation of requirements</w:t>
      </w:r>
      <w:bookmarkEnd w:id="14"/>
    </w:p>
    <w:p w14:paraId="01AEE38B" w14:textId="5C8A0316" w:rsidR="008D2483" w:rsidRPr="008D2483" w:rsidRDefault="008D2483" w:rsidP="008D2483">
      <w:pPr>
        <w:spacing w:after="80"/>
        <w:rPr>
          <w:rFonts w:cs="Arial"/>
        </w:rPr>
      </w:pPr>
      <w:r w:rsidRPr="008D2483">
        <w:rPr>
          <w:rFonts w:cs="Arial"/>
        </w:rPr>
        <w:t xml:space="preserve">The draft Bill would allow the following legislative provisions and activities to be consolidated in the </w:t>
      </w:r>
      <w:r w:rsidR="002266C9">
        <w:rPr>
          <w:rFonts w:cs="Arial"/>
        </w:rPr>
        <w:t>e</w:t>
      </w:r>
      <w:r w:rsidRPr="008D2483">
        <w:rPr>
          <w:rFonts w:cs="Arial"/>
        </w:rPr>
        <w:t xml:space="preserve">quipment </w:t>
      </w:r>
      <w:r w:rsidR="002266C9">
        <w:rPr>
          <w:rFonts w:cs="Arial"/>
        </w:rPr>
        <w:t>r</w:t>
      </w:r>
      <w:r w:rsidRPr="008D2483">
        <w:rPr>
          <w:rFonts w:cs="Arial"/>
        </w:rPr>
        <w:t>ules:</w:t>
      </w:r>
    </w:p>
    <w:p w14:paraId="2D5C074A" w14:textId="35A5502A" w:rsidR="008D2483" w:rsidRPr="008D2483" w:rsidRDefault="002266C9" w:rsidP="008D2483">
      <w:pPr>
        <w:pStyle w:val="ListBullet"/>
      </w:pPr>
      <w:r>
        <w:t>t</w:t>
      </w:r>
      <w:r w:rsidR="008D2483" w:rsidRPr="008D2483">
        <w:t>echnical standards made under section 162 of the 1992 Act</w:t>
      </w:r>
    </w:p>
    <w:p w14:paraId="3E9079C7" w14:textId="215C48E8" w:rsidR="008D2483" w:rsidRPr="008D2483" w:rsidRDefault="002266C9" w:rsidP="008D2483">
      <w:pPr>
        <w:pStyle w:val="ListBullet"/>
      </w:pPr>
      <w:r>
        <w:lastRenderedPageBreak/>
        <w:t>l</w:t>
      </w:r>
      <w:r w:rsidR="008D2483" w:rsidRPr="008D2483">
        <w:t>abelling and record-keeping obligations contained in instrument</w:t>
      </w:r>
      <w:r w:rsidR="002261B2">
        <w:t>s</w:t>
      </w:r>
      <w:r w:rsidR="008D2483" w:rsidRPr="008D2483">
        <w:t xml:space="preserve"> made under section 182, and supporting provisions</w:t>
      </w:r>
    </w:p>
    <w:p w14:paraId="479C943F" w14:textId="6C65A812" w:rsidR="008D2483" w:rsidRPr="008D2483" w:rsidRDefault="002266C9" w:rsidP="008D2483">
      <w:pPr>
        <w:pStyle w:val="ListBullet"/>
      </w:pPr>
      <w:r>
        <w:t>r</w:t>
      </w:r>
      <w:r w:rsidR="008D2483" w:rsidRPr="008D2483">
        <w:t>estrictions on the persons to whom certain devices can be supplied (section 301)</w:t>
      </w:r>
    </w:p>
    <w:p w14:paraId="5CEFFD44" w14:textId="7CAF09D9" w:rsidR="008D2483" w:rsidRPr="008D2483" w:rsidRDefault="002266C9" w:rsidP="008D2483">
      <w:pPr>
        <w:pStyle w:val="ListBullet"/>
      </w:pPr>
      <w:r>
        <w:t>r</w:t>
      </w:r>
      <w:r w:rsidR="008D2483" w:rsidRPr="008D2483">
        <w:t xml:space="preserve">estrictions on the supply, possession or operation </w:t>
      </w:r>
      <w:r w:rsidR="00F06BB8">
        <w:t xml:space="preserve">of </w:t>
      </w:r>
      <w:r w:rsidR="008D2483" w:rsidRPr="008D2483">
        <w:t>a non-standard device (sections 157</w:t>
      </w:r>
      <w:r>
        <w:t>–</w:t>
      </w:r>
      <w:r w:rsidR="008D2483" w:rsidRPr="008D2483">
        <w:t>160)</w:t>
      </w:r>
    </w:p>
    <w:p w14:paraId="7DD4055F" w14:textId="40F52A52" w:rsidR="008D2483" w:rsidRPr="008D2483" w:rsidRDefault="008D2483" w:rsidP="00637555">
      <w:pPr>
        <w:pStyle w:val="ListBulletLast"/>
        <w:keepNext/>
        <w:keepLines/>
      </w:pPr>
      <w:r w:rsidRPr="008D2483">
        <w:t xml:space="preserve">EME technical and record-keeping obligations in relation to the operation of fixed radiocommunications transmitters that are now specified in the </w:t>
      </w:r>
      <w:r w:rsidRPr="00E7226B">
        <w:t>Radiocommunications Licence Conditions (Apparatus Licence) Determination 2015</w:t>
      </w:r>
      <w:r w:rsidR="009B2115">
        <w:t xml:space="preserve"> and certain class licenc</w:t>
      </w:r>
      <w:r w:rsidR="00850E74">
        <w:t>e</w:t>
      </w:r>
      <w:r w:rsidR="009B2115">
        <w:t>s</w:t>
      </w:r>
      <w:r w:rsidRPr="00E7226B">
        <w:t>.</w:t>
      </w:r>
    </w:p>
    <w:p w14:paraId="49DF0E63" w14:textId="0BF890C5" w:rsidR="008D2483" w:rsidRPr="008D2483" w:rsidRDefault="008D2483" w:rsidP="008D2483">
      <w:pPr>
        <w:pStyle w:val="Heading1"/>
      </w:pPr>
      <w:bookmarkStart w:id="15" w:name="_Toc481058298"/>
      <w:r w:rsidRPr="008D2483">
        <w:lastRenderedPageBreak/>
        <w:t xml:space="preserve">Implementation and </w:t>
      </w:r>
      <w:r w:rsidR="002266C9">
        <w:t>t</w:t>
      </w:r>
      <w:r>
        <w:t>ransition</w:t>
      </w:r>
      <w:bookmarkEnd w:id="15"/>
    </w:p>
    <w:p w14:paraId="0D37D5FE" w14:textId="24FB1742" w:rsidR="008D2483" w:rsidRPr="008D2483" w:rsidRDefault="008D2483">
      <w:pPr>
        <w:spacing w:after="80"/>
      </w:pPr>
      <w:r w:rsidRPr="008D2483">
        <w:t>Through a process of active regulatory development and stakeholder engagement following the release of the Bill, the ACMA aims to be well</w:t>
      </w:r>
      <w:r w:rsidR="00177C1F">
        <w:t>-</w:t>
      </w:r>
      <w:r w:rsidRPr="008D2483">
        <w:t xml:space="preserve">prepared to seek comment on the specifics of the new arrangements if the Bill is passed by </w:t>
      </w:r>
      <w:r w:rsidR="002266C9">
        <w:t>P</w:t>
      </w:r>
      <w:r w:rsidRPr="008D2483">
        <w:t xml:space="preserve">arliament. The ACMA will consider adopting the following indicative timeframe for developing the </w:t>
      </w:r>
      <w:r w:rsidR="002266C9">
        <w:t>e</w:t>
      </w:r>
      <w:r w:rsidRPr="008D2483">
        <w:t xml:space="preserve">quipment </w:t>
      </w:r>
      <w:r w:rsidR="002266C9">
        <w:t>r</w:t>
      </w:r>
      <w:r w:rsidRPr="008D2483">
        <w:t>ules:</w:t>
      </w:r>
    </w:p>
    <w:p w14:paraId="32192593" w14:textId="4FB806FB" w:rsidR="008D2483" w:rsidRPr="008D2483" w:rsidRDefault="008D2483" w:rsidP="008D2483">
      <w:pPr>
        <w:pStyle w:val="ListBullet"/>
      </w:pPr>
      <w:r w:rsidRPr="008D2483">
        <w:t xml:space="preserve">Following the release of the Bill: </w:t>
      </w:r>
      <w:r w:rsidR="00DE55D2">
        <w:t>E</w:t>
      </w:r>
      <w:r w:rsidRPr="008D2483">
        <w:t xml:space="preserve">ngage with stakeholders on the approach for </w:t>
      </w:r>
      <w:r w:rsidR="002266C9">
        <w:t>e</w:t>
      </w:r>
      <w:r w:rsidRPr="008D2483">
        <w:t xml:space="preserve">quipment </w:t>
      </w:r>
      <w:r w:rsidR="002266C9">
        <w:t>r</w:t>
      </w:r>
      <w:r w:rsidRPr="008D2483">
        <w:t>ules</w:t>
      </w:r>
      <w:r w:rsidR="002266C9">
        <w:t>.</w:t>
      </w:r>
    </w:p>
    <w:p w14:paraId="09C34A01" w14:textId="61F0BA60" w:rsidR="008D2483" w:rsidRPr="008D2483" w:rsidRDefault="008D2483" w:rsidP="008D2483">
      <w:pPr>
        <w:pStyle w:val="ListBullet"/>
      </w:pPr>
      <w:r w:rsidRPr="008D2483">
        <w:t xml:space="preserve">If the Bill is passed by </w:t>
      </w:r>
      <w:r w:rsidR="002266C9">
        <w:t>P</w:t>
      </w:r>
      <w:r w:rsidRPr="008D2483">
        <w:t xml:space="preserve">arliament and becomes law: </w:t>
      </w:r>
      <w:r w:rsidR="00DE55D2">
        <w:t>R</w:t>
      </w:r>
      <w:r w:rsidRPr="008D2483">
        <w:t xml:space="preserve">elease draft </w:t>
      </w:r>
      <w:r w:rsidR="002266C9">
        <w:t>e</w:t>
      </w:r>
      <w:r w:rsidRPr="008D2483">
        <w:t xml:space="preserve">quipment </w:t>
      </w:r>
      <w:r w:rsidR="002266C9">
        <w:t>r</w:t>
      </w:r>
      <w:r w:rsidRPr="008D2483">
        <w:t>ules for public comment</w:t>
      </w:r>
      <w:r w:rsidR="002266C9">
        <w:t>.</w:t>
      </w:r>
    </w:p>
    <w:p w14:paraId="23FAB46C" w14:textId="6B2AE3FE" w:rsidR="008D2483" w:rsidRPr="008D2483" w:rsidRDefault="008D2483" w:rsidP="008D2483">
      <w:pPr>
        <w:pStyle w:val="ListBullet"/>
      </w:pPr>
      <w:r w:rsidRPr="008D2483">
        <w:t xml:space="preserve">During the period between the Bill becoming law and the commencement of the main provisions of the Bill: </w:t>
      </w:r>
      <w:r w:rsidR="00DE55D2">
        <w:t>F</w:t>
      </w:r>
      <w:r w:rsidRPr="008D2483">
        <w:t xml:space="preserve">inalise </w:t>
      </w:r>
      <w:r w:rsidR="002266C9">
        <w:t>e</w:t>
      </w:r>
      <w:r w:rsidRPr="008D2483">
        <w:t xml:space="preserve">quipment </w:t>
      </w:r>
      <w:r w:rsidR="002266C9">
        <w:t>r</w:t>
      </w:r>
      <w:r w:rsidRPr="008D2483">
        <w:t>ules</w:t>
      </w:r>
      <w:r w:rsidR="002266C9">
        <w:t>.</w:t>
      </w:r>
    </w:p>
    <w:p w14:paraId="63E86594" w14:textId="38B46EA8" w:rsidR="008D2483" w:rsidRPr="008D2483" w:rsidRDefault="000F4BE4" w:rsidP="008D2483">
      <w:pPr>
        <w:pStyle w:val="ListBulletLast"/>
      </w:pPr>
      <w:r>
        <w:t xml:space="preserve">Upon </w:t>
      </w:r>
      <w:r w:rsidR="002261B2">
        <w:t>c</w:t>
      </w:r>
      <w:r w:rsidR="008D2483" w:rsidRPr="008D2483">
        <w:t xml:space="preserve">ommencement of the main provisions of the Bill: </w:t>
      </w:r>
      <w:r w:rsidR="00DE55D2">
        <w:t>E</w:t>
      </w:r>
      <w:r w:rsidR="008D2483" w:rsidRPr="008D2483">
        <w:t xml:space="preserve">quipment </w:t>
      </w:r>
      <w:r w:rsidR="002266C9">
        <w:t>r</w:t>
      </w:r>
      <w:r w:rsidR="008D2483" w:rsidRPr="008D2483">
        <w:t>ules</w:t>
      </w:r>
      <w:r w:rsidR="00F75D1E">
        <w:t xml:space="preserve"> </w:t>
      </w:r>
      <w:r w:rsidR="002261B2">
        <w:t>to commence as soon as practicable</w:t>
      </w:r>
      <w:r w:rsidR="002266C9">
        <w:t>.</w:t>
      </w:r>
      <w:r w:rsidR="008D2483" w:rsidRPr="008D2483">
        <w:t xml:space="preserve"> </w:t>
      </w:r>
    </w:p>
    <w:p w14:paraId="658DD081" w14:textId="7D05F67F" w:rsidR="008D2483" w:rsidRPr="008D2483" w:rsidRDefault="00B01CDE" w:rsidP="008D2483">
      <w:pPr>
        <w:rPr>
          <w:rFonts w:cs="Arial"/>
        </w:rPr>
      </w:pPr>
      <w:r>
        <w:rPr>
          <w:rFonts w:cs="Arial"/>
        </w:rPr>
        <w:t>The timeframe for i</w:t>
      </w:r>
      <w:r w:rsidR="008D2483" w:rsidRPr="008D2483">
        <w:rPr>
          <w:rFonts w:cs="Arial"/>
        </w:rPr>
        <w:t xml:space="preserve">mplementation of the </w:t>
      </w:r>
      <w:r w:rsidR="002266C9">
        <w:rPr>
          <w:rFonts w:cs="Arial"/>
        </w:rPr>
        <w:t>e</w:t>
      </w:r>
      <w:r w:rsidR="008D2483" w:rsidRPr="008D2483">
        <w:rPr>
          <w:rFonts w:cs="Arial"/>
        </w:rPr>
        <w:t xml:space="preserve">quipment </w:t>
      </w:r>
      <w:r w:rsidR="002266C9">
        <w:rPr>
          <w:rFonts w:cs="Arial"/>
        </w:rPr>
        <w:t>r</w:t>
      </w:r>
      <w:r w:rsidR="008D2483" w:rsidRPr="008D2483">
        <w:rPr>
          <w:rFonts w:cs="Arial"/>
        </w:rPr>
        <w:t xml:space="preserve">ules will </w:t>
      </w:r>
      <w:r>
        <w:rPr>
          <w:rFonts w:cs="Arial"/>
        </w:rPr>
        <w:t xml:space="preserve">need to be aligned with the timeframe for transition of </w:t>
      </w:r>
      <w:r w:rsidR="002261B2">
        <w:rPr>
          <w:rFonts w:cs="Arial"/>
        </w:rPr>
        <w:t xml:space="preserve">certain </w:t>
      </w:r>
      <w:r>
        <w:rPr>
          <w:rFonts w:cs="Arial"/>
        </w:rPr>
        <w:t xml:space="preserve">class licences to spectrum authorisations. The development of the equipment rules will also be </w:t>
      </w:r>
      <w:r w:rsidR="008D2483" w:rsidRPr="008D2483">
        <w:rPr>
          <w:rFonts w:cs="Arial"/>
        </w:rPr>
        <w:t xml:space="preserve">consistent with any relevant outcomes from the </w:t>
      </w:r>
      <w:r w:rsidR="002266C9">
        <w:rPr>
          <w:rFonts w:cs="Arial"/>
        </w:rPr>
        <w:t>r</w:t>
      </w:r>
      <w:r w:rsidR="008D2483" w:rsidRPr="008D2483">
        <w:rPr>
          <w:rFonts w:cs="Arial"/>
        </w:rPr>
        <w:t>eview of the ACMA.</w:t>
      </w:r>
    </w:p>
    <w:p w14:paraId="0C84DABB" w14:textId="26D1EDBF" w:rsidR="008D2483" w:rsidRPr="008D2483" w:rsidRDefault="008D2483">
      <w:r w:rsidRPr="008D2483">
        <w:t xml:space="preserve">Once the </w:t>
      </w:r>
      <w:r w:rsidR="002266C9">
        <w:t>e</w:t>
      </w:r>
      <w:r w:rsidRPr="008D2483">
        <w:t xml:space="preserve">quipment </w:t>
      </w:r>
      <w:r w:rsidR="002266C9">
        <w:t>r</w:t>
      </w:r>
      <w:r w:rsidRPr="008D2483">
        <w:t xml:space="preserve">ules have been finalised, the ACMA expects to continue its stakeholder engagement through the development of an information, education and awareness campaign to allow industry to prepare for the commencement of the </w:t>
      </w:r>
      <w:r w:rsidR="002266C9">
        <w:t>e</w:t>
      </w:r>
      <w:r w:rsidRPr="008D2483">
        <w:t xml:space="preserve">quipment </w:t>
      </w:r>
      <w:r w:rsidR="002266C9">
        <w:t>r</w:t>
      </w:r>
      <w:r w:rsidRPr="008D2483">
        <w:t xml:space="preserve">ules. Timelines and transition periods for the </w:t>
      </w:r>
      <w:r w:rsidR="002266C9">
        <w:t>e</w:t>
      </w:r>
      <w:r w:rsidRPr="008D2483">
        <w:t xml:space="preserve">quipment </w:t>
      </w:r>
      <w:r w:rsidR="002266C9">
        <w:t>r</w:t>
      </w:r>
      <w:r w:rsidRPr="008D2483">
        <w:t xml:space="preserve">ules will need to match and align with the transition of other subordinate legislation, including spectrum authorisations. </w:t>
      </w:r>
    </w:p>
    <w:p w14:paraId="5FC7E0B1" w14:textId="77777777" w:rsidR="008D2483" w:rsidRPr="008D2483" w:rsidRDefault="008D2483" w:rsidP="008D2483">
      <w:pPr>
        <w:pStyle w:val="Heading2"/>
      </w:pPr>
      <w:bookmarkStart w:id="16" w:name="_Toc481058299"/>
      <w:r w:rsidRPr="008D2483">
        <w:t>Transition</w:t>
      </w:r>
      <w:bookmarkEnd w:id="16"/>
    </w:p>
    <w:p w14:paraId="1203DF50" w14:textId="3D71A3F5" w:rsidR="008D2483" w:rsidRPr="008D2483" w:rsidRDefault="008D2483" w:rsidP="008D2483">
      <w:pPr>
        <w:rPr>
          <w:rFonts w:cs="Arial"/>
        </w:rPr>
      </w:pPr>
      <w:r w:rsidRPr="008D2483">
        <w:rPr>
          <w:rFonts w:cs="Arial"/>
        </w:rPr>
        <w:t xml:space="preserve">The ACMA’s preference is for a seamless transition to the new </w:t>
      </w:r>
      <w:r w:rsidR="005C2504">
        <w:rPr>
          <w:rFonts w:cs="Arial"/>
        </w:rPr>
        <w:t>e</w:t>
      </w:r>
      <w:r w:rsidRPr="008D2483">
        <w:rPr>
          <w:rFonts w:cs="Arial"/>
        </w:rPr>
        <w:t xml:space="preserve">quipment </w:t>
      </w:r>
      <w:r w:rsidR="005C2504">
        <w:rPr>
          <w:rFonts w:cs="Arial"/>
        </w:rPr>
        <w:t>r</w:t>
      </w:r>
      <w:r w:rsidRPr="008D2483">
        <w:rPr>
          <w:rFonts w:cs="Arial"/>
        </w:rPr>
        <w:t>ules that does not impose any unnecessary administrative or financial burden on suppliers, takes account of supply lead</w:t>
      </w:r>
      <w:r w:rsidR="005C2504">
        <w:rPr>
          <w:rFonts w:cs="Arial"/>
        </w:rPr>
        <w:t>-</w:t>
      </w:r>
      <w:r w:rsidRPr="008D2483">
        <w:rPr>
          <w:rFonts w:cs="Arial"/>
        </w:rPr>
        <w:t>times, recognises the linkages between supply and licensing arrangements and provides certainty for industry.</w:t>
      </w:r>
    </w:p>
    <w:p w14:paraId="399AC0F3" w14:textId="1840F997" w:rsidR="008D2483" w:rsidRPr="008D2483" w:rsidRDefault="008D2483" w:rsidP="008D2483">
      <w:pPr>
        <w:spacing w:after="80"/>
        <w:rPr>
          <w:rFonts w:cs="Arial"/>
        </w:rPr>
      </w:pPr>
      <w:r w:rsidRPr="008D2483">
        <w:rPr>
          <w:rFonts w:cs="Arial"/>
        </w:rPr>
        <w:t xml:space="preserve">If the </w:t>
      </w:r>
      <w:r w:rsidR="005C2504">
        <w:rPr>
          <w:rFonts w:cs="Arial"/>
        </w:rPr>
        <w:t>e</w:t>
      </w:r>
      <w:r w:rsidRPr="008D2483">
        <w:rPr>
          <w:rFonts w:cs="Arial"/>
        </w:rPr>
        <w:t xml:space="preserve">quipment </w:t>
      </w:r>
      <w:r w:rsidR="005C2504">
        <w:rPr>
          <w:rFonts w:cs="Arial"/>
        </w:rPr>
        <w:t>r</w:t>
      </w:r>
      <w:r w:rsidRPr="008D2483">
        <w:rPr>
          <w:rFonts w:cs="Arial"/>
        </w:rPr>
        <w:t>ules commence on the same day as the main provisions of the Bill, the likely transitional arrangements would be:</w:t>
      </w:r>
    </w:p>
    <w:p w14:paraId="00E90FA9" w14:textId="0D6665CA" w:rsidR="008D2483" w:rsidRPr="008D2483" w:rsidRDefault="008D2483" w:rsidP="008D2483">
      <w:pPr>
        <w:pStyle w:val="ListBullet"/>
        <w:rPr>
          <w:rFonts w:eastAsiaTheme="minorHAnsi"/>
          <w:lang w:eastAsia="en-US"/>
        </w:rPr>
      </w:pPr>
      <w:r w:rsidRPr="008D2483">
        <w:rPr>
          <w:rFonts w:eastAsiaTheme="minorHAnsi"/>
          <w:lang w:eastAsia="en-US"/>
        </w:rPr>
        <w:t xml:space="preserve">equipment already labelled in accordance with the 1992 </w:t>
      </w:r>
      <w:r w:rsidR="0006308D">
        <w:rPr>
          <w:rFonts w:eastAsiaTheme="minorHAnsi"/>
          <w:lang w:eastAsia="en-US"/>
        </w:rPr>
        <w:t xml:space="preserve">Act </w:t>
      </w:r>
      <w:r w:rsidRPr="008D2483">
        <w:rPr>
          <w:rFonts w:eastAsiaTheme="minorHAnsi"/>
          <w:lang w:eastAsia="en-US"/>
        </w:rPr>
        <w:t xml:space="preserve">supply arrangements will </w:t>
      </w:r>
      <w:r w:rsidR="002E3E20">
        <w:rPr>
          <w:rFonts w:eastAsiaTheme="minorHAnsi"/>
          <w:lang w:eastAsia="en-US"/>
        </w:rPr>
        <w:t>not be required to be re-labelled or re-asses</w:t>
      </w:r>
      <w:r w:rsidR="00EE5CD2">
        <w:rPr>
          <w:rFonts w:eastAsiaTheme="minorHAnsi"/>
          <w:lang w:eastAsia="en-US"/>
        </w:rPr>
        <w:t>s</w:t>
      </w:r>
      <w:r w:rsidR="002E3E20">
        <w:rPr>
          <w:rFonts w:eastAsiaTheme="minorHAnsi"/>
          <w:lang w:eastAsia="en-US"/>
        </w:rPr>
        <w:t xml:space="preserve">ed for compliance </w:t>
      </w:r>
      <w:r w:rsidRPr="008D2483">
        <w:rPr>
          <w:rFonts w:eastAsiaTheme="minorHAnsi"/>
          <w:lang w:eastAsia="en-US"/>
        </w:rPr>
        <w:t xml:space="preserve">with the provisions of the </w:t>
      </w:r>
      <w:r w:rsidR="005C2504">
        <w:rPr>
          <w:rFonts w:eastAsiaTheme="minorHAnsi"/>
          <w:lang w:eastAsia="en-US"/>
        </w:rPr>
        <w:t>e</w:t>
      </w:r>
      <w:r w:rsidRPr="008D2483">
        <w:rPr>
          <w:rFonts w:eastAsiaTheme="minorHAnsi"/>
          <w:lang w:eastAsia="en-US"/>
        </w:rPr>
        <w:t xml:space="preserve">quipment </w:t>
      </w:r>
      <w:r w:rsidR="005C2504">
        <w:rPr>
          <w:rFonts w:eastAsiaTheme="minorHAnsi"/>
          <w:lang w:eastAsia="en-US"/>
        </w:rPr>
        <w:t>r</w:t>
      </w:r>
      <w:r w:rsidRPr="008D2483">
        <w:rPr>
          <w:rFonts w:eastAsiaTheme="minorHAnsi"/>
          <w:lang w:eastAsia="en-US"/>
        </w:rPr>
        <w:t xml:space="preserve">ules </w:t>
      </w:r>
    </w:p>
    <w:p w14:paraId="080A70A8" w14:textId="560D3D4D" w:rsidR="008D2483" w:rsidRPr="008D2483" w:rsidRDefault="008D2483" w:rsidP="008D2483">
      <w:pPr>
        <w:pStyle w:val="ListBullet"/>
        <w:rPr>
          <w:rFonts w:eastAsiaTheme="minorHAnsi"/>
          <w:lang w:eastAsia="en-US"/>
        </w:rPr>
      </w:pPr>
      <w:r w:rsidRPr="008D2483">
        <w:rPr>
          <w:rFonts w:eastAsiaTheme="minorHAnsi"/>
          <w:lang w:eastAsia="en-US"/>
        </w:rPr>
        <w:t xml:space="preserve">equipment not already labelled when the </w:t>
      </w:r>
      <w:r w:rsidR="005C2504">
        <w:rPr>
          <w:rFonts w:eastAsiaTheme="minorHAnsi"/>
          <w:lang w:eastAsia="en-US"/>
        </w:rPr>
        <w:t>e</w:t>
      </w:r>
      <w:r w:rsidRPr="008D2483">
        <w:rPr>
          <w:rFonts w:eastAsiaTheme="minorHAnsi"/>
          <w:lang w:eastAsia="en-US"/>
        </w:rPr>
        <w:t xml:space="preserve">quipment </w:t>
      </w:r>
      <w:r w:rsidR="005C2504">
        <w:rPr>
          <w:rFonts w:eastAsiaTheme="minorHAnsi"/>
          <w:lang w:eastAsia="en-US"/>
        </w:rPr>
        <w:t>r</w:t>
      </w:r>
      <w:r w:rsidRPr="008D2483">
        <w:rPr>
          <w:rFonts w:eastAsiaTheme="minorHAnsi"/>
          <w:lang w:eastAsia="en-US"/>
        </w:rPr>
        <w:t xml:space="preserve">ules commence will need to be labelled in accordance with the </w:t>
      </w:r>
      <w:r w:rsidR="005C2504">
        <w:rPr>
          <w:rFonts w:eastAsiaTheme="minorHAnsi"/>
          <w:lang w:eastAsia="en-US"/>
        </w:rPr>
        <w:t>e</w:t>
      </w:r>
      <w:r w:rsidRPr="008D2483">
        <w:rPr>
          <w:rFonts w:eastAsiaTheme="minorHAnsi"/>
          <w:lang w:eastAsia="en-US"/>
        </w:rPr>
        <w:t xml:space="preserve">quipment </w:t>
      </w:r>
      <w:r w:rsidR="005C2504">
        <w:rPr>
          <w:rFonts w:eastAsiaTheme="minorHAnsi"/>
          <w:lang w:eastAsia="en-US"/>
        </w:rPr>
        <w:t>r</w:t>
      </w:r>
      <w:r w:rsidRPr="008D2483">
        <w:rPr>
          <w:rFonts w:eastAsiaTheme="minorHAnsi"/>
          <w:lang w:eastAsia="en-US"/>
        </w:rPr>
        <w:t>ules</w:t>
      </w:r>
    </w:p>
    <w:p w14:paraId="1390A198" w14:textId="6C418C8F" w:rsidR="008D2483" w:rsidRPr="008D2483" w:rsidRDefault="008D2483" w:rsidP="008D2483">
      <w:pPr>
        <w:pStyle w:val="ListBulletLast"/>
        <w:rPr>
          <w:rFonts w:eastAsiaTheme="minorHAnsi"/>
          <w:lang w:eastAsia="en-US"/>
        </w:rPr>
      </w:pPr>
      <w:r w:rsidRPr="008D2483">
        <w:rPr>
          <w:rFonts w:eastAsiaTheme="minorHAnsi"/>
          <w:lang w:eastAsia="en-US"/>
        </w:rPr>
        <w:t>equipment that is operated in accordance with an applicable section 162 standard that applied to the equipment at the time of its importation or manufacture</w:t>
      </w:r>
      <w:r w:rsidR="00EE41D4">
        <w:rPr>
          <w:rFonts w:eastAsiaTheme="minorHAnsi"/>
          <w:lang w:eastAsia="en-US"/>
        </w:rPr>
        <w:t>,</w:t>
      </w:r>
      <w:r w:rsidRPr="008D2483">
        <w:rPr>
          <w:rFonts w:eastAsiaTheme="minorHAnsi"/>
          <w:lang w:eastAsia="en-US"/>
        </w:rPr>
        <w:t xml:space="preserve"> will be taken to comply with the provisions of the </w:t>
      </w:r>
      <w:r w:rsidR="005C2504">
        <w:rPr>
          <w:rFonts w:eastAsiaTheme="minorHAnsi"/>
          <w:lang w:eastAsia="en-US"/>
        </w:rPr>
        <w:t>e</w:t>
      </w:r>
      <w:r w:rsidRPr="008D2483">
        <w:rPr>
          <w:rFonts w:eastAsiaTheme="minorHAnsi"/>
          <w:lang w:eastAsia="en-US"/>
        </w:rPr>
        <w:t xml:space="preserve">quipment </w:t>
      </w:r>
      <w:r w:rsidR="005C2504">
        <w:rPr>
          <w:rFonts w:eastAsiaTheme="minorHAnsi"/>
          <w:lang w:eastAsia="en-US"/>
        </w:rPr>
        <w:t>r</w:t>
      </w:r>
      <w:r w:rsidRPr="008D2483">
        <w:rPr>
          <w:rFonts w:eastAsiaTheme="minorHAnsi"/>
          <w:lang w:eastAsia="en-US"/>
        </w:rPr>
        <w:t xml:space="preserve">ules requiring compliance with relevant </w:t>
      </w:r>
      <w:r w:rsidR="008C56A4">
        <w:rPr>
          <w:rFonts w:eastAsiaTheme="minorHAnsi"/>
          <w:lang w:eastAsia="en-US"/>
        </w:rPr>
        <w:t xml:space="preserve">technical </w:t>
      </w:r>
      <w:r w:rsidRPr="008D2483">
        <w:rPr>
          <w:rFonts w:eastAsiaTheme="minorHAnsi"/>
          <w:lang w:eastAsia="en-US"/>
        </w:rPr>
        <w:t>standards</w:t>
      </w:r>
      <w:r w:rsidR="008C56A4">
        <w:rPr>
          <w:rFonts w:eastAsiaTheme="minorHAnsi"/>
          <w:lang w:eastAsia="en-US"/>
        </w:rPr>
        <w:t xml:space="preserve"> or other requirements</w:t>
      </w:r>
      <w:r w:rsidRPr="008D2483">
        <w:rPr>
          <w:rFonts w:eastAsiaTheme="minorHAnsi"/>
          <w:lang w:eastAsia="en-US"/>
        </w:rPr>
        <w:t>.</w:t>
      </w:r>
    </w:p>
    <w:p w14:paraId="2E940AEA" w14:textId="02E4184B" w:rsidR="008D2483" w:rsidRPr="008D2483" w:rsidRDefault="008D2483" w:rsidP="008D2483">
      <w:pPr>
        <w:rPr>
          <w:rFonts w:cs="Arial"/>
        </w:rPr>
      </w:pPr>
      <w:r w:rsidRPr="008D2483">
        <w:rPr>
          <w:rFonts w:cs="Arial"/>
        </w:rPr>
        <w:t xml:space="preserve">If the </w:t>
      </w:r>
      <w:r w:rsidR="005C2504">
        <w:rPr>
          <w:rFonts w:cs="Arial"/>
        </w:rPr>
        <w:t>e</w:t>
      </w:r>
      <w:r w:rsidRPr="008D2483">
        <w:rPr>
          <w:rFonts w:cs="Arial"/>
        </w:rPr>
        <w:t xml:space="preserve">quipment </w:t>
      </w:r>
      <w:r w:rsidR="005C2504">
        <w:rPr>
          <w:rFonts w:cs="Arial"/>
        </w:rPr>
        <w:t>r</w:t>
      </w:r>
      <w:r w:rsidRPr="008D2483">
        <w:rPr>
          <w:rFonts w:cs="Arial"/>
        </w:rPr>
        <w:t xml:space="preserve">ules commence after the main provisions of the Bill, it is likely that equipment labelled between the commencement of the main provisions of the Bill and commencement of the </w:t>
      </w:r>
      <w:r w:rsidR="005C2504">
        <w:rPr>
          <w:rFonts w:cs="Arial"/>
        </w:rPr>
        <w:t>e</w:t>
      </w:r>
      <w:r w:rsidRPr="008D2483">
        <w:rPr>
          <w:rFonts w:cs="Arial"/>
        </w:rPr>
        <w:t xml:space="preserve">quipment </w:t>
      </w:r>
      <w:r w:rsidR="005C2504">
        <w:rPr>
          <w:rFonts w:cs="Arial"/>
        </w:rPr>
        <w:t>r</w:t>
      </w:r>
      <w:r w:rsidRPr="008D2483">
        <w:rPr>
          <w:rFonts w:cs="Arial"/>
        </w:rPr>
        <w:t xml:space="preserve">ules would need to be labelled in accordance with the 1992 Act and relevant instruments. </w:t>
      </w:r>
    </w:p>
    <w:p w14:paraId="0073882B" w14:textId="23C6645E" w:rsidR="008D2483" w:rsidRPr="008D2483" w:rsidRDefault="008D2483" w:rsidP="008D2483">
      <w:pPr>
        <w:rPr>
          <w:rFonts w:cs="Arial"/>
        </w:rPr>
      </w:pPr>
      <w:r w:rsidRPr="008D2483">
        <w:rPr>
          <w:rFonts w:cs="Arial"/>
        </w:rPr>
        <w:lastRenderedPageBreak/>
        <w:t>The ACMA expects that suppliers will seek to move to the new arrangements as soon as it is practicable to do so. However, a transition period may be required</w:t>
      </w:r>
      <w:r w:rsidR="005C2504">
        <w:rPr>
          <w:rFonts w:cs="Arial"/>
        </w:rPr>
        <w:t>,</w:t>
      </w:r>
      <w:r w:rsidRPr="008D2483">
        <w:rPr>
          <w:rFonts w:cs="Arial"/>
        </w:rPr>
        <w:t xml:space="preserve"> during which suppliers are able to choose to comply with either the 1992 </w:t>
      </w:r>
      <w:r w:rsidR="0006308D">
        <w:rPr>
          <w:rFonts w:cs="Arial"/>
        </w:rPr>
        <w:t xml:space="preserve">Act </w:t>
      </w:r>
      <w:r w:rsidR="002261B2">
        <w:rPr>
          <w:rFonts w:cs="Arial"/>
        </w:rPr>
        <w:t xml:space="preserve">equipment regulation </w:t>
      </w:r>
      <w:r w:rsidRPr="008D2483">
        <w:rPr>
          <w:rFonts w:cs="Arial"/>
        </w:rPr>
        <w:t xml:space="preserve">arrangements or the </w:t>
      </w:r>
      <w:r w:rsidR="005C2504">
        <w:rPr>
          <w:rFonts w:cs="Arial"/>
        </w:rPr>
        <w:t>e</w:t>
      </w:r>
      <w:r w:rsidRPr="008D2483">
        <w:rPr>
          <w:rFonts w:cs="Arial"/>
        </w:rPr>
        <w:t xml:space="preserve">quipment </w:t>
      </w:r>
      <w:r w:rsidR="005C2504">
        <w:rPr>
          <w:rFonts w:cs="Arial"/>
        </w:rPr>
        <w:t>r</w:t>
      </w:r>
      <w:r w:rsidRPr="008D2483">
        <w:rPr>
          <w:rFonts w:cs="Arial"/>
        </w:rPr>
        <w:t xml:space="preserve">ules. During the development of the </w:t>
      </w:r>
      <w:r w:rsidR="005C2504">
        <w:rPr>
          <w:rFonts w:cs="Arial"/>
        </w:rPr>
        <w:t>e</w:t>
      </w:r>
      <w:r w:rsidRPr="008D2483">
        <w:rPr>
          <w:rFonts w:cs="Arial"/>
        </w:rPr>
        <w:t xml:space="preserve">quipment </w:t>
      </w:r>
      <w:r w:rsidR="005C2504">
        <w:rPr>
          <w:rFonts w:cs="Arial"/>
        </w:rPr>
        <w:t>r</w:t>
      </w:r>
      <w:r w:rsidRPr="008D2483">
        <w:rPr>
          <w:rFonts w:cs="Arial"/>
        </w:rPr>
        <w:t xml:space="preserve">ules, the ACMA would consult with stakeholders about the need for transitional arrangements. Equipment supplied under the 1992 </w:t>
      </w:r>
      <w:r w:rsidR="0006308D">
        <w:rPr>
          <w:rFonts w:cs="Arial"/>
        </w:rPr>
        <w:t xml:space="preserve">Act </w:t>
      </w:r>
      <w:r w:rsidR="002261B2">
        <w:rPr>
          <w:rFonts w:cs="Arial"/>
        </w:rPr>
        <w:t xml:space="preserve">equipment regulation </w:t>
      </w:r>
      <w:r w:rsidRPr="008D2483">
        <w:rPr>
          <w:rFonts w:cs="Arial"/>
        </w:rPr>
        <w:t>arrangements should not require re-labelling or re-testing.</w:t>
      </w:r>
    </w:p>
    <w:p w14:paraId="6B3B8A96" w14:textId="77777777" w:rsidR="008D2483" w:rsidRPr="008D2483" w:rsidRDefault="008D2483" w:rsidP="008D2483">
      <w:pPr>
        <w:pStyle w:val="Heading1"/>
      </w:pPr>
      <w:bookmarkStart w:id="17" w:name="_Toc481058300"/>
      <w:r w:rsidRPr="008D2483">
        <w:lastRenderedPageBreak/>
        <w:t>Related matters</w:t>
      </w:r>
      <w:bookmarkEnd w:id="17"/>
    </w:p>
    <w:p w14:paraId="0C75945F" w14:textId="404FBAB8" w:rsidR="00AC5D8C" w:rsidRPr="008D2483" w:rsidRDefault="008D2483" w:rsidP="00881306">
      <w:r w:rsidRPr="008D2483">
        <w:t xml:space="preserve">Certain equipment that is within the scope of the </w:t>
      </w:r>
      <w:r w:rsidR="005C2504">
        <w:t>e</w:t>
      </w:r>
      <w:r w:rsidRPr="008D2483">
        <w:t xml:space="preserve">quipment </w:t>
      </w:r>
      <w:r w:rsidR="005C2504">
        <w:t>r</w:t>
      </w:r>
      <w:r w:rsidRPr="008D2483">
        <w:t xml:space="preserve">ules will also be subject to the </w:t>
      </w:r>
      <w:r w:rsidRPr="00E7226B">
        <w:t xml:space="preserve">Telecommunications (Labelling Notice for Customer Equipment and Customer Cabling) Instrument 2015 </w:t>
      </w:r>
      <w:r w:rsidRPr="008D2483">
        <w:t xml:space="preserve">(the TLN) made under section 407 of the </w:t>
      </w:r>
      <w:r w:rsidRPr="008D2483">
        <w:rPr>
          <w:i/>
        </w:rPr>
        <w:t>Telecommunications Act 1997</w:t>
      </w:r>
      <w:r w:rsidRPr="008D2483">
        <w:t xml:space="preserve">. In conjunction with technical standards made by the ACMA under section 376 of the </w:t>
      </w:r>
      <w:r w:rsidRPr="00E7226B">
        <w:t>Telecommunications Act</w:t>
      </w:r>
      <w:r w:rsidRPr="008D2483">
        <w:t xml:space="preserve">, the general effect of the TLN is to impose equivalent regulatory obligations on the same parties as those imposed under the 1992 Act </w:t>
      </w:r>
      <w:r w:rsidR="00DC28A1">
        <w:t xml:space="preserve">device </w:t>
      </w:r>
      <w:r w:rsidRPr="008D2483">
        <w:t xml:space="preserve">supply arrangements. The ACMA recognises the importance to industry of common regulatory approaches and obligations for both radiocommunications and telecommunications equipment. This will be a key consideration for the ACMA as it develops </w:t>
      </w:r>
      <w:r w:rsidR="005C2504">
        <w:t>e</w:t>
      </w:r>
      <w:r w:rsidRPr="008D2483">
        <w:t xml:space="preserve">quipment </w:t>
      </w:r>
      <w:r w:rsidR="005C2504">
        <w:t>r</w:t>
      </w:r>
      <w:r w:rsidRPr="008D2483">
        <w:t>ules under the Bill.</w:t>
      </w:r>
    </w:p>
    <w:sectPr w:rsidR="00AC5D8C" w:rsidRPr="008D2483" w:rsidSect="00C77380">
      <w:headerReference w:type="even" r:id="rId27"/>
      <w:headerReference w:type="default" r:id="rId28"/>
      <w:footerReference w:type="even" r:id="rId29"/>
      <w:footerReference w:type="default" r:id="rId30"/>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C31F4" w14:textId="77777777" w:rsidR="009E3729" w:rsidRDefault="009E3729">
      <w:r>
        <w:separator/>
      </w:r>
    </w:p>
  </w:endnote>
  <w:endnote w:type="continuationSeparator" w:id="0">
    <w:p w14:paraId="2BDF4AD2" w14:textId="77777777" w:rsidR="009E3729" w:rsidRDefault="009E3729">
      <w:r>
        <w:continuationSeparator/>
      </w:r>
    </w:p>
  </w:endnote>
  <w:endnote w:type="continuationNotice" w:id="1">
    <w:p w14:paraId="0CE96E97" w14:textId="77777777" w:rsidR="00FC6AFB" w:rsidRDefault="00FC6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NeueLT Std Lt">
    <w:altName w:val="Times New Roman"/>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D4ECD" w14:textId="77777777" w:rsidR="009E3729" w:rsidRPr="00A5474E" w:rsidRDefault="009E3729" w:rsidP="00A5474E">
    <w:pPr>
      <w:pStyle w:val="Footer"/>
    </w:pPr>
    <w:r>
      <w:rPr>
        <w:noProof/>
      </w:rPr>
      <w:drawing>
        <wp:inline distT="0" distB="0" distL="0" distR="0" wp14:anchorId="6539D12A" wp14:editId="761A20DB">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CEACF" w14:textId="77777777" w:rsidR="009E3729" w:rsidRDefault="009E37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B7F4D" w14:textId="77777777" w:rsidR="009E3729" w:rsidRDefault="009E37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9B9FF" w14:textId="77777777" w:rsidR="009E3729" w:rsidRPr="00622A3B" w:rsidRDefault="009E3729"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B3CD0">
      <w:rPr>
        <w:noProof/>
        <w:color w:val="505050"/>
      </w:rPr>
      <w:t>i</w:t>
    </w:r>
    <w:r w:rsidRPr="002E4DDC">
      <w:rPr>
        <w:color w:val="505050"/>
      </w:rPr>
      <w:fldChar w:fldCharType="end"/>
    </w:r>
  </w:p>
  <w:p w14:paraId="79F15D4D" w14:textId="77777777" w:rsidR="009E3729" w:rsidRPr="00A5474E" w:rsidRDefault="009E3729" w:rsidP="00A547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F94D6" w14:textId="77777777" w:rsidR="009E3729" w:rsidRPr="00622A3B" w:rsidRDefault="009E3729"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38CDD13A" w14:textId="77777777" w:rsidR="009E3729" w:rsidRPr="00A5474E" w:rsidRDefault="009E3729" w:rsidP="00A547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F22C6" w14:textId="77777777" w:rsidR="009E3729" w:rsidRPr="00622A3B" w:rsidRDefault="009E3729"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8867D1">
      <w:rPr>
        <w:noProof/>
        <w:color w:val="505050"/>
      </w:rPr>
      <w:t>iii</w:t>
    </w:r>
    <w:r w:rsidRPr="002E4DDC">
      <w:rPr>
        <w:color w:val="505050"/>
      </w:rPr>
      <w:fldChar w:fldCharType="end"/>
    </w:r>
  </w:p>
  <w:p w14:paraId="2005BC8E" w14:textId="77777777" w:rsidR="009E3729" w:rsidRPr="00A5474E" w:rsidRDefault="009E3729" w:rsidP="00A547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629E3" w14:textId="77777777" w:rsidR="009E3729" w:rsidRPr="00622A3B" w:rsidRDefault="009E3729"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8867D1">
      <w:rPr>
        <w:noProof/>
      </w:rPr>
      <w:t>10</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6B31D9B5" w14:textId="77777777" w:rsidR="009E3729" w:rsidRPr="00A5474E" w:rsidRDefault="009E3729" w:rsidP="00A5474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72880" w14:textId="77777777" w:rsidR="009E3729" w:rsidRPr="00622A3B" w:rsidRDefault="009E3729"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8867D1">
      <w:rPr>
        <w:noProof/>
        <w:color w:val="505050"/>
      </w:rPr>
      <w:t>11</w:t>
    </w:r>
    <w:r w:rsidRPr="00575AC5">
      <w:rPr>
        <w:color w:val="505050"/>
      </w:rPr>
      <w:fldChar w:fldCharType="end"/>
    </w:r>
  </w:p>
  <w:p w14:paraId="4A2988B2" w14:textId="77777777" w:rsidR="009E3729" w:rsidRPr="00A5474E" w:rsidRDefault="009E3729" w:rsidP="00A54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BBBEA" w14:textId="77777777" w:rsidR="009E3729" w:rsidRDefault="009E3729">
      <w:r>
        <w:separator/>
      </w:r>
    </w:p>
  </w:footnote>
  <w:footnote w:type="continuationSeparator" w:id="0">
    <w:p w14:paraId="6DF5434C" w14:textId="77777777" w:rsidR="009E3729" w:rsidRDefault="009E3729">
      <w:r>
        <w:continuationSeparator/>
      </w:r>
    </w:p>
  </w:footnote>
  <w:footnote w:type="continuationNotice" w:id="1">
    <w:p w14:paraId="75585F9A" w14:textId="77777777" w:rsidR="00FC6AFB" w:rsidRDefault="00FC6AFB">
      <w:pPr>
        <w:spacing w:after="0" w:line="240" w:lineRule="auto"/>
      </w:pPr>
    </w:p>
  </w:footnote>
  <w:footnote w:id="2">
    <w:p w14:paraId="232AB5E8" w14:textId="532BFA4C" w:rsidR="009E3729" w:rsidRDefault="009E3729" w:rsidP="00CE73B6">
      <w:pPr>
        <w:pStyle w:val="ACMANotes"/>
        <w:spacing w:before="0"/>
      </w:pPr>
      <w:r>
        <w:rPr>
          <w:rStyle w:val="FootnoteReference"/>
        </w:rPr>
        <w:footnoteRef/>
      </w:r>
      <w:r>
        <w:t xml:space="preserve"> </w:t>
      </w:r>
      <w:r w:rsidRPr="00E7226B">
        <w:t>Radiocommunications (Compliance Labelling – Devices) Notice 2014</w:t>
      </w:r>
      <w:r>
        <w:t xml:space="preserve">, </w:t>
      </w:r>
      <w:r w:rsidRPr="00E7226B">
        <w:t>Radiocommunications Labelling (Electromagnetic Compatibility) Notice 2008</w:t>
      </w:r>
      <w:r>
        <w:t xml:space="preserve">, </w:t>
      </w:r>
      <w:r w:rsidRPr="00E7226B">
        <w:t xml:space="preserve">Radiocommunications (Compliance Labelling </w:t>
      </w:r>
      <w:r w:rsidR="00AC5D8C">
        <w:t xml:space="preserve">– </w:t>
      </w:r>
      <w:r w:rsidRPr="00E7226B">
        <w:t>Electromagnetic Radiation) Notice 2014</w:t>
      </w:r>
      <w:r>
        <w:t>.</w:t>
      </w:r>
    </w:p>
  </w:footnote>
  <w:footnote w:id="3">
    <w:p w14:paraId="389149B1" w14:textId="77289537" w:rsidR="009E3729" w:rsidRDefault="009E3729" w:rsidP="00637555">
      <w:pPr>
        <w:pStyle w:val="ACMANotes"/>
        <w:spacing w:before="0"/>
      </w:pPr>
      <w:r>
        <w:rPr>
          <w:rStyle w:val="FootnoteReference"/>
        </w:rPr>
        <w:footnoteRef/>
      </w:r>
      <w:r>
        <w:t xml:space="preserve"> Refer to </w:t>
      </w:r>
      <w:r w:rsidR="006C4DD5">
        <w:t xml:space="preserve">the </w:t>
      </w:r>
      <w:r w:rsidR="000F4BE4" w:rsidRPr="00640D25">
        <w:rPr>
          <w:i/>
        </w:rPr>
        <w:t>Radiocommunications Bill 2017: a platform for the future</w:t>
      </w:r>
      <w:r w:rsidR="00EF4B52">
        <w:t xml:space="preserve"> </w:t>
      </w:r>
      <w:r w:rsidR="006C4DD5">
        <w:t xml:space="preserve">information paper </w:t>
      </w:r>
      <w:r>
        <w:t>for an explanation of spectrum authorisations.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DCCF4" w14:textId="77777777" w:rsidR="009E3729" w:rsidRPr="00A5474E" w:rsidRDefault="009E3729" w:rsidP="00A5474E">
    <w:pPr>
      <w:pStyle w:val="Header"/>
    </w:pPr>
    <w:r>
      <w:rPr>
        <w:noProof/>
      </w:rPr>
      <w:drawing>
        <wp:inline distT="0" distB="0" distL="0" distR="0" wp14:anchorId="7D0E109D" wp14:editId="1FA05717">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9657A" w14:textId="77777777" w:rsidR="009E3729" w:rsidRPr="00A5474E" w:rsidRDefault="009E3729" w:rsidP="00594E9C">
    <w:pPr>
      <w:pStyle w:val="TOCHeading"/>
    </w:pPr>
    <w:r w:rsidRPr="0029593B">
      <w:t>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88E0D" w14:textId="77777777" w:rsidR="009E3729" w:rsidRDefault="009E37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7FBBB" w14:textId="77777777" w:rsidR="009E3729" w:rsidRDefault="009E372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9E3729" w14:paraId="00F0A4AB" w14:textId="77777777" w:rsidTr="009E3729">
      <w:trPr>
        <w:trHeight w:hRule="exact" w:val="988"/>
      </w:trPr>
      <w:tc>
        <w:tcPr>
          <w:tcW w:w="7678" w:type="dxa"/>
          <w:shd w:val="clear" w:color="auto" w:fill="auto"/>
        </w:tcPr>
        <w:p w14:paraId="4B6BC851" w14:textId="77777777" w:rsidR="009E3729" w:rsidRDefault="009E3729" w:rsidP="00971914">
          <w:pPr>
            <w:pStyle w:val="Header"/>
          </w:pPr>
        </w:p>
      </w:tc>
    </w:tr>
    <w:tr w:rsidR="009E3729" w14:paraId="6C523423" w14:textId="77777777" w:rsidTr="009E3729">
      <w:tc>
        <w:tcPr>
          <w:tcW w:w="7678" w:type="dxa"/>
          <w:shd w:val="clear" w:color="auto" w:fill="auto"/>
        </w:tcPr>
        <w:p w14:paraId="2AE9F469" w14:textId="77777777" w:rsidR="009E3729" w:rsidRDefault="009E3729" w:rsidP="00971914">
          <w:pPr>
            <w:pStyle w:val="GridTable31"/>
          </w:pPr>
          <w:r>
            <w:t xml:space="preserve">Contents </w:t>
          </w:r>
          <w:r w:rsidRPr="00915B1C">
            <w:rPr>
              <w:b w:val="0"/>
              <w:spacing w:val="0"/>
              <w:sz w:val="28"/>
              <w:szCs w:val="28"/>
            </w:rPr>
            <w:t>(Continued)</w:t>
          </w:r>
        </w:p>
      </w:tc>
    </w:tr>
    <w:tr w:rsidR="009E3729" w14:paraId="2E7C1873" w14:textId="77777777" w:rsidTr="009E3729">
      <w:trPr>
        <w:trHeight w:val="1220"/>
      </w:trPr>
      <w:tc>
        <w:tcPr>
          <w:tcW w:w="7678" w:type="dxa"/>
          <w:shd w:val="clear" w:color="auto" w:fill="auto"/>
        </w:tcPr>
        <w:p w14:paraId="28A71FCF" w14:textId="77777777" w:rsidR="009E3729" w:rsidRDefault="009E3729" w:rsidP="00971914"/>
      </w:tc>
    </w:tr>
  </w:tbl>
  <w:p w14:paraId="69C2BBDB" w14:textId="77777777" w:rsidR="009E3729" w:rsidRDefault="009E3729" w:rsidP="0097191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9E3729" w14:paraId="6B326FA1" w14:textId="77777777" w:rsidTr="009E3729">
      <w:trPr>
        <w:trHeight w:hRule="exact" w:val="988"/>
      </w:trPr>
      <w:tc>
        <w:tcPr>
          <w:tcW w:w="7678" w:type="dxa"/>
          <w:shd w:val="clear" w:color="auto" w:fill="auto"/>
        </w:tcPr>
        <w:p w14:paraId="19479BD8" w14:textId="77777777" w:rsidR="009E3729" w:rsidRDefault="009E3729" w:rsidP="00971914">
          <w:pPr>
            <w:pStyle w:val="Header"/>
          </w:pPr>
        </w:p>
      </w:tc>
    </w:tr>
    <w:tr w:rsidR="009E3729" w14:paraId="2E6C679A" w14:textId="77777777" w:rsidTr="009E3729">
      <w:tc>
        <w:tcPr>
          <w:tcW w:w="7678" w:type="dxa"/>
          <w:shd w:val="clear" w:color="auto" w:fill="auto"/>
        </w:tcPr>
        <w:p w14:paraId="08F15C3E" w14:textId="77777777" w:rsidR="009E3729" w:rsidRDefault="009E3729" w:rsidP="00971914">
          <w:pPr>
            <w:pStyle w:val="GridTable31"/>
          </w:pPr>
          <w:r>
            <w:t xml:space="preserve">Contents </w:t>
          </w:r>
          <w:r w:rsidRPr="00915B1C">
            <w:rPr>
              <w:b w:val="0"/>
              <w:spacing w:val="0"/>
              <w:sz w:val="28"/>
              <w:szCs w:val="28"/>
            </w:rPr>
            <w:t>(Continued)</w:t>
          </w:r>
        </w:p>
      </w:tc>
    </w:tr>
    <w:tr w:rsidR="009E3729" w14:paraId="20688A60" w14:textId="77777777" w:rsidTr="009E3729">
      <w:trPr>
        <w:trHeight w:val="1220"/>
      </w:trPr>
      <w:tc>
        <w:tcPr>
          <w:tcW w:w="7678" w:type="dxa"/>
          <w:shd w:val="clear" w:color="auto" w:fill="auto"/>
        </w:tcPr>
        <w:p w14:paraId="0FCF57D0" w14:textId="77777777" w:rsidR="009E3729" w:rsidRDefault="009E3729" w:rsidP="00971914"/>
      </w:tc>
    </w:tr>
  </w:tbl>
  <w:p w14:paraId="6591471C" w14:textId="77777777" w:rsidR="009E3729" w:rsidRPr="00A5474E" w:rsidRDefault="009E3729" w:rsidP="00A547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A46F1" w14:textId="77777777" w:rsidR="009E3729" w:rsidRDefault="009E372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CDA1A" w14:textId="77777777" w:rsidR="009E3729" w:rsidRDefault="009E37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DE49FA"/>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4" w15:restartNumberingAfterBreak="0">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15:restartNumberingAfterBreak="0">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5"/>
  </w:num>
  <w:num w:numId="6">
    <w:abstractNumId w:val="8"/>
  </w:num>
  <w:num w:numId="7">
    <w:abstractNumId w:val="6"/>
  </w:num>
  <w:num w:numId="8">
    <w:abstractNumId w:val="7"/>
  </w:num>
  <w:num w:numId="9">
    <w:abstractNumId w:val="9"/>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1"/>
  <w:defaultTabStop w:val="284"/>
  <w:evenAndOddHeaders/>
  <w:drawingGridHorizontalSpacing w:val="100"/>
  <w:displayHorizontalDrawingGridEvery w:val="2"/>
  <w:characterSpacingControl w:val="doNotCompress"/>
  <w:hdrShapeDefaults>
    <o:shapedefaults v:ext="edit" spidmax="116737">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83"/>
    <w:rsid w:val="0000268B"/>
    <w:rsid w:val="0001030B"/>
    <w:rsid w:val="00010667"/>
    <w:rsid w:val="000129D5"/>
    <w:rsid w:val="00015AE7"/>
    <w:rsid w:val="00016E21"/>
    <w:rsid w:val="0001719C"/>
    <w:rsid w:val="0002224E"/>
    <w:rsid w:val="00026F91"/>
    <w:rsid w:val="0004764C"/>
    <w:rsid w:val="0005011A"/>
    <w:rsid w:val="0005045A"/>
    <w:rsid w:val="00051C1E"/>
    <w:rsid w:val="000539F9"/>
    <w:rsid w:val="00054C27"/>
    <w:rsid w:val="00055EC3"/>
    <w:rsid w:val="000563CE"/>
    <w:rsid w:val="000617F5"/>
    <w:rsid w:val="000621C7"/>
    <w:rsid w:val="0006308D"/>
    <w:rsid w:val="00063315"/>
    <w:rsid w:val="000659B6"/>
    <w:rsid w:val="0006686F"/>
    <w:rsid w:val="0006722A"/>
    <w:rsid w:val="000732CF"/>
    <w:rsid w:val="00075B96"/>
    <w:rsid w:val="0008196A"/>
    <w:rsid w:val="000915ED"/>
    <w:rsid w:val="0009209D"/>
    <w:rsid w:val="0009417B"/>
    <w:rsid w:val="000969BD"/>
    <w:rsid w:val="000969BF"/>
    <w:rsid w:val="000A0C22"/>
    <w:rsid w:val="000A3C43"/>
    <w:rsid w:val="000A491F"/>
    <w:rsid w:val="000A4A51"/>
    <w:rsid w:val="000A5D2B"/>
    <w:rsid w:val="000A7044"/>
    <w:rsid w:val="000B3CD0"/>
    <w:rsid w:val="000B5DE3"/>
    <w:rsid w:val="000C0A57"/>
    <w:rsid w:val="000C230C"/>
    <w:rsid w:val="000C6AB4"/>
    <w:rsid w:val="000D71D9"/>
    <w:rsid w:val="000D76E0"/>
    <w:rsid w:val="000D7E8B"/>
    <w:rsid w:val="000E4449"/>
    <w:rsid w:val="000E6097"/>
    <w:rsid w:val="000F4BE4"/>
    <w:rsid w:val="00103829"/>
    <w:rsid w:val="00111FCE"/>
    <w:rsid w:val="00116355"/>
    <w:rsid w:val="001229A5"/>
    <w:rsid w:val="0012489B"/>
    <w:rsid w:val="00130017"/>
    <w:rsid w:val="00130F91"/>
    <w:rsid w:val="001349ED"/>
    <w:rsid w:val="00137424"/>
    <w:rsid w:val="00140318"/>
    <w:rsid w:val="00141AD9"/>
    <w:rsid w:val="00146CE6"/>
    <w:rsid w:val="00152903"/>
    <w:rsid w:val="00153FD5"/>
    <w:rsid w:val="00154749"/>
    <w:rsid w:val="0015614F"/>
    <w:rsid w:val="001577C2"/>
    <w:rsid w:val="001633C4"/>
    <w:rsid w:val="00171591"/>
    <w:rsid w:val="00173981"/>
    <w:rsid w:val="0017719D"/>
    <w:rsid w:val="00177C1F"/>
    <w:rsid w:val="00183FD7"/>
    <w:rsid w:val="00185CAB"/>
    <w:rsid w:val="001875B7"/>
    <w:rsid w:val="00187CB3"/>
    <w:rsid w:val="0019050A"/>
    <w:rsid w:val="001910D4"/>
    <w:rsid w:val="001976E3"/>
    <w:rsid w:val="001A44EC"/>
    <w:rsid w:val="001B58AA"/>
    <w:rsid w:val="001B736C"/>
    <w:rsid w:val="001B7E48"/>
    <w:rsid w:val="001C17CE"/>
    <w:rsid w:val="001C183A"/>
    <w:rsid w:val="001C36CA"/>
    <w:rsid w:val="001C44D1"/>
    <w:rsid w:val="001C6AEE"/>
    <w:rsid w:val="001C7630"/>
    <w:rsid w:val="001D6D15"/>
    <w:rsid w:val="001F34C0"/>
    <w:rsid w:val="001F7558"/>
    <w:rsid w:val="00205B57"/>
    <w:rsid w:val="002157E0"/>
    <w:rsid w:val="00216A57"/>
    <w:rsid w:val="0022086C"/>
    <w:rsid w:val="0022334F"/>
    <w:rsid w:val="002261B2"/>
    <w:rsid w:val="002266C9"/>
    <w:rsid w:val="00226819"/>
    <w:rsid w:val="00230E15"/>
    <w:rsid w:val="00230E2B"/>
    <w:rsid w:val="00233101"/>
    <w:rsid w:val="00233817"/>
    <w:rsid w:val="002367FF"/>
    <w:rsid w:val="00240CE9"/>
    <w:rsid w:val="002434BA"/>
    <w:rsid w:val="00246089"/>
    <w:rsid w:val="00246093"/>
    <w:rsid w:val="00246702"/>
    <w:rsid w:val="00247C59"/>
    <w:rsid w:val="00247F2E"/>
    <w:rsid w:val="00247F9F"/>
    <w:rsid w:val="00250ADC"/>
    <w:rsid w:val="00250B07"/>
    <w:rsid w:val="00257553"/>
    <w:rsid w:val="00260FB2"/>
    <w:rsid w:val="00262128"/>
    <w:rsid w:val="0027165D"/>
    <w:rsid w:val="00273CEB"/>
    <w:rsid w:val="00281C89"/>
    <w:rsid w:val="0028282F"/>
    <w:rsid w:val="00282958"/>
    <w:rsid w:val="00293E64"/>
    <w:rsid w:val="0029593B"/>
    <w:rsid w:val="00297FC5"/>
    <w:rsid w:val="002A0417"/>
    <w:rsid w:val="002A16D8"/>
    <w:rsid w:val="002A1B2E"/>
    <w:rsid w:val="002A1BC8"/>
    <w:rsid w:val="002A3EF2"/>
    <w:rsid w:val="002B0DED"/>
    <w:rsid w:val="002B19A2"/>
    <w:rsid w:val="002B381A"/>
    <w:rsid w:val="002B4FCC"/>
    <w:rsid w:val="002B7408"/>
    <w:rsid w:val="002B7CFD"/>
    <w:rsid w:val="002C210F"/>
    <w:rsid w:val="002D3600"/>
    <w:rsid w:val="002E3E20"/>
    <w:rsid w:val="002E469B"/>
    <w:rsid w:val="002E4DDC"/>
    <w:rsid w:val="002E69DF"/>
    <w:rsid w:val="002F48EF"/>
    <w:rsid w:val="00302480"/>
    <w:rsid w:val="003165E6"/>
    <w:rsid w:val="003221CF"/>
    <w:rsid w:val="003233ED"/>
    <w:rsid w:val="00324D9F"/>
    <w:rsid w:val="00327948"/>
    <w:rsid w:val="0033000F"/>
    <w:rsid w:val="00332011"/>
    <w:rsid w:val="00332518"/>
    <w:rsid w:val="00332925"/>
    <w:rsid w:val="003332ED"/>
    <w:rsid w:val="003368DC"/>
    <w:rsid w:val="00345927"/>
    <w:rsid w:val="00350097"/>
    <w:rsid w:val="00350584"/>
    <w:rsid w:val="00351857"/>
    <w:rsid w:val="003545E8"/>
    <w:rsid w:val="003610E1"/>
    <w:rsid w:val="003671BE"/>
    <w:rsid w:val="00372485"/>
    <w:rsid w:val="00373200"/>
    <w:rsid w:val="00375EF5"/>
    <w:rsid w:val="003767A5"/>
    <w:rsid w:val="00385254"/>
    <w:rsid w:val="003907CE"/>
    <w:rsid w:val="003A0441"/>
    <w:rsid w:val="003A04DB"/>
    <w:rsid w:val="003A5F5B"/>
    <w:rsid w:val="003A789A"/>
    <w:rsid w:val="003B12EC"/>
    <w:rsid w:val="003B21EF"/>
    <w:rsid w:val="003C4DE5"/>
    <w:rsid w:val="003C77E0"/>
    <w:rsid w:val="003C79EC"/>
    <w:rsid w:val="003D17D7"/>
    <w:rsid w:val="003D2678"/>
    <w:rsid w:val="003D71A3"/>
    <w:rsid w:val="003E2B8A"/>
    <w:rsid w:val="003F10EE"/>
    <w:rsid w:val="003F16F6"/>
    <w:rsid w:val="003F4DC7"/>
    <w:rsid w:val="003F5235"/>
    <w:rsid w:val="004027E4"/>
    <w:rsid w:val="0041071D"/>
    <w:rsid w:val="00414AFC"/>
    <w:rsid w:val="004151A7"/>
    <w:rsid w:val="00415310"/>
    <w:rsid w:val="00420BA1"/>
    <w:rsid w:val="00421709"/>
    <w:rsid w:val="00423763"/>
    <w:rsid w:val="0042762F"/>
    <w:rsid w:val="00427DC7"/>
    <w:rsid w:val="004301CC"/>
    <w:rsid w:val="00431613"/>
    <w:rsid w:val="00431792"/>
    <w:rsid w:val="0043297A"/>
    <w:rsid w:val="00432EB2"/>
    <w:rsid w:val="0043714F"/>
    <w:rsid w:val="004438B5"/>
    <w:rsid w:val="00447037"/>
    <w:rsid w:val="0045124D"/>
    <w:rsid w:val="00454596"/>
    <w:rsid w:val="0045605D"/>
    <w:rsid w:val="0046135B"/>
    <w:rsid w:val="00461D47"/>
    <w:rsid w:val="004718CC"/>
    <w:rsid w:val="00481695"/>
    <w:rsid w:val="00483555"/>
    <w:rsid w:val="004958B9"/>
    <w:rsid w:val="00495A96"/>
    <w:rsid w:val="00495BB3"/>
    <w:rsid w:val="004A14D7"/>
    <w:rsid w:val="004A56BB"/>
    <w:rsid w:val="004B1751"/>
    <w:rsid w:val="004C0253"/>
    <w:rsid w:val="004C3F5A"/>
    <w:rsid w:val="004C76BA"/>
    <w:rsid w:val="004D56FF"/>
    <w:rsid w:val="004E39D3"/>
    <w:rsid w:val="004E508A"/>
    <w:rsid w:val="004E616D"/>
    <w:rsid w:val="004F1BDE"/>
    <w:rsid w:val="004F2CEE"/>
    <w:rsid w:val="004F556E"/>
    <w:rsid w:val="004F7F44"/>
    <w:rsid w:val="005037B4"/>
    <w:rsid w:val="005079BF"/>
    <w:rsid w:val="0051269A"/>
    <w:rsid w:val="005219E7"/>
    <w:rsid w:val="00531B9A"/>
    <w:rsid w:val="00531D15"/>
    <w:rsid w:val="00537604"/>
    <w:rsid w:val="00542377"/>
    <w:rsid w:val="005476EB"/>
    <w:rsid w:val="00551782"/>
    <w:rsid w:val="005549CA"/>
    <w:rsid w:val="00563EF1"/>
    <w:rsid w:val="00566AB4"/>
    <w:rsid w:val="005759D4"/>
    <w:rsid w:val="00575AC5"/>
    <w:rsid w:val="0057605D"/>
    <w:rsid w:val="00581347"/>
    <w:rsid w:val="00581AC9"/>
    <w:rsid w:val="005849F8"/>
    <w:rsid w:val="005938DF"/>
    <w:rsid w:val="00593999"/>
    <w:rsid w:val="005947C1"/>
    <w:rsid w:val="00594E9C"/>
    <w:rsid w:val="005A099B"/>
    <w:rsid w:val="005A2D9C"/>
    <w:rsid w:val="005A55FE"/>
    <w:rsid w:val="005A6A11"/>
    <w:rsid w:val="005C2504"/>
    <w:rsid w:val="005D2502"/>
    <w:rsid w:val="005D40BB"/>
    <w:rsid w:val="005D47F3"/>
    <w:rsid w:val="005D49BF"/>
    <w:rsid w:val="005D6F4E"/>
    <w:rsid w:val="005D7C73"/>
    <w:rsid w:val="005E3ACD"/>
    <w:rsid w:val="005E7226"/>
    <w:rsid w:val="005E7A57"/>
    <w:rsid w:val="005F1840"/>
    <w:rsid w:val="005F24B0"/>
    <w:rsid w:val="00604315"/>
    <w:rsid w:val="00604E26"/>
    <w:rsid w:val="006052CF"/>
    <w:rsid w:val="00607B8D"/>
    <w:rsid w:val="00611F5C"/>
    <w:rsid w:val="00616E09"/>
    <w:rsid w:val="00622A3B"/>
    <w:rsid w:val="00622EEA"/>
    <w:rsid w:val="0062396C"/>
    <w:rsid w:val="00623EDA"/>
    <w:rsid w:val="00623FF9"/>
    <w:rsid w:val="00627D4E"/>
    <w:rsid w:val="00634478"/>
    <w:rsid w:val="00637555"/>
    <w:rsid w:val="00640D25"/>
    <w:rsid w:val="00644373"/>
    <w:rsid w:val="00645915"/>
    <w:rsid w:val="0064643F"/>
    <w:rsid w:val="006519C3"/>
    <w:rsid w:val="00652B30"/>
    <w:rsid w:val="00652F5E"/>
    <w:rsid w:val="00656345"/>
    <w:rsid w:val="00656DC6"/>
    <w:rsid w:val="00657CDD"/>
    <w:rsid w:val="00660EC6"/>
    <w:rsid w:val="00664110"/>
    <w:rsid w:val="00664D17"/>
    <w:rsid w:val="00666520"/>
    <w:rsid w:val="00667C5B"/>
    <w:rsid w:val="00692CDE"/>
    <w:rsid w:val="00693073"/>
    <w:rsid w:val="006977FF"/>
    <w:rsid w:val="006A01FA"/>
    <w:rsid w:val="006A0E9E"/>
    <w:rsid w:val="006A25C7"/>
    <w:rsid w:val="006A4AAD"/>
    <w:rsid w:val="006A6DA2"/>
    <w:rsid w:val="006A7AB2"/>
    <w:rsid w:val="006B4A0D"/>
    <w:rsid w:val="006B5717"/>
    <w:rsid w:val="006B582F"/>
    <w:rsid w:val="006C096C"/>
    <w:rsid w:val="006C0CEB"/>
    <w:rsid w:val="006C3B1E"/>
    <w:rsid w:val="006C47FD"/>
    <w:rsid w:val="006C4DD5"/>
    <w:rsid w:val="006C5C19"/>
    <w:rsid w:val="006C70A0"/>
    <w:rsid w:val="006D27CB"/>
    <w:rsid w:val="006D2F08"/>
    <w:rsid w:val="006D576C"/>
    <w:rsid w:val="006D5865"/>
    <w:rsid w:val="006E4B1B"/>
    <w:rsid w:val="006E5445"/>
    <w:rsid w:val="006E7D93"/>
    <w:rsid w:val="007029A3"/>
    <w:rsid w:val="00706366"/>
    <w:rsid w:val="00706E4E"/>
    <w:rsid w:val="0070791C"/>
    <w:rsid w:val="0071383C"/>
    <w:rsid w:val="007141A7"/>
    <w:rsid w:val="00715722"/>
    <w:rsid w:val="00717F8E"/>
    <w:rsid w:val="00721032"/>
    <w:rsid w:val="00721B55"/>
    <w:rsid w:val="00726CE4"/>
    <w:rsid w:val="00734143"/>
    <w:rsid w:val="00737E47"/>
    <w:rsid w:val="00740EAC"/>
    <w:rsid w:val="0074463A"/>
    <w:rsid w:val="00744956"/>
    <w:rsid w:val="00745A5C"/>
    <w:rsid w:val="0074605F"/>
    <w:rsid w:val="00747E94"/>
    <w:rsid w:val="00754C83"/>
    <w:rsid w:val="00764BBD"/>
    <w:rsid w:val="00765DF8"/>
    <w:rsid w:val="00766749"/>
    <w:rsid w:val="00767C1B"/>
    <w:rsid w:val="007714A9"/>
    <w:rsid w:val="00774F88"/>
    <w:rsid w:val="00774FDB"/>
    <w:rsid w:val="0077797E"/>
    <w:rsid w:val="00777BA2"/>
    <w:rsid w:val="00781408"/>
    <w:rsid w:val="00784F7F"/>
    <w:rsid w:val="0078706B"/>
    <w:rsid w:val="007878BD"/>
    <w:rsid w:val="00796F25"/>
    <w:rsid w:val="007A2E98"/>
    <w:rsid w:val="007A30F0"/>
    <w:rsid w:val="007A3B57"/>
    <w:rsid w:val="007A3BA3"/>
    <w:rsid w:val="007A6CC0"/>
    <w:rsid w:val="007A7FEC"/>
    <w:rsid w:val="007B1499"/>
    <w:rsid w:val="007B1BBF"/>
    <w:rsid w:val="007B2960"/>
    <w:rsid w:val="007B355D"/>
    <w:rsid w:val="007B7980"/>
    <w:rsid w:val="007C0DEF"/>
    <w:rsid w:val="007C4E49"/>
    <w:rsid w:val="007C5D5A"/>
    <w:rsid w:val="007C607F"/>
    <w:rsid w:val="007C79DD"/>
    <w:rsid w:val="007D1A97"/>
    <w:rsid w:val="007D2CD6"/>
    <w:rsid w:val="007D3063"/>
    <w:rsid w:val="007D3CEB"/>
    <w:rsid w:val="007E7683"/>
    <w:rsid w:val="007F49FA"/>
    <w:rsid w:val="007F54C4"/>
    <w:rsid w:val="007F6E9A"/>
    <w:rsid w:val="008044D4"/>
    <w:rsid w:val="00806923"/>
    <w:rsid w:val="00810AB4"/>
    <w:rsid w:val="00817B56"/>
    <w:rsid w:val="00821A88"/>
    <w:rsid w:val="0082495D"/>
    <w:rsid w:val="00831AC3"/>
    <w:rsid w:val="008408FF"/>
    <w:rsid w:val="00850E74"/>
    <w:rsid w:val="00851F3F"/>
    <w:rsid w:val="00853FBC"/>
    <w:rsid w:val="00856EDC"/>
    <w:rsid w:val="008623B5"/>
    <w:rsid w:val="00870ABA"/>
    <w:rsid w:val="008710E1"/>
    <w:rsid w:val="008716E5"/>
    <w:rsid w:val="00881306"/>
    <w:rsid w:val="00881CA9"/>
    <w:rsid w:val="00883424"/>
    <w:rsid w:val="00883628"/>
    <w:rsid w:val="00885544"/>
    <w:rsid w:val="0088634E"/>
    <w:rsid w:val="008867D1"/>
    <w:rsid w:val="00893AB8"/>
    <w:rsid w:val="00896FAD"/>
    <w:rsid w:val="008A04C8"/>
    <w:rsid w:val="008A4957"/>
    <w:rsid w:val="008A6913"/>
    <w:rsid w:val="008B70F3"/>
    <w:rsid w:val="008B76DF"/>
    <w:rsid w:val="008C10F4"/>
    <w:rsid w:val="008C3336"/>
    <w:rsid w:val="008C4362"/>
    <w:rsid w:val="008C56A4"/>
    <w:rsid w:val="008C65F7"/>
    <w:rsid w:val="008D2483"/>
    <w:rsid w:val="008E4767"/>
    <w:rsid w:val="008E7A8C"/>
    <w:rsid w:val="00903285"/>
    <w:rsid w:val="00906F40"/>
    <w:rsid w:val="0090731E"/>
    <w:rsid w:val="00914093"/>
    <w:rsid w:val="00915B1C"/>
    <w:rsid w:val="009174F3"/>
    <w:rsid w:val="0091797D"/>
    <w:rsid w:val="00923CBA"/>
    <w:rsid w:val="00926703"/>
    <w:rsid w:val="00927691"/>
    <w:rsid w:val="00927A5F"/>
    <w:rsid w:val="00935B63"/>
    <w:rsid w:val="0094078F"/>
    <w:rsid w:val="00940FA3"/>
    <w:rsid w:val="00941FB0"/>
    <w:rsid w:val="009426D4"/>
    <w:rsid w:val="00947F25"/>
    <w:rsid w:val="00950159"/>
    <w:rsid w:val="0095490B"/>
    <w:rsid w:val="00960A33"/>
    <w:rsid w:val="00971914"/>
    <w:rsid w:val="00974363"/>
    <w:rsid w:val="00981898"/>
    <w:rsid w:val="009909BA"/>
    <w:rsid w:val="0099331D"/>
    <w:rsid w:val="0099577C"/>
    <w:rsid w:val="009A7703"/>
    <w:rsid w:val="009B2115"/>
    <w:rsid w:val="009B2601"/>
    <w:rsid w:val="009B4E9E"/>
    <w:rsid w:val="009B6ACD"/>
    <w:rsid w:val="009C1690"/>
    <w:rsid w:val="009C6881"/>
    <w:rsid w:val="009C7759"/>
    <w:rsid w:val="009D043D"/>
    <w:rsid w:val="009D07C8"/>
    <w:rsid w:val="009D3C1A"/>
    <w:rsid w:val="009D6C71"/>
    <w:rsid w:val="009E0631"/>
    <w:rsid w:val="009E16D0"/>
    <w:rsid w:val="009E3729"/>
    <w:rsid w:val="009E38FD"/>
    <w:rsid w:val="009F13D6"/>
    <w:rsid w:val="009F4C6B"/>
    <w:rsid w:val="009F78A8"/>
    <w:rsid w:val="00A0031D"/>
    <w:rsid w:val="00A02AD6"/>
    <w:rsid w:val="00A07096"/>
    <w:rsid w:val="00A07318"/>
    <w:rsid w:val="00A11370"/>
    <w:rsid w:val="00A224CE"/>
    <w:rsid w:val="00A22522"/>
    <w:rsid w:val="00A24AFD"/>
    <w:rsid w:val="00A24F5C"/>
    <w:rsid w:val="00A264AC"/>
    <w:rsid w:val="00A32F96"/>
    <w:rsid w:val="00A40871"/>
    <w:rsid w:val="00A412AB"/>
    <w:rsid w:val="00A4193E"/>
    <w:rsid w:val="00A440E0"/>
    <w:rsid w:val="00A442EF"/>
    <w:rsid w:val="00A51D1A"/>
    <w:rsid w:val="00A5418D"/>
    <w:rsid w:val="00A5474E"/>
    <w:rsid w:val="00A705A8"/>
    <w:rsid w:val="00A70ADF"/>
    <w:rsid w:val="00A71466"/>
    <w:rsid w:val="00A74B5E"/>
    <w:rsid w:val="00A81BED"/>
    <w:rsid w:val="00A81EC4"/>
    <w:rsid w:val="00A967FD"/>
    <w:rsid w:val="00AB156C"/>
    <w:rsid w:val="00AB6814"/>
    <w:rsid w:val="00AC04BA"/>
    <w:rsid w:val="00AC0E39"/>
    <w:rsid w:val="00AC5D8C"/>
    <w:rsid w:val="00AD3082"/>
    <w:rsid w:val="00AD4AD0"/>
    <w:rsid w:val="00AD5436"/>
    <w:rsid w:val="00AD60CD"/>
    <w:rsid w:val="00AD677E"/>
    <w:rsid w:val="00AD6C8C"/>
    <w:rsid w:val="00AE091D"/>
    <w:rsid w:val="00AE3B60"/>
    <w:rsid w:val="00AE53A1"/>
    <w:rsid w:val="00AF2484"/>
    <w:rsid w:val="00AF63E7"/>
    <w:rsid w:val="00AF6E17"/>
    <w:rsid w:val="00B0165D"/>
    <w:rsid w:val="00B01B60"/>
    <w:rsid w:val="00B01CDE"/>
    <w:rsid w:val="00B031F3"/>
    <w:rsid w:val="00B052A4"/>
    <w:rsid w:val="00B125DE"/>
    <w:rsid w:val="00B13FDD"/>
    <w:rsid w:val="00B22EB2"/>
    <w:rsid w:val="00B27442"/>
    <w:rsid w:val="00B31167"/>
    <w:rsid w:val="00B329D8"/>
    <w:rsid w:val="00B32BB9"/>
    <w:rsid w:val="00B33AE1"/>
    <w:rsid w:val="00B37C38"/>
    <w:rsid w:val="00B4288C"/>
    <w:rsid w:val="00B43262"/>
    <w:rsid w:val="00B44100"/>
    <w:rsid w:val="00B46CBA"/>
    <w:rsid w:val="00B46F94"/>
    <w:rsid w:val="00B50DE4"/>
    <w:rsid w:val="00B6003C"/>
    <w:rsid w:val="00B61F03"/>
    <w:rsid w:val="00B626E4"/>
    <w:rsid w:val="00B640F3"/>
    <w:rsid w:val="00B72F4A"/>
    <w:rsid w:val="00B82E12"/>
    <w:rsid w:val="00B83C27"/>
    <w:rsid w:val="00B84BC3"/>
    <w:rsid w:val="00B84BDD"/>
    <w:rsid w:val="00B92812"/>
    <w:rsid w:val="00BA66D9"/>
    <w:rsid w:val="00BB45A1"/>
    <w:rsid w:val="00BB7686"/>
    <w:rsid w:val="00BC23F9"/>
    <w:rsid w:val="00BC3421"/>
    <w:rsid w:val="00BC732C"/>
    <w:rsid w:val="00BE2580"/>
    <w:rsid w:val="00BE266D"/>
    <w:rsid w:val="00BE3938"/>
    <w:rsid w:val="00BE4C11"/>
    <w:rsid w:val="00BE71C0"/>
    <w:rsid w:val="00BF4F57"/>
    <w:rsid w:val="00BF610C"/>
    <w:rsid w:val="00C0060B"/>
    <w:rsid w:val="00C0277D"/>
    <w:rsid w:val="00C053A1"/>
    <w:rsid w:val="00C16198"/>
    <w:rsid w:val="00C2083D"/>
    <w:rsid w:val="00C21B85"/>
    <w:rsid w:val="00C24A53"/>
    <w:rsid w:val="00C34A05"/>
    <w:rsid w:val="00C4032F"/>
    <w:rsid w:val="00C44047"/>
    <w:rsid w:val="00C45155"/>
    <w:rsid w:val="00C5498F"/>
    <w:rsid w:val="00C55235"/>
    <w:rsid w:val="00C563F0"/>
    <w:rsid w:val="00C64CD0"/>
    <w:rsid w:val="00C6684F"/>
    <w:rsid w:val="00C70E70"/>
    <w:rsid w:val="00C75F8D"/>
    <w:rsid w:val="00C77380"/>
    <w:rsid w:val="00C97151"/>
    <w:rsid w:val="00C97736"/>
    <w:rsid w:val="00CA0005"/>
    <w:rsid w:val="00CA345A"/>
    <w:rsid w:val="00CA799F"/>
    <w:rsid w:val="00CB1E82"/>
    <w:rsid w:val="00CB2A4D"/>
    <w:rsid w:val="00CB4BA8"/>
    <w:rsid w:val="00CB52D7"/>
    <w:rsid w:val="00CC6732"/>
    <w:rsid w:val="00CE0B66"/>
    <w:rsid w:val="00CE3C96"/>
    <w:rsid w:val="00CE51A8"/>
    <w:rsid w:val="00CE73B6"/>
    <w:rsid w:val="00CF369B"/>
    <w:rsid w:val="00D00E28"/>
    <w:rsid w:val="00D0269E"/>
    <w:rsid w:val="00D15810"/>
    <w:rsid w:val="00D16D4E"/>
    <w:rsid w:val="00D16FE3"/>
    <w:rsid w:val="00D266DF"/>
    <w:rsid w:val="00D27F41"/>
    <w:rsid w:val="00D36441"/>
    <w:rsid w:val="00D4064E"/>
    <w:rsid w:val="00D44E9B"/>
    <w:rsid w:val="00D47AEB"/>
    <w:rsid w:val="00D50DB9"/>
    <w:rsid w:val="00D51302"/>
    <w:rsid w:val="00D52C43"/>
    <w:rsid w:val="00D6507F"/>
    <w:rsid w:val="00D730BC"/>
    <w:rsid w:val="00D73912"/>
    <w:rsid w:val="00D85226"/>
    <w:rsid w:val="00D85A63"/>
    <w:rsid w:val="00D87B94"/>
    <w:rsid w:val="00D92D49"/>
    <w:rsid w:val="00D92EC1"/>
    <w:rsid w:val="00D96DEA"/>
    <w:rsid w:val="00DA4E41"/>
    <w:rsid w:val="00DB117A"/>
    <w:rsid w:val="00DB5173"/>
    <w:rsid w:val="00DB7873"/>
    <w:rsid w:val="00DC187B"/>
    <w:rsid w:val="00DC28A1"/>
    <w:rsid w:val="00DD73C2"/>
    <w:rsid w:val="00DE06C3"/>
    <w:rsid w:val="00DE319B"/>
    <w:rsid w:val="00DE55D2"/>
    <w:rsid w:val="00DE5AB2"/>
    <w:rsid w:val="00DE705F"/>
    <w:rsid w:val="00DF1CE0"/>
    <w:rsid w:val="00DF34FE"/>
    <w:rsid w:val="00DF56AA"/>
    <w:rsid w:val="00DF56AF"/>
    <w:rsid w:val="00DF78E7"/>
    <w:rsid w:val="00E110E0"/>
    <w:rsid w:val="00E15371"/>
    <w:rsid w:val="00E24104"/>
    <w:rsid w:val="00E2623E"/>
    <w:rsid w:val="00E302D0"/>
    <w:rsid w:val="00E31CC5"/>
    <w:rsid w:val="00E34B4C"/>
    <w:rsid w:val="00E35707"/>
    <w:rsid w:val="00E36AA1"/>
    <w:rsid w:val="00E41ECB"/>
    <w:rsid w:val="00E54FDB"/>
    <w:rsid w:val="00E5617D"/>
    <w:rsid w:val="00E563D7"/>
    <w:rsid w:val="00E663F4"/>
    <w:rsid w:val="00E666F2"/>
    <w:rsid w:val="00E66DD4"/>
    <w:rsid w:val="00E7226B"/>
    <w:rsid w:val="00E748CC"/>
    <w:rsid w:val="00E75415"/>
    <w:rsid w:val="00E775B1"/>
    <w:rsid w:val="00E8152A"/>
    <w:rsid w:val="00E93629"/>
    <w:rsid w:val="00E93B5C"/>
    <w:rsid w:val="00E94CEC"/>
    <w:rsid w:val="00EA04EF"/>
    <w:rsid w:val="00EA43A0"/>
    <w:rsid w:val="00EA6F19"/>
    <w:rsid w:val="00EB7090"/>
    <w:rsid w:val="00EB7D36"/>
    <w:rsid w:val="00EC1BBE"/>
    <w:rsid w:val="00EC5CD7"/>
    <w:rsid w:val="00EE41D4"/>
    <w:rsid w:val="00EE5CD2"/>
    <w:rsid w:val="00EE5FB3"/>
    <w:rsid w:val="00EE7F79"/>
    <w:rsid w:val="00EF4B52"/>
    <w:rsid w:val="00EF5F79"/>
    <w:rsid w:val="00EF715A"/>
    <w:rsid w:val="00F06BB8"/>
    <w:rsid w:val="00F06E14"/>
    <w:rsid w:val="00F179D4"/>
    <w:rsid w:val="00F31277"/>
    <w:rsid w:val="00F33C56"/>
    <w:rsid w:val="00F347C7"/>
    <w:rsid w:val="00F34848"/>
    <w:rsid w:val="00F42D46"/>
    <w:rsid w:val="00F4496C"/>
    <w:rsid w:val="00F44F3A"/>
    <w:rsid w:val="00F51F10"/>
    <w:rsid w:val="00F529A5"/>
    <w:rsid w:val="00F60F00"/>
    <w:rsid w:val="00F614C0"/>
    <w:rsid w:val="00F722FF"/>
    <w:rsid w:val="00F75D1E"/>
    <w:rsid w:val="00F83848"/>
    <w:rsid w:val="00F855BB"/>
    <w:rsid w:val="00F975E9"/>
    <w:rsid w:val="00FA1B7D"/>
    <w:rsid w:val="00FC07B9"/>
    <w:rsid w:val="00FC1BD8"/>
    <w:rsid w:val="00FC4E21"/>
    <w:rsid w:val="00FC5F6D"/>
    <w:rsid w:val="00FC6AFB"/>
    <w:rsid w:val="00FD0107"/>
    <w:rsid w:val="00FD0A56"/>
    <w:rsid w:val="00FD2C2F"/>
    <w:rsid w:val="00FD3B31"/>
    <w:rsid w:val="00FE1823"/>
    <w:rsid w:val="00FE487A"/>
    <w:rsid w:val="00FE5BEB"/>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6737">
      <o:colormru v:ext="edit" colors="red,#4d4d4f"/>
    </o:shapedefaults>
    <o:shapelayout v:ext="edit">
      <o:idmap v:ext="edit" data="1"/>
    </o:shapelayout>
  </w:shapeDefaults>
  <w:decimalSymbol w:val="."/>
  <w:listSeparator w:val=","/>
  <w14:docId w14:val="2E9F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link w:val="Heading2Char"/>
    <w:uiPriority w:val="9"/>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basedOn w:val="DefaultParagraphFont"/>
    <w:uiPriority w:val="99"/>
    <w:semiHidden/>
    <w:rsid w:val="00566AB4"/>
    <w:rPr>
      <w:rFonts w:ascii="Arial" w:hAnsi="Arial"/>
      <w:vertAlign w:val="superscript"/>
    </w:rPr>
  </w:style>
  <w:style w:type="paragraph" w:styleId="FootnoteText">
    <w:name w:val="footnote text"/>
    <w:basedOn w:val="Normal"/>
    <w:link w:val="FootnoteTextChar"/>
    <w:uiPriority w:val="99"/>
    <w:semiHidden/>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8D2483"/>
    <w:pPr>
      <w:spacing w:before="80"/>
    </w:pPr>
    <w:rPr>
      <w:rFonts w:ascii="Arial" w:hAnsi="Arial" w:cs="Arial"/>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paragraph" w:styleId="ListParagraph">
    <w:name w:val="List Paragraph"/>
    <w:aliases w:val="List Paragraph1,List Paragraph11,Recommendation,bullet point list"/>
    <w:basedOn w:val="Normal"/>
    <w:link w:val="ListParagraphChar"/>
    <w:uiPriority w:val="34"/>
    <w:qFormat/>
    <w:rsid w:val="008D2483"/>
    <w:pPr>
      <w:spacing w:after="164"/>
      <w:ind w:left="720"/>
      <w:contextualSpacing/>
    </w:pPr>
    <w:rPr>
      <w:color w:val="4D4D4F"/>
      <w:sz w:val="21"/>
    </w:rPr>
  </w:style>
  <w:style w:type="character" w:customStyle="1" w:styleId="Heading2Char">
    <w:name w:val="Heading 2 Char"/>
    <w:basedOn w:val="DefaultParagraphFont"/>
    <w:link w:val="Heading2"/>
    <w:uiPriority w:val="9"/>
    <w:rsid w:val="008D2483"/>
    <w:rPr>
      <w:rFonts w:ascii="Arial" w:hAnsi="Arial" w:cs="Arial"/>
      <w:b/>
      <w:bCs/>
      <w:iCs/>
      <w:sz w:val="28"/>
      <w:szCs w:val="28"/>
    </w:rPr>
  </w:style>
  <w:style w:type="character" w:customStyle="1" w:styleId="Heading1Char">
    <w:name w:val="Heading 1 Char"/>
    <w:basedOn w:val="DefaultParagraphFont"/>
    <w:link w:val="Heading1"/>
    <w:rsid w:val="008D2483"/>
    <w:rPr>
      <w:rFonts w:ascii="Arial" w:hAnsi="Arial" w:cs="Arial"/>
      <w:bCs/>
      <w:color w:val="323232"/>
      <w:kern w:val="32"/>
      <w:sz w:val="53"/>
      <w:szCs w:val="32"/>
    </w:rPr>
  </w:style>
  <w:style w:type="character" w:customStyle="1" w:styleId="ListParagraphChar">
    <w:name w:val="List Paragraph Char"/>
    <w:aliases w:val="List Paragraph1 Char,List Paragraph11 Char,Recommendation Char,bullet point list Char"/>
    <w:basedOn w:val="DefaultParagraphFont"/>
    <w:link w:val="ListParagraph"/>
    <w:uiPriority w:val="34"/>
    <w:locked/>
    <w:rsid w:val="008D2483"/>
    <w:rPr>
      <w:rFonts w:ascii="Arial" w:hAnsi="Arial"/>
      <w:color w:val="4D4D4F"/>
      <w:sz w:val="21"/>
    </w:rPr>
  </w:style>
  <w:style w:type="character" w:customStyle="1" w:styleId="FootnoteTextChar">
    <w:name w:val="Footnote Text Char"/>
    <w:basedOn w:val="DefaultParagraphFont"/>
    <w:link w:val="FootnoteText"/>
    <w:uiPriority w:val="99"/>
    <w:semiHidden/>
    <w:rsid w:val="008D2483"/>
    <w:rPr>
      <w:rFonts w:ascii="Arial" w:hAnsi="Arial"/>
      <w:sz w:val="16"/>
      <w:szCs w:val="16"/>
    </w:rPr>
  </w:style>
  <w:style w:type="paragraph" w:styleId="Revision">
    <w:name w:val="Revision"/>
    <w:hidden/>
    <w:semiHidden/>
    <w:rsid w:val="000F4BE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andinfo@acma.gov.au"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footer" Target="footer2.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creativecommons.org/l/by/3.0/88x31.png"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6D345F595ABB439DE02E8938A58BB2" ma:contentTypeVersion="0" ma:contentTypeDescription="Create a new document." ma:contentTypeScope="" ma:versionID="189e7f2231ad83de22bb519865e40a3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6EE62-6DF0-4B56-8BFE-D3C3704B0331}">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922DF05F-1A82-46A8-9F21-EB94A35A1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AA5BD3-214C-498D-A379-8E3D90792D5C}">
  <ds:schemaRefs>
    <ds:schemaRef ds:uri="http://schemas.microsoft.com/sharepoint/v3/contenttype/forms"/>
  </ds:schemaRefs>
</ds:datastoreItem>
</file>

<file path=customXml/itemProps4.xml><?xml version="1.0" encoding="utf-8"?>
<ds:datastoreItem xmlns:ds="http://schemas.openxmlformats.org/officeDocument/2006/customXml" ds:itemID="{1EDA2A52-29F2-4AAE-9168-B3E115C6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2F991A43.dotm</Template>
  <TotalTime>0</TotalTime>
  <Pages>15</Pages>
  <Words>3827</Words>
  <Characters>21814</Characters>
  <Application>Microsoft Office Word</Application>
  <DocSecurity>8</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2017-05-16T04:15:00Z</dcterms:created>
  <dcterms:modified xsi:type="dcterms:W3CDTF">2017-05-16T04:15:00Z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0x010100D06D345F595ABB439DE02E8938A58BB2</vt:lpwstr>
  </property>
  <property fmtid="{D5CDD505-2E9C-101B-9397-08002B2CF9AE}" pid="3" name="TrimRevisionNumber">
    <vt:i4>1</vt:i4>
  </property>
</Properties>
</file>