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190E7" w14:textId="77777777" w:rsidR="00F06E14" w:rsidRPr="003864A0" w:rsidRDefault="003864A0" w:rsidP="00A51D1A">
      <w:pPr>
        <w:pStyle w:val="ACMAReportTitle"/>
        <w:rPr>
          <w:rFonts w:cs="Arial"/>
        </w:rPr>
      </w:pPr>
      <w:r w:rsidRPr="003864A0">
        <w:rPr>
          <w:rFonts w:cs="Arial"/>
        </w:rPr>
        <w:t>Accreditation</w:t>
      </w:r>
    </w:p>
    <w:p w14:paraId="4FA0E20E" w14:textId="2260AD23" w:rsidR="003864A0" w:rsidRPr="003864A0" w:rsidRDefault="003864A0" w:rsidP="003864A0">
      <w:pPr>
        <w:pStyle w:val="ACMAReportSubTitle"/>
        <w:rPr>
          <w:rFonts w:cs="Arial"/>
        </w:rPr>
      </w:pPr>
      <w:r w:rsidRPr="003864A0">
        <w:rPr>
          <w:rFonts w:cs="Arial"/>
        </w:rPr>
        <w:t xml:space="preserve">Supporting material for </w:t>
      </w:r>
      <w:r w:rsidR="00B93266">
        <w:rPr>
          <w:rFonts w:cs="Arial"/>
        </w:rPr>
        <w:t xml:space="preserve">the </w:t>
      </w:r>
      <w:r w:rsidR="00906F62" w:rsidRPr="003864A0">
        <w:rPr>
          <w:rFonts w:cs="Arial"/>
        </w:rPr>
        <w:t>Exposure Draft</w:t>
      </w:r>
      <w:r w:rsidR="00906F62">
        <w:rPr>
          <w:rFonts w:cs="Arial"/>
        </w:rPr>
        <w:t xml:space="preserve"> of the</w:t>
      </w:r>
      <w:r w:rsidR="00906F62" w:rsidRPr="003864A0">
        <w:rPr>
          <w:rFonts w:cs="Arial"/>
        </w:rPr>
        <w:t xml:space="preserve"> </w:t>
      </w:r>
      <w:proofErr w:type="spellStart"/>
      <w:r w:rsidRPr="003864A0">
        <w:rPr>
          <w:rFonts w:cs="Arial"/>
        </w:rPr>
        <w:t>Radiocommunications</w:t>
      </w:r>
      <w:proofErr w:type="spellEnd"/>
      <w:r w:rsidRPr="003864A0">
        <w:rPr>
          <w:rFonts w:cs="Arial"/>
        </w:rPr>
        <w:t xml:space="preserve"> Bill</w:t>
      </w:r>
      <w:r w:rsidR="00906F62">
        <w:rPr>
          <w:rFonts w:cs="Arial"/>
        </w:rPr>
        <w:t xml:space="preserve"> 2017</w:t>
      </w:r>
      <w:r w:rsidRPr="003864A0">
        <w:rPr>
          <w:rFonts w:cs="Arial"/>
        </w:rPr>
        <w:t xml:space="preserve"> </w:t>
      </w:r>
    </w:p>
    <w:p w14:paraId="14D4CDD2" w14:textId="13B01285" w:rsidR="00C97736" w:rsidRPr="003864A0" w:rsidRDefault="00376E9A" w:rsidP="00376E9A">
      <w:pPr>
        <w:pStyle w:val="ACMAReportDate"/>
        <w:spacing w:after="720"/>
        <w:rPr>
          <w:rFonts w:cs="Arial"/>
        </w:rPr>
        <w:sectPr w:rsidR="00C97736" w:rsidRPr="003864A0" w:rsidSect="004F556E">
          <w:headerReference w:type="default" r:id="rId8"/>
          <w:footerReference w:type="default" r:id="rId9"/>
          <w:headerReference w:type="first" r:id="rId10"/>
          <w:pgSz w:w="11906" w:h="16838" w:code="9"/>
          <w:pgMar w:top="3924" w:right="1797" w:bottom="1440" w:left="1134" w:header="709" w:footer="454" w:gutter="0"/>
          <w:cols w:space="708"/>
          <w:docGrid w:linePitch="360"/>
        </w:sectPr>
      </w:pPr>
      <w:r>
        <w:rPr>
          <w:rFonts w:cs="Arial"/>
        </w:rPr>
        <w:t>MAY</w:t>
      </w:r>
      <w:r w:rsidR="00F84558" w:rsidRPr="003864A0">
        <w:rPr>
          <w:rFonts w:cs="Arial"/>
        </w:rPr>
        <w:t xml:space="preserve"> </w:t>
      </w:r>
      <w:r w:rsidR="00906F62" w:rsidRPr="003864A0">
        <w:rPr>
          <w:rFonts w:cs="Arial"/>
        </w:rPr>
        <w:t>201</w:t>
      </w:r>
      <w:r w:rsidR="00906F62">
        <w:rPr>
          <w:rFonts w:cs="Arial"/>
        </w:rPr>
        <w:t>7</w:t>
      </w:r>
    </w:p>
    <w:p w14:paraId="42E8A98F" w14:textId="77777777" w:rsidR="0005011A" w:rsidRPr="003864A0" w:rsidRDefault="0005011A" w:rsidP="00FC07B9">
      <w:pPr>
        <w:pStyle w:val="ACMACorporateAddressHeader"/>
        <w:rPr>
          <w:rFonts w:cs="Arial"/>
        </w:rPr>
      </w:pPr>
      <w:r w:rsidRPr="003864A0">
        <w:rPr>
          <w:rFonts w:cs="Arial"/>
        </w:rPr>
        <w:lastRenderedPageBreak/>
        <w:t>Canberra</w:t>
      </w:r>
    </w:p>
    <w:p w14:paraId="72BDBC98" w14:textId="77777777" w:rsidR="0005011A" w:rsidRPr="003864A0" w:rsidRDefault="0005011A" w:rsidP="00FC07B9">
      <w:pPr>
        <w:pStyle w:val="ACMACorporateAddresses"/>
        <w:rPr>
          <w:rFonts w:cs="Arial"/>
        </w:rPr>
      </w:pPr>
      <w:r w:rsidRPr="003864A0">
        <w:rPr>
          <w:rFonts w:cs="Arial"/>
        </w:rPr>
        <w:t xml:space="preserve">Red Building </w:t>
      </w:r>
      <w:r w:rsidRPr="003864A0">
        <w:rPr>
          <w:rFonts w:cs="Arial"/>
        </w:rPr>
        <w:br/>
        <w:t>Benjamin Offices</w:t>
      </w:r>
      <w:r w:rsidRPr="003864A0">
        <w:rPr>
          <w:rFonts w:cs="Arial"/>
        </w:rPr>
        <w:br/>
        <w:t xml:space="preserve">Chan Street </w:t>
      </w:r>
      <w:r w:rsidRPr="003864A0">
        <w:rPr>
          <w:rFonts w:cs="Arial"/>
        </w:rPr>
        <w:br/>
        <w:t>Belconnen ACT</w:t>
      </w:r>
    </w:p>
    <w:p w14:paraId="73F917C4" w14:textId="77777777" w:rsidR="0005011A" w:rsidRPr="003864A0" w:rsidRDefault="0005011A" w:rsidP="00FC07B9">
      <w:pPr>
        <w:pStyle w:val="ACMACorporateAddresses"/>
        <w:rPr>
          <w:rFonts w:cs="Arial"/>
        </w:rPr>
      </w:pPr>
      <w:r w:rsidRPr="003864A0">
        <w:rPr>
          <w:rFonts w:cs="Arial"/>
        </w:rPr>
        <w:t>PO Box 78</w:t>
      </w:r>
      <w:r w:rsidRPr="003864A0">
        <w:rPr>
          <w:rFonts w:cs="Arial"/>
        </w:rPr>
        <w:br/>
        <w:t>Belconnen ACT 2616</w:t>
      </w:r>
    </w:p>
    <w:p w14:paraId="3611A07B" w14:textId="77777777" w:rsidR="00FE1823" w:rsidRPr="003864A0" w:rsidRDefault="0005011A" w:rsidP="00FC07B9">
      <w:pPr>
        <w:pStyle w:val="ACMACorporateAddresses"/>
        <w:rPr>
          <w:rFonts w:cs="Arial"/>
        </w:rPr>
      </w:pPr>
      <w:r w:rsidRPr="003864A0">
        <w:rPr>
          <w:rFonts w:cs="Arial"/>
        </w:rPr>
        <w:t>T</w:t>
      </w:r>
      <w:r w:rsidR="00537604" w:rsidRPr="003864A0">
        <w:rPr>
          <w:rFonts w:cs="Arial"/>
        </w:rPr>
        <w:tab/>
      </w:r>
      <w:r w:rsidRPr="003864A0">
        <w:rPr>
          <w:rFonts w:cs="Arial"/>
        </w:rPr>
        <w:t>+61 2 6219 5555</w:t>
      </w:r>
      <w:r w:rsidRPr="003864A0">
        <w:rPr>
          <w:rFonts w:cs="Arial"/>
        </w:rPr>
        <w:br/>
        <w:t>F</w:t>
      </w:r>
      <w:r w:rsidR="00537604" w:rsidRPr="003864A0">
        <w:rPr>
          <w:rFonts w:cs="Arial"/>
        </w:rPr>
        <w:tab/>
      </w:r>
      <w:r w:rsidRPr="003864A0">
        <w:rPr>
          <w:rFonts w:cs="Arial"/>
        </w:rPr>
        <w:t>+61 2 6219 5353</w:t>
      </w:r>
    </w:p>
    <w:p w14:paraId="5D466646" w14:textId="77777777" w:rsidR="0005011A" w:rsidRPr="003864A0" w:rsidRDefault="0005011A" w:rsidP="00FC07B9">
      <w:pPr>
        <w:pStyle w:val="ACMACorporateAddressHeader"/>
        <w:rPr>
          <w:rFonts w:cs="Arial"/>
        </w:rPr>
      </w:pPr>
      <w:r w:rsidRPr="003864A0">
        <w:rPr>
          <w:rFonts w:cs="Arial"/>
        </w:rPr>
        <w:t>Melbourne</w:t>
      </w:r>
    </w:p>
    <w:p w14:paraId="70CE723B" w14:textId="77777777" w:rsidR="0005011A" w:rsidRPr="003864A0" w:rsidRDefault="0005011A" w:rsidP="00FC07B9">
      <w:pPr>
        <w:pStyle w:val="ACMACorporateAddresses"/>
        <w:rPr>
          <w:rFonts w:cs="Arial"/>
        </w:rPr>
      </w:pPr>
      <w:r w:rsidRPr="003864A0">
        <w:rPr>
          <w:rFonts w:cs="Arial"/>
        </w:rPr>
        <w:t xml:space="preserve">Level 32 </w:t>
      </w:r>
      <w:r w:rsidRPr="003864A0">
        <w:rPr>
          <w:rFonts w:cs="Arial"/>
        </w:rPr>
        <w:br/>
        <w:t>Melbourne Central Tower</w:t>
      </w:r>
      <w:r w:rsidRPr="003864A0">
        <w:rPr>
          <w:rFonts w:cs="Arial"/>
        </w:rPr>
        <w:br/>
        <w:t xml:space="preserve">360 Elizabeth Street </w:t>
      </w:r>
      <w:r w:rsidR="008C10F4" w:rsidRPr="003864A0">
        <w:rPr>
          <w:rFonts w:cs="Arial"/>
        </w:rPr>
        <w:br/>
      </w:r>
      <w:r w:rsidRPr="003864A0">
        <w:rPr>
          <w:rFonts w:cs="Arial"/>
        </w:rPr>
        <w:t>Melbourne VIC</w:t>
      </w:r>
    </w:p>
    <w:p w14:paraId="3B01235E" w14:textId="77777777" w:rsidR="0005011A" w:rsidRPr="003864A0" w:rsidRDefault="0005011A" w:rsidP="00FC07B9">
      <w:pPr>
        <w:pStyle w:val="ACMACorporateAddresses"/>
        <w:rPr>
          <w:rFonts w:cs="Arial"/>
        </w:rPr>
      </w:pPr>
      <w:r w:rsidRPr="003864A0">
        <w:rPr>
          <w:rFonts w:cs="Arial"/>
        </w:rPr>
        <w:t>PO Box 13112</w:t>
      </w:r>
      <w:r w:rsidRPr="003864A0">
        <w:rPr>
          <w:rFonts w:cs="Arial"/>
        </w:rPr>
        <w:br/>
        <w:t xml:space="preserve">Law Courts </w:t>
      </w:r>
      <w:r w:rsidRPr="003864A0">
        <w:rPr>
          <w:rFonts w:cs="Arial"/>
        </w:rPr>
        <w:br/>
        <w:t>Melbourne VIC 8010</w:t>
      </w:r>
    </w:p>
    <w:p w14:paraId="35B69036" w14:textId="77777777" w:rsidR="0005011A" w:rsidRPr="003864A0" w:rsidRDefault="0005011A" w:rsidP="00FC07B9">
      <w:pPr>
        <w:pStyle w:val="ACMACorporateAddresses"/>
        <w:rPr>
          <w:rFonts w:cs="Arial"/>
        </w:rPr>
      </w:pPr>
      <w:r w:rsidRPr="003864A0">
        <w:rPr>
          <w:rFonts w:cs="Arial"/>
        </w:rPr>
        <w:t>T</w:t>
      </w:r>
      <w:r w:rsidR="00140318" w:rsidRPr="003864A0">
        <w:rPr>
          <w:rFonts w:cs="Arial"/>
        </w:rPr>
        <w:tab/>
      </w:r>
      <w:r w:rsidRPr="003864A0">
        <w:rPr>
          <w:rFonts w:cs="Arial"/>
        </w:rPr>
        <w:t>+61 3 9963 6800</w:t>
      </w:r>
      <w:r w:rsidRPr="003864A0">
        <w:rPr>
          <w:rFonts w:cs="Arial"/>
        </w:rPr>
        <w:br/>
        <w:t>F</w:t>
      </w:r>
      <w:r w:rsidR="00140318" w:rsidRPr="003864A0">
        <w:rPr>
          <w:rFonts w:cs="Arial"/>
        </w:rPr>
        <w:tab/>
      </w:r>
      <w:r w:rsidRPr="003864A0">
        <w:rPr>
          <w:rFonts w:cs="Arial"/>
        </w:rPr>
        <w:t>+61 3 9963 6899</w:t>
      </w:r>
    </w:p>
    <w:p w14:paraId="37C730E6" w14:textId="77777777" w:rsidR="0005011A" w:rsidRPr="003864A0" w:rsidRDefault="0005011A" w:rsidP="00FC07B9">
      <w:pPr>
        <w:pStyle w:val="ACMACorporateAddressHeader"/>
        <w:rPr>
          <w:rFonts w:cs="Arial"/>
        </w:rPr>
      </w:pPr>
      <w:r w:rsidRPr="003864A0">
        <w:rPr>
          <w:rFonts w:cs="Arial"/>
        </w:rPr>
        <w:t>Sydney</w:t>
      </w:r>
    </w:p>
    <w:p w14:paraId="6FABB3C1" w14:textId="77777777" w:rsidR="0005011A" w:rsidRPr="003864A0" w:rsidRDefault="0005011A" w:rsidP="00FC07B9">
      <w:pPr>
        <w:pStyle w:val="ACMACorporateAddresses"/>
        <w:rPr>
          <w:rFonts w:cs="Arial"/>
        </w:rPr>
      </w:pPr>
      <w:r w:rsidRPr="003864A0">
        <w:rPr>
          <w:rFonts w:cs="Arial"/>
        </w:rPr>
        <w:t xml:space="preserve">Level 5 </w:t>
      </w:r>
      <w:r w:rsidRPr="003864A0">
        <w:rPr>
          <w:rFonts w:cs="Arial"/>
        </w:rPr>
        <w:br/>
      </w:r>
      <w:proofErr w:type="gramStart"/>
      <w:r w:rsidRPr="003864A0">
        <w:rPr>
          <w:rFonts w:cs="Arial"/>
        </w:rPr>
        <w:t>The</w:t>
      </w:r>
      <w:proofErr w:type="gramEnd"/>
      <w:r w:rsidRPr="003864A0">
        <w:rPr>
          <w:rFonts w:cs="Arial"/>
        </w:rPr>
        <w:t xml:space="preserve"> Bay Centre</w:t>
      </w:r>
      <w:r w:rsidRPr="003864A0">
        <w:rPr>
          <w:rFonts w:cs="Arial"/>
        </w:rPr>
        <w:br/>
        <w:t xml:space="preserve">65 </w:t>
      </w:r>
      <w:proofErr w:type="spellStart"/>
      <w:r w:rsidRPr="003864A0">
        <w:rPr>
          <w:rFonts w:cs="Arial"/>
        </w:rPr>
        <w:t>Pirrama</w:t>
      </w:r>
      <w:proofErr w:type="spellEnd"/>
      <w:r w:rsidRPr="003864A0">
        <w:rPr>
          <w:rFonts w:cs="Arial"/>
        </w:rPr>
        <w:t xml:space="preserve"> Road </w:t>
      </w:r>
      <w:r w:rsidRPr="003864A0">
        <w:rPr>
          <w:rFonts w:cs="Arial"/>
        </w:rPr>
        <w:br/>
        <w:t>Pyrmont NSW</w:t>
      </w:r>
    </w:p>
    <w:p w14:paraId="291BE8E7" w14:textId="77777777" w:rsidR="0005011A" w:rsidRPr="003864A0" w:rsidRDefault="0005011A" w:rsidP="00FC07B9">
      <w:pPr>
        <w:pStyle w:val="ACMACorporateAddresses"/>
        <w:rPr>
          <w:rFonts w:cs="Arial"/>
        </w:rPr>
      </w:pPr>
      <w:r w:rsidRPr="003864A0">
        <w:rPr>
          <w:rFonts w:cs="Arial"/>
        </w:rPr>
        <w:t>PO Box Q500</w:t>
      </w:r>
      <w:r w:rsidRPr="003864A0">
        <w:rPr>
          <w:rFonts w:cs="Arial"/>
        </w:rPr>
        <w:br/>
        <w:t xml:space="preserve">Queen Victoria Building </w:t>
      </w:r>
      <w:r w:rsidRPr="003864A0">
        <w:rPr>
          <w:rFonts w:cs="Arial"/>
        </w:rPr>
        <w:br/>
        <w:t>NSW 1230</w:t>
      </w:r>
    </w:p>
    <w:p w14:paraId="2EC2AE13" w14:textId="77777777" w:rsidR="0005011A" w:rsidRPr="003864A0" w:rsidRDefault="0005011A" w:rsidP="00FC07B9">
      <w:pPr>
        <w:pStyle w:val="ACMACorporateAddresses"/>
        <w:rPr>
          <w:rFonts w:cs="Arial"/>
        </w:rPr>
      </w:pPr>
      <w:r w:rsidRPr="003864A0">
        <w:rPr>
          <w:rFonts w:cs="Arial"/>
        </w:rPr>
        <w:t>T</w:t>
      </w:r>
      <w:r w:rsidR="00140318" w:rsidRPr="003864A0">
        <w:rPr>
          <w:rFonts w:cs="Arial"/>
        </w:rPr>
        <w:tab/>
      </w:r>
      <w:r w:rsidRPr="003864A0">
        <w:rPr>
          <w:rFonts w:cs="Arial"/>
        </w:rPr>
        <w:t>+61 2 9334 7700</w:t>
      </w:r>
      <w:r w:rsidR="00140318" w:rsidRPr="003864A0">
        <w:rPr>
          <w:rFonts w:cs="Arial"/>
        </w:rPr>
        <w:t xml:space="preserve"> or</w:t>
      </w:r>
      <w:r w:rsidRPr="003864A0">
        <w:rPr>
          <w:rFonts w:cs="Arial"/>
        </w:rPr>
        <w:t xml:space="preserve"> 1800 226 667</w:t>
      </w:r>
      <w:r w:rsidRPr="003864A0">
        <w:rPr>
          <w:rFonts w:cs="Arial"/>
        </w:rPr>
        <w:br/>
        <w:t>F</w:t>
      </w:r>
      <w:r w:rsidR="00140318" w:rsidRPr="003864A0">
        <w:rPr>
          <w:rFonts w:cs="Arial"/>
        </w:rPr>
        <w:tab/>
      </w:r>
      <w:r w:rsidRPr="003864A0">
        <w:rPr>
          <w:rFonts w:cs="Arial"/>
        </w:rPr>
        <w:t>+61 2 9334 7799</w:t>
      </w:r>
    </w:p>
    <w:p w14:paraId="7D9CE5AA" w14:textId="77777777" w:rsidR="00140318" w:rsidRPr="003864A0" w:rsidRDefault="00140318" w:rsidP="00FC07B9">
      <w:pPr>
        <w:pStyle w:val="ACMACopyrightHeader"/>
        <w:rPr>
          <w:rFonts w:cs="Arial"/>
        </w:rPr>
      </w:pPr>
      <w:r w:rsidRPr="003864A0">
        <w:rPr>
          <w:rFonts w:cs="Arial"/>
        </w:rPr>
        <w:lastRenderedPageBreak/>
        <w:t>Copyright notice</w:t>
      </w:r>
    </w:p>
    <w:p w14:paraId="0723B800" w14:textId="77777777" w:rsidR="00140318" w:rsidRPr="003864A0" w:rsidRDefault="00623FF9" w:rsidP="00623FF9">
      <w:pPr>
        <w:pStyle w:val="ACMACClogo"/>
        <w:rPr>
          <w:rFonts w:cs="Arial"/>
        </w:rPr>
      </w:pPr>
      <w:r w:rsidRPr="003864A0">
        <w:rPr>
          <w:rFonts w:cs="Arial"/>
          <w:noProof/>
        </w:rPr>
        <w:drawing>
          <wp:inline distT="0" distB="0" distL="0" distR="0" wp14:anchorId="132B0048" wp14:editId="73B6813A">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00569A9E" w14:textId="77777777" w:rsidR="00140318" w:rsidRPr="003864A0" w:rsidRDefault="005E3845" w:rsidP="00FC07B9">
      <w:pPr>
        <w:pStyle w:val="ACMACorporateAddresses"/>
        <w:rPr>
          <w:rStyle w:val="Hyperlink"/>
          <w:rFonts w:cs="Arial"/>
        </w:rPr>
      </w:pPr>
      <w:hyperlink r:id="rId13" w:tooltip="Creative Commons Licenses" w:history="1">
        <w:r w:rsidR="00140318" w:rsidRPr="003864A0">
          <w:rPr>
            <w:rStyle w:val="Hyperlink"/>
            <w:rFonts w:cs="Arial"/>
          </w:rPr>
          <w:t>http://creativecommons.org/licenses/by/3.0/au/</w:t>
        </w:r>
      </w:hyperlink>
    </w:p>
    <w:p w14:paraId="15763EDF" w14:textId="77777777" w:rsidR="00140318" w:rsidRPr="003864A0" w:rsidRDefault="00140318" w:rsidP="00FC07B9">
      <w:pPr>
        <w:pStyle w:val="ACMACorporateAddresses"/>
        <w:rPr>
          <w:rFonts w:cs="Arial"/>
        </w:rPr>
      </w:pPr>
      <w:r w:rsidRPr="003864A0">
        <w:rPr>
          <w:rFonts w:cs="Arial"/>
        </w:rPr>
        <w:t xml:space="preserve">With the exception of coats of arms, logos, emblems, images, other third-party material or devices protected by a trademark, this content is licensed under the Creative Commons Australia Attribution 3.0 Licence. </w:t>
      </w:r>
    </w:p>
    <w:p w14:paraId="7456AF93" w14:textId="3F63E933" w:rsidR="00140318" w:rsidRPr="003864A0" w:rsidRDefault="00C34A05" w:rsidP="00FC07B9">
      <w:pPr>
        <w:pStyle w:val="ACMACorporateAddresses"/>
        <w:rPr>
          <w:rFonts w:cs="Arial"/>
        </w:rPr>
      </w:pPr>
      <w:r w:rsidRPr="003864A0">
        <w:rPr>
          <w:rFonts w:cs="Arial"/>
        </w:rPr>
        <w:t>We request attribution as</w:t>
      </w:r>
      <w:r w:rsidR="00140318" w:rsidRPr="003864A0">
        <w:rPr>
          <w:rFonts w:cs="Arial"/>
        </w:rPr>
        <w:t xml:space="preserve"> © Commonwealth of Australia (Australian Communic</w:t>
      </w:r>
      <w:r w:rsidR="00B6003C" w:rsidRPr="003864A0">
        <w:rPr>
          <w:rFonts w:cs="Arial"/>
        </w:rPr>
        <w:t>ations and Media Authority) 201</w:t>
      </w:r>
      <w:r w:rsidR="00C9644C">
        <w:rPr>
          <w:rFonts w:cs="Arial"/>
        </w:rPr>
        <w:t>7</w:t>
      </w:r>
      <w:r w:rsidR="00140318" w:rsidRPr="003864A0">
        <w:rPr>
          <w:rFonts w:cs="Arial"/>
        </w:rPr>
        <w:t>.</w:t>
      </w:r>
    </w:p>
    <w:p w14:paraId="3C9A9C4F" w14:textId="77777777" w:rsidR="00140318" w:rsidRPr="003864A0" w:rsidRDefault="00140318" w:rsidP="00FC07B9">
      <w:pPr>
        <w:pStyle w:val="ACMACorporateAddresses"/>
        <w:rPr>
          <w:rFonts w:cs="Arial"/>
        </w:rPr>
      </w:pPr>
      <w:r w:rsidRPr="003864A0">
        <w:rPr>
          <w:rFonts w:cs="Arial"/>
        </w:rPr>
        <w:t>All other rights are reserved.</w:t>
      </w:r>
    </w:p>
    <w:p w14:paraId="126B6323" w14:textId="77777777" w:rsidR="00140318" w:rsidRPr="003864A0" w:rsidRDefault="00140318" w:rsidP="00FC07B9">
      <w:pPr>
        <w:pStyle w:val="ACMACorporateAddresses"/>
        <w:rPr>
          <w:rFonts w:cs="Arial"/>
        </w:rPr>
      </w:pPr>
      <w:r w:rsidRPr="003864A0">
        <w:rPr>
          <w:rFonts w:cs="Arial"/>
        </w:rP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3CC6E06D" w14:textId="77777777" w:rsidR="00140318" w:rsidRPr="003864A0" w:rsidRDefault="00140318" w:rsidP="00FC07B9">
      <w:pPr>
        <w:pStyle w:val="ACMACorporateAddresses"/>
        <w:rPr>
          <w:rFonts w:cs="Arial"/>
        </w:rPr>
      </w:pPr>
      <w:r w:rsidRPr="003864A0">
        <w:rPr>
          <w:rFonts w:cs="Arial"/>
        </w:rPr>
        <w:t>Written enquiries may be sent to:</w:t>
      </w:r>
    </w:p>
    <w:p w14:paraId="349C7D9B" w14:textId="77777777" w:rsidR="00D16FE3" w:rsidRPr="003864A0" w:rsidRDefault="00140318" w:rsidP="00D16FE3">
      <w:pPr>
        <w:pStyle w:val="ACMACorporateAddresses"/>
        <w:rPr>
          <w:rStyle w:val="Hyperlink"/>
          <w:rFonts w:cs="Arial"/>
        </w:rPr>
      </w:pPr>
      <w:r w:rsidRPr="003864A0">
        <w:rPr>
          <w:rFonts w:cs="Arial"/>
        </w:rPr>
        <w:t>Manager, Editorial and Design</w:t>
      </w:r>
      <w:r w:rsidR="00623FF9" w:rsidRPr="003864A0">
        <w:rPr>
          <w:rFonts w:cs="Arial"/>
        </w:rPr>
        <w:br/>
      </w:r>
      <w:r w:rsidRPr="003864A0">
        <w:rPr>
          <w:rFonts w:cs="Arial"/>
        </w:rPr>
        <w:t>PO Box 13112</w:t>
      </w:r>
      <w:r w:rsidR="00623FF9" w:rsidRPr="003864A0">
        <w:rPr>
          <w:rFonts w:cs="Arial"/>
        </w:rPr>
        <w:br/>
      </w:r>
      <w:r w:rsidRPr="003864A0">
        <w:rPr>
          <w:rFonts w:cs="Arial"/>
        </w:rPr>
        <w:t>Law Courts</w:t>
      </w:r>
      <w:r w:rsidR="00623FF9" w:rsidRPr="003864A0">
        <w:rPr>
          <w:rFonts w:cs="Arial"/>
        </w:rPr>
        <w:br/>
      </w:r>
      <w:r w:rsidRPr="003864A0">
        <w:rPr>
          <w:rFonts w:cs="Arial"/>
        </w:rPr>
        <w:t>Melbourne VIC 8010</w:t>
      </w:r>
      <w:r w:rsidR="00623FF9" w:rsidRPr="003864A0">
        <w:rPr>
          <w:rFonts w:cs="Arial"/>
        </w:rPr>
        <w:br/>
      </w:r>
      <w:r w:rsidRPr="003864A0">
        <w:rPr>
          <w:rFonts w:cs="Arial"/>
        </w:rPr>
        <w:t xml:space="preserve">Email: </w:t>
      </w:r>
      <w:hyperlink r:id="rId14" w:history="1">
        <w:r w:rsidRPr="003864A0">
          <w:rPr>
            <w:rStyle w:val="Hyperlink"/>
            <w:rFonts w:cs="Arial"/>
          </w:rPr>
          <w:t>candinfo@acma.gov.au</w:t>
        </w:r>
      </w:hyperlink>
    </w:p>
    <w:p w14:paraId="728B6C23" w14:textId="77777777" w:rsidR="00D16FE3" w:rsidRPr="003864A0" w:rsidRDefault="00D16FE3" w:rsidP="00D16FE3">
      <w:pPr>
        <w:pStyle w:val="ACMACorporateAddresses"/>
        <w:rPr>
          <w:rStyle w:val="Hyperlink"/>
          <w:rFonts w:cs="Arial"/>
        </w:rPr>
      </w:pPr>
    </w:p>
    <w:p w14:paraId="69C069D5" w14:textId="77777777" w:rsidR="00D16FE3" w:rsidRPr="003864A0" w:rsidRDefault="00D16FE3" w:rsidP="00D16FE3">
      <w:pPr>
        <w:pStyle w:val="ACMACorporateAddresses"/>
        <w:rPr>
          <w:rFonts w:cs="Arial"/>
        </w:rPr>
        <w:sectPr w:rsidR="00D16FE3" w:rsidRPr="003864A0">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416CDA03" w14:textId="77777777" w:rsidR="00F824D7" w:rsidRDefault="00F824D7">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"1-3" \h \z \t "ACMA_ExecSummaryHeading,1" </w:instrText>
      </w:r>
      <w:r>
        <w:rPr>
          <w:rFonts w:cs="Arial"/>
        </w:rPr>
        <w:fldChar w:fldCharType="separate"/>
      </w:r>
      <w:hyperlink w:anchor="_Toc481058517" w:history="1">
        <w:r w:rsidRPr="004C28B6">
          <w:rPr>
            <w:rStyle w:val="Hyperlink"/>
          </w:rPr>
          <w:t>Purpose of the ACMA supporting material</w:t>
        </w:r>
        <w:r>
          <w:rPr>
            <w:webHidden/>
          </w:rPr>
          <w:tab/>
        </w:r>
        <w:r>
          <w:rPr>
            <w:webHidden/>
          </w:rPr>
          <w:fldChar w:fldCharType="begin"/>
        </w:r>
        <w:r>
          <w:rPr>
            <w:webHidden/>
          </w:rPr>
          <w:instrText xml:space="preserve"> PAGEREF _Toc481058517 \h </w:instrText>
        </w:r>
        <w:r>
          <w:rPr>
            <w:webHidden/>
          </w:rPr>
        </w:r>
        <w:r>
          <w:rPr>
            <w:webHidden/>
          </w:rPr>
          <w:fldChar w:fldCharType="separate"/>
        </w:r>
        <w:r>
          <w:rPr>
            <w:webHidden/>
          </w:rPr>
          <w:t>1</w:t>
        </w:r>
        <w:r>
          <w:rPr>
            <w:webHidden/>
          </w:rPr>
          <w:fldChar w:fldCharType="end"/>
        </w:r>
      </w:hyperlink>
    </w:p>
    <w:p w14:paraId="07F47531" w14:textId="77777777" w:rsidR="00F824D7" w:rsidRDefault="005E3845">
      <w:pPr>
        <w:pStyle w:val="TOC1"/>
        <w:rPr>
          <w:rFonts w:asciiTheme="minorHAnsi" w:eastAsiaTheme="minorEastAsia" w:hAnsiTheme="minorHAnsi" w:cstheme="minorBidi"/>
          <w:b w:val="0"/>
          <w:spacing w:val="0"/>
          <w:sz w:val="22"/>
          <w:szCs w:val="22"/>
        </w:rPr>
      </w:pPr>
      <w:hyperlink w:anchor="_Toc481058518" w:history="1">
        <w:r w:rsidR="00F824D7" w:rsidRPr="004C28B6">
          <w:rPr>
            <w:rStyle w:val="Hyperlink"/>
          </w:rPr>
          <w:t>Existing arrangements</w:t>
        </w:r>
        <w:r w:rsidR="00F824D7">
          <w:rPr>
            <w:webHidden/>
          </w:rPr>
          <w:tab/>
        </w:r>
        <w:r w:rsidR="00F824D7">
          <w:rPr>
            <w:webHidden/>
          </w:rPr>
          <w:fldChar w:fldCharType="begin"/>
        </w:r>
        <w:r w:rsidR="00F824D7">
          <w:rPr>
            <w:webHidden/>
          </w:rPr>
          <w:instrText xml:space="preserve"> PAGEREF _Toc481058518 \h </w:instrText>
        </w:r>
        <w:r w:rsidR="00F824D7">
          <w:rPr>
            <w:webHidden/>
          </w:rPr>
        </w:r>
        <w:r w:rsidR="00F824D7">
          <w:rPr>
            <w:webHidden/>
          </w:rPr>
          <w:fldChar w:fldCharType="separate"/>
        </w:r>
        <w:r w:rsidR="00F824D7">
          <w:rPr>
            <w:webHidden/>
          </w:rPr>
          <w:t>2</w:t>
        </w:r>
        <w:r w:rsidR="00F824D7">
          <w:rPr>
            <w:webHidden/>
          </w:rPr>
          <w:fldChar w:fldCharType="end"/>
        </w:r>
      </w:hyperlink>
    </w:p>
    <w:p w14:paraId="484092F2" w14:textId="77777777" w:rsidR="00F824D7" w:rsidRDefault="005E3845">
      <w:pPr>
        <w:pStyle w:val="TOC2"/>
        <w:rPr>
          <w:rFonts w:asciiTheme="minorHAnsi" w:eastAsiaTheme="minorEastAsia" w:hAnsiTheme="minorHAnsi" w:cstheme="minorBidi"/>
          <w:spacing w:val="0"/>
          <w:sz w:val="22"/>
          <w:szCs w:val="22"/>
        </w:rPr>
      </w:pPr>
      <w:hyperlink w:anchor="_Toc481058519" w:history="1">
        <w:r w:rsidR="00F824D7" w:rsidRPr="004C28B6">
          <w:rPr>
            <w:rStyle w:val="Hyperlink"/>
          </w:rPr>
          <w:t>Accredited persons scheme</w:t>
        </w:r>
        <w:r w:rsidR="00F824D7">
          <w:rPr>
            <w:webHidden/>
          </w:rPr>
          <w:tab/>
        </w:r>
        <w:r w:rsidR="00F824D7">
          <w:rPr>
            <w:webHidden/>
          </w:rPr>
          <w:fldChar w:fldCharType="begin"/>
        </w:r>
        <w:r w:rsidR="00F824D7">
          <w:rPr>
            <w:webHidden/>
          </w:rPr>
          <w:instrText xml:space="preserve"> PAGEREF _Toc481058519 \h </w:instrText>
        </w:r>
        <w:r w:rsidR="00F824D7">
          <w:rPr>
            <w:webHidden/>
          </w:rPr>
        </w:r>
        <w:r w:rsidR="00F824D7">
          <w:rPr>
            <w:webHidden/>
          </w:rPr>
          <w:fldChar w:fldCharType="separate"/>
        </w:r>
        <w:r w:rsidR="00F824D7">
          <w:rPr>
            <w:webHidden/>
          </w:rPr>
          <w:t>2</w:t>
        </w:r>
        <w:r w:rsidR="00F824D7">
          <w:rPr>
            <w:webHidden/>
          </w:rPr>
          <w:fldChar w:fldCharType="end"/>
        </w:r>
      </w:hyperlink>
    </w:p>
    <w:p w14:paraId="705225F4" w14:textId="77777777" w:rsidR="00F824D7" w:rsidRDefault="005E3845">
      <w:pPr>
        <w:pStyle w:val="TOC2"/>
        <w:rPr>
          <w:rFonts w:asciiTheme="minorHAnsi" w:eastAsiaTheme="minorEastAsia" w:hAnsiTheme="minorHAnsi" w:cstheme="minorBidi"/>
          <w:spacing w:val="0"/>
          <w:sz w:val="22"/>
          <w:szCs w:val="22"/>
        </w:rPr>
      </w:pPr>
      <w:hyperlink w:anchor="_Toc481058520" w:history="1">
        <w:r w:rsidR="00F824D7" w:rsidRPr="004C28B6">
          <w:rPr>
            <w:rStyle w:val="Hyperlink"/>
          </w:rPr>
          <w:t>Certificates of proficiency</w:t>
        </w:r>
        <w:r w:rsidR="00F824D7">
          <w:rPr>
            <w:webHidden/>
          </w:rPr>
          <w:tab/>
        </w:r>
        <w:r w:rsidR="00F824D7">
          <w:rPr>
            <w:webHidden/>
          </w:rPr>
          <w:fldChar w:fldCharType="begin"/>
        </w:r>
        <w:r w:rsidR="00F824D7">
          <w:rPr>
            <w:webHidden/>
          </w:rPr>
          <w:instrText xml:space="preserve"> PAGEREF _Toc481058520 \h </w:instrText>
        </w:r>
        <w:r w:rsidR="00F824D7">
          <w:rPr>
            <w:webHidden/>
          </w:rPr>
        </w:r>
        <w:r w:rsidR="00F824D7">
          <w:rPr>
            <w:webHidden/>
          </w:rPr>
          <w:fldChar w:fldCharType="separate"/>
        </w:r>
        <w:r w:rsidR="00F824D7">
          <w:rPr>
            <w:webHidden/>
          </w:rPr>
          <w:t>3</w:t>
        </w:r>
        <w:r w:rsidR="00F824D7">
          <w:rPr>
            <w:webHidden/>
          </w:rPr>
          <w:fldChar w:fldCharType="end"/>
        </w:r>
      </w:hyperlink>
    </w:p>
    <w:p w14:paraId="1A86EBE4" w14:textId="77777777" w:rsidR="00F824D7" w:rsidRDefault="005E3845">
      <w:pPr>
        <w:pStyle w:val="TOC1"/>
        <w:rPr>
          <w:rFonts w:asciiTheme="minorHAnsi" w:eastAsiaTheme="minorEastAsia" w:hAnsiTheme="minorHAnsi" w:cstheme="minorBidi"/>
          <w:b w:val="0"/>
          <w:spacing w:val="0"/>
          <w:sz w:val="22"/>
          <w:szCs w:val="22"/>
        </w:rPr>
      </w:pPr>
      <w:hyperlink w:anchor="_Toc481058521" w:history="1">
        <w:r w:rsidR="00F824D7" w:rsidRPr="004C28B6">
          <w:rPr>
            <w:rStyle w:val="Hyperlink"/>
          </w:rPr>
          <w:t>Radiocommunications Bill 2017</w:t>
        </w:r>
        <w:r w:rsidR="00F824D7">
          <w:rPr>
            <w:webHidden/>
          </w:rPr>
          <w:tab/>
        </w:r>
        <w:r w:rsidR="00F824D7">
          <w:rPr>
            <w:webHidden/>
          </w:rPr>
          <w:fldChar w:fldCharType="begin"/>
        </w:r>
        <w:r w:rsidR="00F824D7">
          <w:rPr>
            <w:webHidden/>
          </w:rPr>
          <w:instrText xml:space="preserve"> PAGEREF _Toc481058521 \h </w:instrText>
        </w:r>
        <w:r w:rsidR="00F824D7">
          <w:rPr>
            <w:webHidden/>
          </w:rPr>
        </w:r>
        <w:r w:rsidR="00F824D7">
          <w:rPr>
            <w:webHidden/>
          </w:rPr>
          <w:fldChar w:fldCharType="separate"/>
        </w:r>
        <w:r w:rsidR="00F824D7">
          <w:rPr>
            <w:webHidden/>
          </w:rPr>
          <w:t>4</w:t>
        </w:r>
        <w:r w:rsidR="00F824D7">
          <w:rPr>
            <w:webHidden/>
          </w:rPr>
          <w:fldChar w:fldCharType="end"/>
        </w:r>
      </w:hyperlink>
    </w:p>
    <w:p w14:paraId="4514532F" w14:textId="77777777" w:rsidR="00F824D7" w:rsidRDefault="005E3845">
      <w:pPr>
        <w:pStyle w:val="TOC2"/>
        <w:rPr>
          <w:rFonts w:asciiTheme="minorHAnsi" w:eastAsiaTheme="minorEastAsia" w:hAnsiTheme="minorHAnsi" w:cstheme="minorBidi"/>
          <w:spacing w:val="0"/>
          <w:sz w:val="22"/>
          <w:szCs w:val="22"/>
        </w:rPr>
      </w:pPr>
      <w:hyperlink w:anchor="_Toc481058522" w:history="1">
        <w:r w:rsidR="00F824D7" w:rsidRPr="004C28B6">
          <w:rPr>
            <w:rStyle w:val="Hyperlink"/>
          </w:rPr>
          <w:t>Additional accreditation opportunities</w:t>
        </w:r>
        <w:r w:rsidR="00F824D7">
          <w:rPr>
            <w:webHidden/>
          </w:rPr>
          <w:tab/>
        </w:r>
        <w:r w:rsidR="00F824D7">
          <w:rPr>
            <w:webHidden/>
          </w:rPr>
          <w:fldChar w:fldCharType="begin"/>
        </w:r>
        <w:r w:rsidR="00F824D7">
          <w:rPr>
            <w:webHidden/>
          </w:rPr>
          <w:instrText xml:space="preserve"> PAGEREF _Toc481058522 \h </w:instrText>
        </w:r>
        <w:r w:rsidR="00F824D7">
          <w:rPr>
            <w:webHidden/>
          </w:rPr>
        </w:r>
        <w:r w:rsidR="00F824D7">
          <w:rPr>
            <w:webHidden/>
          </w:rPr>
          <w:fldChar w:fldCharType="separate"/>
        </w:r>
        <w:r w:rsidR="00F824D7">
          <w:rPr>
            <w:webHidden/>
          </w:rPr>
          <w:t>4</w:t>
        </w:r>
        <w:r w:rsidR="00F824D7">
          <w:rPr>
            <w:webHidden/>
          </w:rPr>
          <w:fldChar w:fldCharType="end"/>
        </w:r>
      </w:hyperlink>
    </w:p>
    <w:p w14:paraId="37C8053F" w14:textId="77777777" w:rsidR="00F824D7" w:rsidRDefault="005E3845">
      <w:pPr>
        <w:pStyle w:val="TOC2"/>
        <w:rPr>
          <w:rFonts w:asciiTheme="minorHAnsi" w:eastAsiaTheme="minorEastAsia" w:hAnsiTheme="minorHAnsi" w:cstheme="minorBidi"/>
          <w:spacing w:val="0"/>
          <w:sz w:val="22"/>
          <w:szCs w:val="22"/>
        </w:rPr>
      </w:pPr>
      <w:hyperlink w:anchor="_Toc481058523" w:history="1">
        <w:r w:rsidR="00F824D7" w:rsidRPr="004C28B6">
          <w:rPr>
            <w:rStyle w:val="Hyperlink"/>
          </w:rPr>
          <w:t>Charging of fees</w:t>
        </w:r>
        <w:r w:rsidR="00F824D7">
          <w:rPr>
            <w:webHidden/>
          </w:rPr>
          <w:tab/>
        </w:r>
        <w:r w:rsidR="00F824D7">
          <w:rPr>
            <w:webHidden/>
          </w:rPr>
          <w:fldChar w:fldCharType="begin"/>
        </w:r>
        <w:r w:rsidR="00F824D7">
          <w:rPr>
            <w:webHidden/>
          </w:rPr>
          <w:instrText xml:space="preserve"> PAGEREF _Toc481058523 \h </w:instrText>
        </w:r>
        <w:r w:rsidR="00F824D7">
          <w:rPr>
            <w:webHidden/>
          </w:rPr>
        </w:r>
        <w:r w:rsidR="00F824D7">
          <w:rPr>
            <w:webHidden/>
          </w:rPr>
          <w:fldChar w:fldCharType="separate"/>
        </w:r>
        <w:r w:rsidR="00F824D7">
          <w:rPr>
            <w:webHidden/>
          </w:rPr>
          <w:t>5</w:t>
        </w:r>
        <w:r w:rsidR="00F824D7">
          <w:rPr>
            <w:webHidden/>
          </w:rPr>
          <w:fldChar w:fldCharType="end"/>
        </w:r>
      </w:hyperlink>
    </w:p>
    <w:p w14:paraId="0F7E0D31" w14:textId="77777777" w:rsidR="00F824D7" w:rsidRDefault="005E3845">
      <w:pPr>
        <w:pStyle w:val="TOC1"/>
        <w:rPr>
          <w:rFonts w:asciiTheme="minorHAnsi" w:eastAsiaTheme="minorEastAsia" w:hAnsiTheme="minorHAnsi" w:cstheme="minorBidi"/>
          <w:b w:val="0"/>
          <w:spacing w:val="0"/>
          <w:sz w:val="22"/>
          <w:szCs w:val="22"/>
        </w:rPr>
      </w:pPr>
      <w:hyperlink w:anchor="_Toc481058524" w:history="1">
        <w:r w:rsidR="00F824D7" w:rsidRPr="004C28B6">
          <w:rPr>
            <w:rStyle w:val="Hyperlink"/>
          </w:rPr>
          <w:t>Proposed approach</w:t>
        </w:r>
        <w:r w:rsidR="00F824D7">
          <w:rPr>
            <w:webHidden/>
          </w:rPr>
          <w:tab/>
        </w:r>
        <w:r w:rsidR="00F824D7">
          <w:rPr>
            <w:webHidden/>
          </w:rPr>
          <w:fldChar w:fldCharType="begin"/>
        </w:r>
        <w:r w:rsidR="00F824D7">
          <w:rPr>
            <w:webHidden/>
          </w:rPr>
          <w:instrText xml:space="preserve"> PAGEREF _Toc481058524 \h </w:instrText>
        </w:r>
        <w:r w:rsidR="00F824D7">
          <w:rPr>
            <w:webHidden/>
          </w:rPr>
        </w:r>
        <w:r w:rsidR="00F824D7">
          <w:rPr>
            <w:webHidden/>
          </w:rPr>
          <w:fldChar w:fldCharType="separate"/>
        </w:r>
        <w:r w:rsidR="00F824D7">
          <w:rPr>
            <w:webHidden/>
          </w:rPr>
          <w:t>6</w:t>
        </w:r>
        <w:r w:rsidR="00F824D7">
          <w:rPr>
            <w:webHidden/>
          </w:rPr>
          <w:fldChar w:fldCharType="end"/>
        </w:r>
      </w:hyperlink>
    </w:p>
    <w:p w14:paraId="71CCD954" w14:textId="77777777" w:rsidR="00F824D7" w:rsidRDefault="005E3845">
      <w:pPr>
        <w:pStyle w:val="TOC2"/>
        <w:rPr>
          <w:rFonts w:asciiTheme="minorHAnsi" w:eastAsiaTheme="minorEastAsia" w:hAnsiTheme="minorHAnsi" w:cstheme="minorBidi"/>
          <w:spacing w:val="0"/>
          <w:sz w:val="22"/>
          <w:szCs w:val="22"/>
        </w:rPr>
      </w:pPr>
      <w:hyperlink w:anchor="_Toc481058525" w:history="1">
        <w:r w:rsidR="00F824D7" w:rsidRPr="004C28B6">
          <w:rPr>
            <w:rStyle w:val="Hyperlink"/>
          </w:rPr>
          <w:t>Accreditation of individuals</w:t>
        </w:r>
        <w:r w:rsidR="00F824D7">
          <w:rPr>
            <w:webHidden/>
          </w:rPr>
          <w:tab/>
        </w:r>
        <w:r w:rsidR="00F824D7">
          <w:rPr>
            <w:webHidden/>
          </w:rPr>
          <w:fldChar w:fldCharType="begin"/>
        </w:r>
        <w:r w:rsidR="00F824D7">
          <w:rPr>
            <w:webHidden/>
          </w:rPr>
          <w:instrText xml:space="preserve"> PAGEREF _Toc481058525 \h </w:instrText>
        </w:r>
        <w:r w:rsidR="00F824D7">
          <w:rPr>
            <w:webHidden/>
          </w:rPr>
        </w:r>
        <w:r w:rsidR="00F824D7">
          <w:rPr>
            <w:webHidden/>
          </w:rPr>
          <w:fldChar w:fldCharType="separate"/>
        </w:r>
        <w:r w:rsidR="00F824D7">
          <w:rPr>
            <w:webHidden/>
          </w:rPr>
          <w:t>6</w:t>
        </w:r>
        <w:r w:rsidR="00F824D7">
          <w:rPr>
            <w:webHidden/>
          </w:rPr>
          <w:fldChar w:fldCharType="end"/>
        </w:r>
      </w:hyperlink>
    </w:p>
    <w:p w14:paraId="5ABA651F" w14:textId="77777777" w:rsidR="00F824D7" w:rsidRDefault="005E3845">
      <w:pPr>
        <w:pStyle w:val="TOC2"/>
        <w:rPr>
          <w:rFonts w:asciiTheme="minorHAnsi" w:eastAsiaTheme="minorEastAsia" w:hAnsiTheme="minorHAnsi" w:cstheme="minorBidi"/>
          <w:spacing w:val="0"/>
          <w:sz w:val="22"/>
          <w:szCs w:val="22"/>
        </w:rPr>
      </w:pPr>
      <w:hyperlink w:anchor="_Toc481058526" w:history="1">
        <w:r w:rsidR="00F824D7" w:rsidRPr="004C28B6">
          <w:rPr>
            <w:rStyle w:val="Hyperlink"/>
          </w:rPr>
          <w:t>Accreditation of companies</w:t>
        </w:r>
        <w:r w:rsidR="00F824D7">
          <w:rPr>
            <w:webHidden/>
          </w:rPr>
          <w:tab/>
        </w:r>
        <w:r w:rsidR="00F824D7">
          <w:rPr>
            <w:webHidden/>
          </w:rPr>
          <w:fldChar w:fldCharType="begin"/>
        </w:r>
        <w:r w:rsidR="00F824D7">
          <w:rPr>
            <w:webHidden/>
          </w:rPr>
          <w:instrText xml:space="preserve"> PAGEREF _Toc481058526 \h </w:instrText>
        </w:r>
        <w:r w:rsidR="00F824D7">
          <w:rPr>
            <w:webHidden/>
          </w:rPr>
        </w:r>
        <w:r w:rsidR="00F824D7">
          <w:rPr>
            <w:webHidden/>
          </w:rPr>
          <w:fldChar w:fldCharType="separate"/>
        </w:r>
        <w:r w:rsidR="00F824D7">
          <w:rPr>
            <w:webHidden/>
          </w:rPr>
          <w:t>6</w:t>
        </w:r>
        <w:r w:rsidR="00F824D7">
          <w:rPr>
            <w:webHidden/>
          </w:rPr>
          <w:fldChar w:fldCharType="end"/>
        </w:r>
      </w:hyperlink>
    </w:p>
    <w:p w14:paraId="3BC64EF9" w14:textId="77777777" w:rsidR="00F824D7" w:rsidRDefault="005E3845">
      <w:pPr>
        <w:pStyle w:val="TOC2"/>
        <w:rPr>
          <w:rFonts w:asciiTheme="minorHAnsi" w:eastAsiaTheme="minorEastAsia" w:hAnsiTheme="minorHAnsi" w:cstheme="minorBidi"/>
          <w:spacing w:val="0"/>
          <w:sz w:val="22"/>
          <w:szCs w:val="22"/>
        </w:rPr>
      </w:pPr>
      <w:hyperlink w:anchor="_Toc481058527" w:history="1">
        <w:r w:rsidR="00F824D7" w:rsidRPr="004C28B6">
          <w:rPr>
            <w:rStyle w:val="Hyperlink"/>
          </w:rPr>
          <w:t>Examinations</w:t>
        </w:r>
        <w:r w:rsidR="00F824D7">
          <w:rPr>
            <w:webHidden/>
          </w:rPr>
          <w:tab/>
        </w:r>
        <w:r w:rsidR="00F824D7">
          <w:rPr>
            <w:webHidden/>
          </w:rPr>
          <w:fldChar w:fldCharType="begin"/>
        </w:r>
        <w:r w:rsidR="00F824D7">
          <w:rPr>
            <w:webHidden/>
          </w:rPr>
          <w:instrText xml:space="preserve"> PAGEREF _Toc481058527 \h </w:instrText>
        </w:r>
        <w:r w:rsidR="00F824D7">
          <w:rPr>
            <w:webHidden/>
          </w:rPr>
        </w:r>
        <w:r w:rsidR="00F824D7">
          <w:rPr>
            <w:webHidden/>
          </w:rPr>
          <w:fldChar w:fldCharType="separate"/>
        </w:r>
        <w:r w:rsidR="00F824D7">
          <w:rPr>
            <w:webHidden/>
          </w:rPr>
          <w:t>6</w:t>
        </w:r>
        <w:r w:rsidR="00F824D7">
          <w:rPr>
            <w:webHidden/>
          </w:rPr>
          <w:fldChar w:fldCharType="end"/>
        </w:r>
      </w:hyperlink>
    </w:p>
    <w:p w14:paraId="41D071D6" w14:textId="77777777" w:rsidR="00F824D7" w:rsidRDefault="005E3845">
      <w:pPr>
        <w:pStyle w:val="TOC2"/>
        <w:rPr>
          <w:rFonts w:asciiTheme="minorHAnsi" w:eastAsiaTheme="minorEastAsia" w:hAnsiTheme="minorHAnsi" w:cstheme="minorBidi"/>
          <w:spacing w:val="0"/>
          <w:sz w:val="22"/>
          <w:szCs w:val="22"/>
        </w:rPr>
      </w:pPr>
      <w:hyperlink w:anchor="_Toc481058528" w:history="1">
        <w:r w:rsidR="00F824D7" w:rsidRPr="004C28B6">
          <w:rPr>
            <w:rStyle w:val="Hyperlink"/>
          </w:rPr>
          <w:t>Expanded use of accreditation arrangements</w:t>
        </w:r>
        <w:r w:rsidR="00F824D7">
          <w:rPr>
            <w:webHidden/>
          </w:rPr>
          <w:tab/>
        </w:r>
        <w:r w:rsidR="00F824D7">
          <w:rPr>
            <w:webHidden/>
          </w:rPr>
          <w:fldChar w:fldCharType="begin"/>
        </w:r>
        <w:r w:rsidR="00F824D7">
          <w:rPr>
            <w:webHidden/>
          </w:rPr>
          <w:instrText xml:space="preserve"> PAGEREF _Toc481058528 \h </w:instrText>
        </w:r>
        <w:r w:rsidR="00F824D7">
          <w:rPr>
            <w:webHidden/>
          </w:rPr>
        </w:r>
        <w:r w:rsidR="00F824D7">
          <w:rPr>
            <w:webHidden/>
          </w:rPr>
          <w:fldChar w:fldCharType="separate"/>
        </w:r>
        <w:r w:rsidR="00F824D7">
          <w:rPr>
            <w:webHidden/>
          </w:rPr>
          <w:t>7</w:t>
        </w:r>
        <w:r w:rsidR="00F824D7">
          <w:rPr>
            <w:webHidden/>
          </w:rPr>
          <w:fldChar w:fldCharType="end"/>
        </w:r>
      </w:hyperlink>
    </w:p>
    <w:p w14:paraId="74ABEE3D" w14:textId="77777777" w:rsidR="00F824D7" w:rsidRDefault="005E3845">
      <w:pPr>
        <w:pStyle w:val="TOC1"/>
        <w:rPr>
          <w:rFonts w:asciiTheme="minorHAnsi" w:eastAsiaTheme="minorEastAsia" w:hAnsiTheme="minorHAnsi" w:cstheme="minorBidi"/>
          <w:b w:val="0"/>
          <w:spacing w:val="0"/>
          <w:sz w:val="22"/>
          <w:szCs w:val="22"/>
        </w:rPr>
      </w:pPr>
      <w:hyperlink w:anchor="_Toc481058529" w:history="1">
        <w:r w:rsidR="00F824D7" w:rsidRPr="004C28B6">
          <w:rPr>
            <w:rStyle w:val="Hyperlink"/>
          </w:rPr>
          <w:t>Implementation and transition</w:t>
        </w:r>
        <w:r w:rsidR="00F824D7">
          <w:rPr>
            <w:webHidden/>
          </w:rPr>
          <w:tab/>
        </w:r>
        <w:r w:rsidR="00F824D7">
          <w:rPr>
            <w:webHidden/>
          </w:rPr>
          <w:fldChar w:fldCharType="begin"/>
        </w:r>
        <w:r w:rsidR="00F824D7">
          <w:rPr>
            <w:webHidden/>
          </w:rPr>
          <w:instrText xml:space="preserve"> PAGEREF _Toc481058529 \h </w:instrText>
        </w:r>
        <w:r w:rsidR="00F824D7">
          <w:rPr>
            <w:webHidden/>
          </w:rPr>
        </w:r>
        <w:r w:rsidR="00F824D7">
          <w:rPr>
            <w:webHidden/>
          </w:rPr>
          <w:fldChar w:fldCharType="separate"/>
        </w:r>
        <w:r w:rsidR="00F824D7">
          <w:rPr>
            <w:webHidden/>
          </w:rPr>
          <w:t>8</w:t>
        </w:r>
        <w:r w:rsidR="00F824D7">
          <w:rPr>
            <w:webHidden/>
          </w:rPr>
          <w:fldChar w:fldCharType="end"/>
        </w:r>
      </w:hyperlink>
    </w:p>
    <w:p w14:paraId="02DF8FA7" w14:textId="77777777" w:rsidR="00F824D7" w:rsidRDefault="005E3845">
      <w:pPr>
        <w:pStyle w:val="TOC1"/>
        <w:rPr>
          <w:rFonts w:asciiTheme="minorHAnsi" w:eastAsiaTheme="minorEastAsia" w:hAnsiTheme="minorHAnsi" w:cstheme="minorBidi"/>
          <w:b w:val="0"/>
          <w:spacing w:val="0"/>
          <w:sz w:val="22"/>
          <w:szCs w:val="22"/>
        </w:rPr>
      </w:pPr>
      <w:hyperlink w:anchor="_Toc481058530" w:history="1">
        <w:r w:rsidR="00F824D7" w:rsidRPr="004C28B6">
          <w:rPr>
            <w:rStyle w:val="Hyperlink"/>
          </w:rPr>
          <w:t>Related matters</w:t>
        </w:r>
        <w:r w:rsidR="00F824D7">
          <w:rPr>
            <w:webHidden/>
          </w:rPr>
          <w:tab/>
        </w:r>
        <w:r w:rsidR="00F824D7">
          <w:rPr>
            <w:webHidden/>
          </w:rPr>
          <w:fldChar w:fldCharType="begin"/>
        </w:r>
        <w:r w:rsidR="00F824D7">
          <w:rPr>
            <w:webHidden/>
          </w:rPr>
          <w:instrText xml:space="preserve"> PAGEREF _Toc481058530 \h </w:instrText>
        </w:r>
        <w:r w:rsidR="00F824D7">
          <w:rPr>
            <w:webHidden/>
          </w:rPr>
        </w:r>
        <w:r w:rsidR="00F824D7">
          <w:rPr>
            <w:webHidden/>
          </w:rPr>
          <w:fldChar w:fldCharType="separate"/>
        </w:r>
        <w:r w:rsidR="00F824D7">
          <w:rPr>
            <w:webHidden/>
          </w:rPr>
          <w:t>9</w:t>
        </w:r>
        <w:r w:rsidR="00F824D7">
          <w:rPr>
            <w:webHidden/>
          </w:rPr>
          <w:fldChar w:fldCharType="end"/>
        </w:r>
      </w:hyperlink>
    </w:p>
    <w:p w14:paraId="19001D0B" w14:textId="2CB80A93" w:rsidR="004D56FF" w:rsidRPr="003864A0" w:rsidRDefault="00F824D7">
      <w:pPr>
        <w:rPr>
          <w:rFonts w:cs="Arial"/>
        </w:rPr>
        <w:sectPr w:rsidR="004D56FF" w:rsidRPr="003864A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noProof/>
          <w:spacing w:val="-14"/>
          <w:sz w:val="28"/>
        </w:rPr>
        <w:fldChar w:fldCharType="end"/>
      </w:r>
    </w:p>
    <w:p w14:paraId="777DDD7E" w14:textId="37823B6A" w:rsidR="003C1508" w:rsidRDefault="003C1508" w:rsidP="00AE665A">
      <w:pPr>
        <w:pStyle w:val="Heading1"/>
      </w:pPr>
      <w:bookmarkStart w:id="0" w:name="_Toc477251157"/>
      <w:bookmarkStart w:id="1" w:name="_Toc481058517"/>
      <w:r>
        <w:lastRenderedPageBreak/>
        <w:t>Purpose of the ACMA supporting material</w:t>
      </w:r>
      <w:bookmarkEnd w:id="0"/>
      <w:bookmarkEnd w:id="1"/>
    </w:p>
    <w:p w14:paraId="32A71F4A" w14:textId="77777777" w:rsidR="003C1508" w:rsidRDefault="003C1508" w:rsidP="00AE665A">
      <w:r>
        <w:t xml:space="preserve">The ACMA will be responsible for designing and developing new spectrum management arrangements in accordance with the Exposure Draft of the </w:t>
      </w:r>
      <w:proofErr w:type="spellStart"/>
      <w:r>
        <w:t>Radiocommunications</w:t>
      </w:r>
      <w:proofErr w:type="spellEnd"/>
      <w:r>
        <w:t xml:space="preserve"> Bill 2017 (the exposure draft of the Bill), should the Bill be enacted in its current form. </w:t>
      </w:r>
    </w:p>
    <w:p w14:paraId="50681EBE" w14:textId="77777777" w:rsidR="003C1508" w:rsidRDefault="003C1508" w:rsidP="00AE665A">
      <w:r>
        <w:t>The ACMA’s supporting material is intended to provide stakeholders with a greater understanding of how the ACMA envisages key aspects of the Bill may operate, should the Bill be enacted, in order to facilitate consideration of the exposure draft of the Bill.</w:t>
      </w:r>
    </w:p>
    <w:p w14:paraId="45703617" w14:textId="77777777" w:rsidR="003C1508" w:rsidRDefault="003C1508" w:rsidP="00AE665A">
      <w:r>
        <w:t>The ACMA has a particular interest in the views of stakeholders that could inform its approach to transitioning to and implementing the reformed legislation. While the exposure draft of the Bill is available for consultation, the ACMA will join the Department of Communications and the Arts (</w:t>
      </w:r>
      <w:proofErr w:type="spellStart"/>
      <w:r>
        <w:t>DoCA</w:t>
      </w:r>
      <w:proofErr w:type="spellEnd"/>
      <w:r>
        <w:t xml:space="preserve">) in its stakeholder engagement activities so that the ACMA can benefit from those discussions. However, stakeholders should direct submissions on the package to </w:t>
      </w:r>
      <w:proofErr w:type="spellStart"/>
      <w:r>
        <w:t>DoCA</w:t>
      </w:r>
      <w:proofErr w:type="spellEnd"/>
      <w:r>
        <w:t xml:space="preserve"> as it is the agency responsible for this process. </w:t>
      </w:r>
    </w:p>
    <w:p w14:paraId="7CD7ECBD" w14:textId="77777777" w:rsidR="003C1508" w:rsidRDefault="003C1508" w:rsidP="00AE665A">
      <w:r>
        <w:t xml:space="preserve">The ACMA intends to undertake further substantial stakeholder consultation as it designs and then settles on its approach to giving practical effect to the new legislative and policy framework, should the Bill be enacted in its current form. </w:t>
      </w:r>
    </w:p>
    <w:p w14:paraId="02A20D71" w14:textId="77777777" w:rsidR="003C1508" w:rsidRDefault="003C1508" w:rsidP="00AE665A">
      <w:r>
        <w:t xml:space="preserve">All views expressed in the ACMA supporting material are preliminary observations only, and have been developed to assist stakeholders in considering and responding to the exposure </w:t>
      </w:r>
      <w:r>
        <w:lastRenderedPageBreak/>
        <w:t xml:space="preserve">draft of the Bill. </w:t>
      </w:r>
      <w:r w:rsidRPr="00C22F05">
        <w:rPr>
          <w:b/>
        </w:rPr>
        <w:t>The supporting material cannot and does not fetter the Authority’s discretion in the making of future decisions about the matters discussed in this material or any other matter.</w:t>
      </w:r>
      <w:r>
        <w:t xml:space="preserve"> The ACMA will assess each decision it makes under the </w:t>
      </w:r>
      <w:proofErr w:type="spellStart"/>
      <w:r>
        <w:rPr>
          <w:i/>
          <w:iCs/>
        </w:rPr>
        <w:t>Radiocommunications</w:t>
      </w:r>
      <w:proofErr w:type="spellEnd"/>
      <w:r>
        <w:rPr>
          <w:i/>
          <w:iCs/>
        </w:rPr>
        <w:t xml:space="preserve"> Act 1992</w:t>
      </w:r>
      <w:r>
        <w:t>, and under any future legislation, on its merits and in accordance with the requirements of any applicable legislation and administrative law.</w:t>
      </w:r>
    </w:p>
    <w:p w14:paraId="1DEA686B" w14:textId="77777777" w:rsidR="003C1508" w:rsidRDefault="003C1508">
      <w:r>
        <w:t xml:space="preserve">No person should rely on statements made in the ACMA supporting material as an indication or explanation of future or present rights and obligations. Neither the ACMA nor the Commonwealth accepts any responsibility or liability for any damage, loss or expense incurred as a result of reliance on any part of the ACMA supporting material. Any person reading this supporting material is advised to also consult the exposure draft of the Bill and </w:t>
      </w:r>
      <w:proofErr w:type="spellStart"/>
      <w:r>
        <w:t>DoCA’s</w:t>
      </w:r>
      <w:proofErr w:type="spellEnd"/>
      <w:r>
        <w:t xml:space="preserve"> explanatory materials.</w:t>
      </w:r>
    </w:p>
    <w:p w14:paraId="22EAB03F" w14:textId="77777777" w:rsidR="003C1508" w:rsidRDefault="003C1508" w:rsidP="003C1508"/>
    <w:p w14:paraId="3466EF5C" w14:textId="77777777" w:rsidR="003864A0" w:rsidRPr="003864A0" w:rsidRDefault="00B17705" w:rsidP="003864A0">
      <w:pPr>
        <w:pStyle w:val="Heading1"/>
      </w:pPr>
      <w:bookmarkStart w:id="2" w:name="_Toc481058518"/>
      <w:r>
        <w:lastRenderedPageBreak/>
        <w:t>Existing a</w:t>
      </w:r>
      <w:r w:rsidR="003864A0" w:rsidRPr="003864A0">
        <w:t>rrangements</w:t>
      </w:r>
      <w:bookmarkEnd w:id="2"/>
    </w:p>
    <w:p w14:paraId="6BF97762" w14:textId="590B7D99" w:rsidR="003864A0" w:rsidRPr="003864A0" w:rsidRDefault="003864A0" w:rsidP="003864A0">
      <w:pPr>
        <w:pStyle w:val="Heading2"/>
      </w:pPr>
      <w:bookmarkStart w:id="3" w:name="_Toc481058519"/>
      <w:r w:rsidRPr="003864A0">
        <w:t xml:space="preserve">Accredited </w:t>
      </w:r>
      <w:r w:rsidR="00DE4735">
        <w:t>p</w:t>
      </w:r>
      <w:r w:rsidRPr="003864A0">
        <w:t xml:space="preserve">ersons </w:t>
      </w:r>
      <w:r w:rsidR="00DE4735">
        <w:t>s</w:t>
      </w:r>
      <w:r w:rsidRPr="003864A0">
        <w:t>cheme</w:t>
      </w:r>
      <w:bookmarkEnd w:id="3"/>
    </w:p>
    <w:p w14:paraId="5C65D812" w14:textId="1B70A021" w:rsidR="003864A0" w:rsidRPr="003864A0" w:rsidRDefault="003864A0" w:rsidP="00DE4735">
      <w:pPr>
        <w:spacing w:after="80"/>
      </w:pPr>
      <w:r w:rsidRPr="003864A0">
        <w:t xml:space="preserve">Part 5.4 of the </w:t>
      </w:r>
      <w:proofErr w:type="spellStart"/>
      <w:r w:rsidR="00906F62" w:rsidRPr="00B92D4A">
        <w:rPr>
          <w:i/>
        </w:rPr>
        <w:t>Radiocommunications</w:t>
      </w:r>
      <w:proofErr w:type="spellEnd"/>
      <w:r w:rsidR="00906F62" w:rsidRPr="00B92D4A">
        <w:rPr>
          <w:i/>
        </w:rPr>
        <w:t xml:space="preserve"> Act 1992</w:t>
      </w:r>
      <w:r w:rsidR="00906F62">
        <w:t xml:space="preserve"> (the </w:t>
      </w:r>
      <w:r w:rsidRPr="003864A0">
        <w:t>1992 Act</w:t>
      </w:r>
      <w:r w:rsidR="00906F62">
        <w:t>)</w:t>
      </w:r>
      <w:r w:rsidRPr="003864A0">
        <w:t xml:space="preserve"> provid</w:t>
      </w:r>
      <w:r w:rsidR="009A26FA">
        <w:t>e</w:t>
      </w:r>
      <w:r w:rsidR="00863326">
        <w:t>s</w:t>
      </w:r>
      <w:r w:rsidRPr="003864A0">
        <w:t xml:space="preserve"> for the accreditation of persons</w:t>
      </w:r>
      <w:r w:rsidR="00D04F2C">
        <w:t>,</w:t>
      </w:r>
      <w:r w:rsidRPr="003864A0">
        <w:t xml:space="preserve"> such as non-government engineers</w:t>
      </w:r>
      <w:r w:rsidR="00D04F2C">
        <w:t>,</w:t>
      </w:r>
      <w:r w:rsidRPr="003864A0">
        <w:t xml:space="preserve"> to perform specified functions in support of </w:t>
      </w:r>
      <w:proofErr w:type="spellStart"/>
      <w:r w:rsidRPr="003864A0">
        <w:t>radiocommunications</w:t>
      </w:r>
      <w:proofErr w:type="spellEnd"/>
      <w:r w:rsidRPr="003864A0">
        <w:t xml:space="preserve"> licensing activities. The </w:t>
      </w:r>
      <w:r w:rsidR="00DE4735">
        <w:t>a</w:t>
      </w:r>
      <w:r w:rsidRPr="003864A0">
        <w:t xml:space="preserve">ccredited </w:t>
      </w:r>
      <w:proofErr w:type="gramStart"/>
      <w:r w:rsidR="00DE4735">
        <w:t>p</w:t>
      </w:r>
      <w:r w:rsidRPr="003864A0">
        <w:t>ersons</w:t>
      </w:r>
      <w:proofErr w:type="gramEnd"/>
      <w:r w:rsidRPr="003864A0">
        <w:t xml:space="preserve"> scheme commenced operation in 1997</w:t>
      </w:r>
      <w:r w:rsidR="00D04F2C">
        <w:t>,</w:t>
      </w:r>
      <w:r w:rsidRPr="003864A0">
        <w:t xml:space="preserve"> with persons accredited to issue:</w:t>
      </w:r>
    </w:p>
    <w:p w14:paraId="4A1F12EA" w14:textId="542A316C" w:rsidR="003864A0" w:rsidRPr="003864A0" w:rsidRDefault="003864A0" w:rsidP="003864A0">
      <w:pPr>
        <w:pStyle w:val="ListBullet"/>
      </w:pPr>
      <w:r w:rsidRPr="003864A0">
        <w:t>frequency assignment certificates (FACs), which are considered by the ACMA in support of its apparatus licensing activities (subsection 100(4A))</w:t>
      </w:r>
      <w:r w:rsidR="00F824D7">
        <w:t>;</w:t>
      </w:r>
      <w:r w:rsidR="00906F62">
        <w:t xml:space="preserve"> </w:t>
      </w:r>
      <w:r w:rsidR="00863326">
        <w:t>and</w:t>
      </w:r>
    </w:p>
    <w:p w14:paraId="252575D3" w14:textId="77777777" w:rsidR="003864A0" w:rsidRPr="003864A0" w:rsidRDefault="003864A0" w:rsidP="003864A0">
      <w:pPr>
        <w:pStyle w:val="ListBulletLast"/>
      </w:pPr>
      <w:proofErr w:type="gramStart"/>
      <w:r w:rsidRPr="003864A0">
        <w:t>interference</w:t>
      </w:r>
      <w:proofErr w:type="gramEnd"/>
      <w:r w:rsidRPr="003864A0">
        <w:t xml:space="preserve"> impact certificates (IICs), which are considered by the ACMA in support of its spectrum licensing activities (subsection 145(3)).</w:t>
      </w:r>
    </w:p>
    <w:p w14:paraId="2925D8D3" w14:textId="4282CF64" w:rsidR="003864A0" w:rsidRPr="003864A0" w:rsidRDefault="003864A0" w:rsidP="003864A0">
      <w:r w:rsidRPr="003864A0">
        <w:t xml:space="preserve">Accredited </w:t>
      </w:r>
      <w:r w:rsidR="00DE4735">
        <w:t>p</w:t>
      </w:r>
      <w:r w:rsidRPr="003864A0">
        <w:t>ersons (APs) have supported the introduction and development of spectrum licensing by providing IICs in support of devices to be registered under spectrum licences. They have also increasingly supported the use of apparatus licences</w:t>
      </w:r>
      <w:r w:rsidR="00DE4735">
        <w:t>,</w:t>
      </w:r>
      <w:r w:rsidRPr="003864A0">
        <w:t xml:space="preserve"> with APs now issuing FACs for 90</w:t>
      </w:r>
      <w:r w:rsidR="00DE4735">
        <w:t xml:space="preserve"> per cent</w:t>
      </w:r>
      <w:r w:rsidRPr="003864A0">
        <w:t xml:space="preserve"> of all apparatus licence</w:t>
      </w:r>
      <w:r w:rsidR="00284109">
        <w:t xml:space="preserve"> applications</w:t>
      </w:r>
      <w:r w:rsidRPr="003864A0">
        <w:t xml:space="preserve"> where frequency coordination is required.</w:t>
      </w:r>
    </w:p>
    <w:p w14:paraId="2BFBE0D5" w14:textId="77777777" w:rsidR="003864A0" w:rsidRPr="003864A0" w:rsidRDefault="003864A0" w:rsidP="003864A0">
      <w:pPr>
        <w:spacing w:after="80"/>
      </w:pPr>
      <w:r w:rsidRPr="003864A0">
        <w:t>The ACMA may accredit a person who applies in writing, subject to the application of the principles set out in the</w:t>
      </w:r>
      <w:r w:rsidRPr="00DE4735">
        <w:t xml:space="preserve"> </w:t>
      </w:r>
      <w:proofErr w:type="spellStart"/>
      <w:r w:rsidRPr="00C22F05">
        <w:t>Radiocommunications</w:t>
      </w:r>
      <w:proofErr w:type="spellEnd"/>
      <w:r w:rsidRPr="00C22F05">
        <w:t xml:space="preserve"> (Accreditation – Prescribed Certificates) Principles 2014</w:t>
      </w:r>
      <w:r w:rsidRPr="00C9644C">
        <w:t xml:space="preserve"> </w:t>
      </w:r>
      <w:r w:rsidRPr="003864A0">
        <w:t>(the Principles). The Principles set out the:</w:t>
      </w:r>
    </w:p>
    <w:p w14:paraId="78ED1E79" w14:textId="606DD146" w:rsidR="003864A0" w:rsidRPr="003864A0" w:rsidRDefault="00DE4735" w:rsidP="003864A0">
      <w:pPr>
        <w:pStyle w:val="ListBullet"/>
      </w:pPr>
      <w:r>
        <w:t>a</w:t>
      </w:r>
      <w:r w:rsidR="003864A0" w:rsidRPr="003864A0">
        <w:t xml:space="preserve">pplication and </w:t>
      </w:r>
      <w:r w:rsidR="00C9644C">
        <w:t xml:space="preserve">accreditation </w:t>
      </w:r>
      <w:r w:rsidR="003864A0" w:rsidRPr="003864A0">
        <w:t>process</w:t>
      </w:r>
    </w:p>
    <w:p w14:paraId="3BB6F2A8" w14:textId="2194A1A8" w:rsidR="003864A0" w:rsidRPr="003864A0" w:rsidRDefault="00DE4735" w:rsidP="003864A0">
      <w:pPr>
        <w:pStyle w:val="ListBullet"/>
      </w:pPr>
      <w:r>
        <w:t>r</w:t>
      </w:r>
      <w:r w:rsidR="003864A0" w:rsidRPr="003864A0">
        <w:t>equired educational and work qualifications of accredited persons</w:t>
      </w:r>
    </w:p>
    <w:p w14:paraId="7487E3AE" w14:textId="5E0A6034" w:rsidR="003864A0" w:rsidRPr="003864A0" w:rsidRDefault="00DE4735" w:rsidP="003864A0">
      <w:pPr>
        <w:pStyle w:val="ListBulletLast"/>
      </w:pPr>
      <w:proofErr w:type="gramStart"/>
      <w:r>
        <w:lastRenderedPageBreak/>
        <w:t>p</w:t>
      </w:r>
      <w:r w:rsidR="003864A0" w:rsidRPr="003864A0">
        <w:t>rocedures</w:t>
      </w:r>
      <w:proofErr w:type="gramEnd"/>
      <w:r w:rsidR="003864A0" w:rsidRPr="003864A0">
        <w:t xml:space="preserve"> for withdrawal of accreditation and managing suspected breaches of conditions of issuing certificates. </w:t>
      </w:r>
    </w:p>
    <w:p w14:paraId="1C368373" w14:textId="4F19913E" w:rsidR="003864A0" w:rsidRPr="003864A0" w:rsidRDefault="003864A0" w:rsidP="003864A0">
      <w:pPr>
        <w:spacing w:after="80"/>
      </w:pPr>
      <w:r w:rsidRPr="003864A0">
        <w:t>APs must comply with the conditions set out in the:</w:t>
      </w:r>
    </w:p>
    <w:p w14:paraId="725D825B" w14:textId="22E5D603" w:rsidR="003864A0" w:rsidRPr="00563FEE" w:rsidRDefault="003864A0" w:rsidP="003864A0">
      <w:pPr>
        <w:pStyle w:val="ListBullet"/>
      </w:pPr>
      <w:proofErr w:type="spellStart"/>
      <w:r w:rsidRPr="00C22F05">
        <w:t>Radiocommunications</w:t>
      </w:r>
      <w:proofErr w:type="spellEnd"/>
      <w:r w:rsidRPr="00C22F05">
        <w:t xml:space="preserve"> (Frequency Assignment Certificates) Determination 2014</w:t>
      </w:r>
      <w:r w:rsidR="00863326">
        <w:t xml:space="preserve"> when issuing FACs;</w:t>
      </w:r>
      <w:r w:rsidRPr="00DE4735">
        <w:t xml:space="preserve"> or</w:t>
      </w:r>
    </w:p>
    <w:p w14:paraId="085EC404" w14:textId="664FE670" w:rsidR="003864A0" w:rsidRPr="00DE4735" w:rsidRDefault="003864A0" w:rsidP="003864A0">
      <w:pPr>
        <w:pStyle w:val="ListBulletLast"/>
      </w:pPr>
      <w:proofErr w:type="spellStart"/>
      <w:r w:rsidRPr="00C22F05">
        <w:t>Radiocommunications</w:t>
      </w:r>
      <w:proofErr w:type="spellEnd"/>
      <w:r w:rsidRPr="00C22F05">
        <w:t xml:space="preserve"> (subsection 145(3) Certificates) Determination 2012</w:t>
      </w:r>
      <w:r w:rsidR="00863326">
        <w:t xml:space="preserve"> when issuing IICs</w:t>
      </w:r>
      <w:r w:rsidRPr="00DE4735">
        <w:t>.</w:t>
      </w:r>
    </w:p>
    <w:p w14:paraId="369270BF" w14:textId="485D66FD" w:rsidR="003864A0" w:rsidRPr="003864A0" w:rsidRDefault="003864A0" w:rsidP="00DE4735">
      <w:pPr>
        <w:spacing w:after="80"/>
      </w:pPr>
      <w:r w:rsidRPr="003864A0">
        <w:t xml:space="preserve">The </w:t>
      </w:r>
      <w:r w:rsidR="00DE4735">
        <w:t>a</w:t>
      </w:r>
      <w:r w:rsidRPr="003864A0">
        <w:t xml:space="preserve">ccredited </w:t>
      </w:r>
      <w:proofErr w:type="gramStart"/>
      <w:r w:rsidR="00DE4735">
        <w:t>p</w:t>
      </w:r>
      <w:r w:rsidRPr="003864A0">
        <w:t>ersons</w:t>
      </w:r>
      <w:proofErr w:type="gramEnd"/>
      <w:r w:rsidRPr="003864A0">
        <w:t xml:space="preserve"> scheme has provided for:</w:t>
      </w:r>
    </w:p>
    <w:p w14:paraId="2AFC1812" w14:textId="0FC09E98" w:rsidR="003864A0" w:rsidRPr="003864A0" w:rsidRDefault="003864A0" w:rsidP="003864A0">
      <w:pPr>
        <w:pStyle w:val="ListBullet"/>
      </w:pPr>
      <w:r w:rsidRPr="003864A0">
        <w:t>An efficient market</w:t>
      </w:r>
      <w:r w:rsidR="00DE4735">
        <w:t>-</w:t>
      </w:r>
      <w:r w:rsidRPr="003864A0">
        <w:t xml:space="preserve">based </w:t>
      </w:r>
      <w:r w:rsidR="00591C13">
        <w:t>approach</w:t>
      </w:r>
      <w:r w:rsidR="00DE4735">
        <w:t>—</w:t>
      </w:r>
      <w:r w:rsidR="00817B07">
        <w:t>t</w:t>
      </w:r>
      <w:r w:rsidRPr="003864A0">
        <w:t>he use of APs has created an open and competitive market for services that facilitates the issuing of licences and registration of devices by the ACMA. APs assist</w:t>
      </w:r>
      <w:r w:rsidR="00DF2DED">
        <w:t xml:space="preserve"> </w:t>
      </w:r>
      <w:r w:rsidRPr="003864A0">
        <w:t>with the authoris</w:t>
      </w:r>
      <w:r w:rsidR="00863326">
        <w:t>ation of all devices required to be authorised</w:t>
      </w:r>
      <w:r w:rsidRPr="003864A0">
        <w:t xml:space="preserve"> under spectrum licences and assisting the ACMA’s assessment of 90</w:t>
      </w:r>
      <w:r w:rsidR="00DE4735">
        <w:t xml:space="preserve"> per cent</w:t>
      </w:r>
      <w:r w:rsidRPr="003864A0">
        <w:t xml:space="preserve"> of applications for apparatus licences requiring frequency assignments.</w:t>
      </w:r>
    </w:p>
    <w:p w14:paraId="2434255C" w14:textId="6B90DEF8" w:rsidR="003864A0" w:rsidRPr="003864A0" w:rsidRDefault="003864A0" w:rsidP="003864A0">
      <w:pPr>
        <w:pStyle w:val="ListBullet"/>
      </w:pPr>
      <w:r w:rsidRPr="003864A0">
        <w:t>Quality assurance</w:t>
      </w:r>
      <w:r w:rsidR="00DE4735">
        <w:t>—</w:t>
      </w:r>
      <w:r w:rsidR="00817B07">
        <w:t>u</w:t>
      </w:r>
      <w:r w:rsidRPr="003864A0">
        <w:t xml:space="preserve">nder the Principles, it is a prerequisite that the APs must hold qualifications equivalent to an Associate Diploma (relating to radiofrequency communications) granted by an Australian or New Zealand TAFE institution in electronic engineering or a related discipline, and must also have work experience in radiofrequency assignment fields of employment. </w:t>
      </w:r>
    </w:p>
    <w:p w14:paraId="7F8A0473" w14:textId="7D856B68" w:rsidR="003864A0" w:rsidRPr="003864A0" w:rsidRDefault="003864A0" w:rsidP="003864A0">
      <w:pPr>
        <w:pStyle w:val="ListBulletLast"/>
      </w:pPr>
      <w:r w:rsidRPr="003864A0">
        <w:t xml:space="preserve">Risk </w:t>
      </w:r>
      <w:r w:rsidR="00DE4735">
        <w:t>m</w:t>
      </w:r>
      <w:r w:rsidRPr="003864A0">
        <w:t>itigation</w:t>
      </w:r>
      <w:r w:rsidR="00DE4735">
        <w:t>—</w:t>
      </w:r>
      <w:r w:rsidRPr="003864A0">
        <w:t>APs are fully responsible for the work they undertake as APs</w:t>
      </w:r>
      <w:r w:rsidR="00863326">
        <w:t xml:space="preserve"> </w:t>
      </w:r>
      <w:r w:rsidR="00863326" w:rsidRPr="00B93266">
        <w:t>in the preparation and issue of FACs and IICs</w:t>
      </w:r>
      <w:r w:rsidRPr="003864A0">
        <w:t>. They are required to complete a Deed of Indemnity, indemnifying the ACMA and other persons in relation to accreditation matters, and to hold professional indemnity insurance.</w:t>
      </w:r>
    </w:p>
    <w:p w14:paraId="6CD99B4C" w14:textId="12425E06" w:rsidR="003864A0" w:rsidRPr="003864A0" w:rsidRDefault="003864A0" w:rsidP="003864A0">
      <w:r w:rsidRPr="003864A0">
        <w:t xml:space="preserve">As at </w:t>
      </w:r>
      <w:r w:rsidR="00863326">
        <w:t>December</w:t>
      </w:r>
      <w:r w:rsidRPr="003864A0">
        <w:t xml:space="preserve"> 2016, 5</w:t>
      </w:r>
      <w:r w:rsidR="00863326">
        <w:t>7 APs</w:t>
      </w:r>
      <w:r w:rsidRPr="003864A0">
        <w:t xml:space="preserve"> were accredited by the ACMA.</w:t>
      </w:r>
    </w:p>
    <w:p w14:paraId="7327A59F" w14:textId="171DD9A9" w:rsidR="003864A0" w:rsidRPr="003864A0" w:rsidRDefault="003864A0" w:rsidP="003864A0">
      <w:pPr>
        <w:pStyle w:val="Heading2"/>
      </w:pPr>
      <w:bookmarkStart w:id="4" w:name="_Toc481058520"/>
      <w:r w:rsidRPr="003864A0">
        <w:lastRenderedPageBreak/>
        <w:t xml:space="preserve">Certificates of </w:t>
      </w:r>
      <w:r w:rsidR="00DE4735">
        <w:t>p</w:t>
      </w:r>
      <w:r w:rsidRPr="003864A0">
        <w:t>roficiency</w:t>
      </w:r>
      <w:bookmarkEnd w:id="4"/>
    </w:p>
    <w:p w14:paraId="5309BE12" w14:textId="545F76F7" w:rsidR="003864A0" w:rsidRPr="003864A0" w:rsidRDefault="003864A0" w:rsidP="00DE4735">
      <w:r w:rsidRPr="003864A0">
        <w:t xml:space="preserve">Operators of ship stations and amateur </w:t>
      </w:r>
      <w:r w:rsidR="000E5907">
        <w:t>stations</w:t>
      </w:r>
      <w:r w:rsidRPr="003864A0">
        <w:t xml:space="preserve"> must hold a relevant certificate of proficiency</w:t>
      </w:r>
      <w:r w:rsidR="00DE4735">
        <w:t>—</w:t>
      </w:r>
      <w:r w:rsidRPr="003864A0">
        <w:t>which attests that the person is appropriately qualified to operate the station</w:t>
      </w:r>
      <w:r w:rsidR="00DE4735">
        <w:t>—</w:t>
      </w:r>
      <w:r w:rsidR="00B84CAB">
        <w:t>as a condition of an</w:t>
      </w:r>
      <w:r w:rsidRPr="003864A0">
        <w:t xml:space="preserve"> apparatus licence authorising operation of such a station.</w:t>
      </w:r>
    </w:p>
    <w:p w14:paraId="37CD9560" w14:textId="77777777" w:rsidR="003864A0" w:rsidRPr="003864A0" w:rsidRDefault="003864A0" w:rsidP="00DE4735">
      <w:pPr>
        <w:spacing w:after="80"/>
      </w:pPr>
      <w:r w:rsidRPr="003864A0">
        <w:t>The ACMA has established arrangements where some regulatory functions are delegated to or otherwise performed by:</w:t>
      </w:r>
    </w:p>
    <w:p w14:paraId="64E85FBC" w14:textId="6D63BE1D" w:rsidR="003864A0" w:rsidRPr="003864A0" w:rsidRDefault="003864A0" w:rsidP="003864A0">
      <w:pPr>
        <w:pStyle w:val="ListBullet"/>
      </w:pPr>
      <w:r w:rsidRPr="003864A0">
        <w:t>the Wireless Institute of Australia (WIA)</w:t>
      </w:r>
      <w:r w:rsidR="00DE4735">
        <w:t>,</w:t>
      </w:r>
      <w:r w:rsidRPr="003864A0">
        <w:t xml:space="preserve"> relating to the qualification of </w:t>
      </w:r>
      <w:r w:rsidR="00B84CAB">
        <w:t>operators of amateur stations (</w:t>
      </w:r>
      <w:r w:rsidRPr="003864A0">
        <w:t>Amateur Radio Operators</w:t>
      </w:r>
      <w:r w:rsidR="00B84CAB">
        <w:t>)</w:t>
      </w:r>
    </w:p>
    <w:p w14:paraId="41ADA3A9" w14:textId="77777777" w:rsidR="003864A0" w:rsidRPr="003864A0" w:rsidRDefault="003864A0" w:rsidP="003864A0">
      <w:pPr>
        <w:pStyle w:val="ListBulletLast"/>
      </w:pPr>
      <w:proofErr w:type="gramStart"/>
      <w:r w:rsidRPr="003864A0">
        <w:t>the</w:t>
      </w:r>
      <w:proofErr w:type="gramEnd"/>
      <w:r w:rsidRPr="003864A0">
        <w:t xml:space="preserve"> Australian Maritime College (AMC)</w:t>
      </w:r>
      <w:r w:rsidR="00DE4735">
        <w:t>,</w:t>
      </w:r>
      <w:r w:rsidRPr="003864A0">
        <w:t xml:space="preserve"> relating to the qualification of </w:t>
      </w:r>
      <w:r w:rsidR="00B84CAB">
        <w:t>operators of ship stations (</w:t>
      </w:r>
      <w:r w:rsidRPr="003864A0">
        <w:t>Marine Radio Operators</w:t>
      </w:r>
      <w:r w:rsidR="00B84CAB">
        <w:t>)</w:t>
      </w:r>
      <w:r w:rsidRPr="003864A0">
        <w:t>.</w:t>
      </w:r>
    </w:p>
    <w:p w14:paraId="3D6C679B" w14:textId="77777777" w:rsidR="003864A0" w:rsidRPr="003864A0" w:rsidRDefault="003864A0" w:rsidP="003864A0">
      <w:pPr>
        <w:spacing w:after="80"/>
      </w:pPr>
      <w:r w:rsidRPr="003864A0">
        <w:t>Those regulatory functions include:</w:t>
      </w:r>
    </w:p>
    <w:p w14:paraId="02CF7DA7" w14:textId="26815D51" w:rsidR="003864A0" w:rsidRPr="003864A0" w:rsidRDefault="003864A0" w:rsidP="003864A0">
      <w:pPr>
        <w:pStyle w:val="ListBullet"/>
      </w:pPr>
      <w:r w:rsidRPr="003864A0">
        <w:t>the conduct of examinations</w:t>
      </w:r>
    </w:p>
    <w:p w14:paraId="6D142910" w14:textId="4BE5ACCA" w:rsidR="003864A0" w:rsidRPr="003864A0" w:rsidRDefault="003864A0" w:rsidP="003864A0">
      <w:pPr>
        <w:pStyle w:val="ListBullet"/>
      </w:pPr>
      <w:r w:rsidRPr="003864A0">
        <w:t>the issue of certificates of proficiency</w:t>
      </w:r>
    </w:p>
    <w:p w14:paraId="397829E6" w14:textId="77777777" w:rsidR="003864A0" w:rsidRPr="003864A0" w:rsidRDefault="003864A0" w:rsidP="003864A0">
      <w:pPr>
        <w:pStyle w:val="ListBulletLast"/>
      </w:pPr>
      <w:proofErr w:type="gramStart"/>
      <w:r w:rsidRPr="003864A0">
        <w:t>the</w:t>
      </w:r>
      <w:proofErr w:type="gramEnd"/>
      <w:r w:rsidRPr="003864A0">
        <w:t xml:space="preserve"> provision of associated administrative services. </w:t>
      </w:r>
    </w:p>
    <w:p w14:paraId="51EC3A4A" w14:textId="06927EC2" w:rsidR="003864A0" w:rsidRPr="003864A0" w:rsidRDefault="003864A0" w:rsidP="003864A0">
      <w:r w:rsidRPr="003864A0">
        <w:t xml:space="preserve">The terms and conditions under which the WIA and the AMC provide the delegated and non-delegated services are specified in instruments of delegation and </w:t>
      </w:r>
      <w:r w:rsidR="00DE4735">
        <w:t>d</w:t>
      </w:r>
      <w:r w:rsidRPr="003864A0">
        <w:t>eeds between each organisation and the Commonwealth of Australia represented by the Chair of the ACMA</w:t>
      </w:r>
      <w:r w:rsidRPr="003864A0">
        <w:rPr>
          <w:i/>
        </w:rPr>
        <w:t xml:space="preserve">. </w:t>
      </w:r>
      <w:r w:rsidRPr="003864A0">
        <w:t xml:space="preserve">Business </w:t>
      </w:r>
      <w:r w:rsidR="00DE4735">
        <w:t>r</w:t>
      </w:r>
      <w:r w:rsidRPr="003864A0">
        <w:t>ules</w:t>
      </w:r>
      <w:r w:rsidR="00DE4735">
        <w:t>,</w:t>
      </w:r>
      <w:r w:rsidRPr="003864A0">
        <w:t xml:space="preserve"> which set out the rules </w:t>
      </w:r>
      <w:r w:rsidRPr="003864A0">
        <w:rPr>
          <w:lang w:val="en-US"/>
        </w:rPr>
        <w:t>for the management, provision and conduct of the statutory functions and administrative services</w:t>
      </w:r>
      <w:r w:rsidR="00DE4735">
        <w:rPr>
          <w:lang w:val="en-US"/>
        </w:rPr>
        <w:t>,</w:t>
      </w:r>
      <w:r w:rsidRPr="003864A0">
        <w:rPr>
          <w:lang w:val="en-US"/>
        </w:rPr>
        <w:t xml:space="preserve"> are established under each </w:t>
      </w:r>
      <w:r w:rsidR="00DE4735">
        <w:rPr>
          <w:lang w:val="en-US"/>
        </w:rPr>
        <w:t>d</w:t>
      </w:r>
      <w:r w:rsidRPr="003864A0">
        <w:rPr>
          <w:lang w:val="en-US"/>
        </w:rPr>
        <w:t>eed.</w:t>
      </w:r>
    </w:p>
    <w:p w14:paraId="6E850BA3" w14:textId="3D1595C5" w:rsidR="003864A0" w:rsidRPr="003864A0" w:rsidRDefault="003864A0" w:rsidP="003864A0">
      <w:pPr>
        <w:pStyle w:val="Heading1"/>
      </w:pPr>
      <w:bookmarkStart w:id="5" w:name="_Toc481058521"/>
      <w:proofErr w:type="spellStart"/>
      <w:r w:rsidRPr="003864A0">
        <w:lastRenderedPageBreak/>
        <w:t>Radiocommunications</w:t>
      </w:r>
      <w:proofErr w:type="spellEnd"/>
      <w:r w:rsidRPr="003864A0">
        <w:t xml:space="preserve"> Bill 201</w:t>
      </w:r>
      <w:r w:rsidR="00863326">
        <w:t>7</w:t>
      </w:r>
      <w:bookmarkEnd w:id="5"/>
    </w:p>
    <w:p w14:paraId="37087E31" w14:textId="77777777" w:rsidR="003864A0" w:rsidRPr="003864A0" w:rsidRDefault="003864A0" w:rsidP="00F824D7">
      <w:pPr>
        <w:spacing w:after="80"/>
      </w:pPr>
      <w:r w:rsidRPr="003864A0">
        <w:t>The</w:t>
      </w:r>
      <w:r w:rsidR="00906F62">
        <w:t xml:space="preserve"> </w:t>
      </w:r>
      <w:proofErr w:type="spellStart"/>
      <w:r w:rsidR="00906F62">
        <w:t>Radiocommunications</w:t>
      </w:r>
      <w:proofErr w:type="spellEnd"/>
      <w:r w:rsidRPr="003864A0">
        <w:t xml:space="preserve"> Bill</w:t>
      </w:r>
      <w:r w:rsidR="00906F62">
        <w:t xml:space="preserve"> 2017 (the Bill)</w:t>
      </w:r>
      <w:r w:rsidR="00550A58">
        <w:t>, if passed,</w:t>
      </w:r>
      <w:r w:rsidRPr="003864A0">
        <w:t xml:space="preserve"> would enable expanded use of accreditation arrangements by the ACMA, including:</w:t>
      </w:r>
    </w:p>
    <w:p w14:paraId="5BDDF937" w14:textId="2AACC751" w:rsidR="003864A0" w:rsidRPr="003864A0" w:rsidRDefault="00DE4735" w:rsidP="003864A0">
      <w:pPr>
        <w:pStyle w:val="ListBullet"/>
      </w:pPr>
      <w:r>
        <w:t>a</w:t>
      </w:r>
      <w:r w:rsidR="003864A0" w:rsidRPr="003864A0">
        <w:t>ccreditation of companies to undertake frequency coordination activities</w:t>
      </w:r>
      <w:r w:rsidR="00D04F2C">
        <w:t>,</w:t>
      </w:r>
      <w:r w:rsidR="003864A0" w:rsidRPr="003864A0">
        <w:t xml:space="preserve"> as well as individuals</w:t>
      </w:r>
    </w:p>
    <w:p w14:paraId="6DAE88FF" w14:textId="41673B14" w:rsidR="003864A0" w:rsidRPr="003864A0" w:rsidRDefault="00DE4735" w:rsidP="003864A0">
      <w:pPr>
        <w:pStyle w:val="ListBulletLast"/>
      </w:pPr>
      <w:proofErr w:type="gramStart"/>
      <w:r>
        <w:t>e</w:t>
      </w:r>
      <w:r w:rsidR="003864A0" w:rsidRPr="003864A0">
        <w:t>xpansion</w:t>
      </w:r>
      <w:proofErr w:type="gramEnd"/>
      <w:r w:rsidR="003864A0" w:rsidRPr="003864A0">
        <w:t xml:space="preserve"> of accreditation arrangements to support other spectrum management activities.</w:t>
      </w:r>
    </w:p>
    <w:p w14:paraId="5BCA8C8E" w14:textId="30524123" w:rsidR="003864A0" w:rsidRPr="003864A0" w:rsidRDefault="003864A0" w:rsidP="003864A0">
      <w:pPr>
        <w:spacing w:after="80"/>
      </w:pPr>
      <w:r w:rsidRPr="003864A0">
        <w:t xml:space="preserve">The Bill would also provide for </w:t>
      </w:r>
      <w:r w:rsidR="00184BAD">
        <w:t xml:space="preserve">continuity </w:t>
      </w:r>
      <w:r w:rsidRPr="003864A0">
        <w:t>with the existing arrangements by requiring:</w:t>
      </w:r>
    </w:p>
    <w:p w14:paraId="047F0F69" w14:textId="60128D88" w:rsidR="003864A0" w:rsidRPr="003864A0" w:rsidRDefault="00DE4735" w:rsidP="003864A0">
      <w:pPr>
        <w:pStyle w:val="ListBullet"/>
      </w:pPr>
      <w:r>
        <w:t>a</w:t>
      </w:r>
      <w:r w:rsidR="003864A0" w:rsidRPr="003864A0">
        <w:t xml:space="preserve">n </w:t>
      </w:r>
      <w:r>
        <w:t>a</w:t>
      </w:r>
      <w:r w:rsidR="003864A0" w:rsidRPr="003864A0">
        <w:t>pplication</w:t>
      </w:r>
      <w:r w:rsidR="00DF2DED">
        <w:t xml:space="preserve"> for accreditation</w:t>
      </w:r>
      <w:r w:rsidR="003864A0" w:rsidRPr="003864A0">
        <w:t xml:space="preserve"> to be made in a form approved by the ACMA </w:t>
      </w:r>
    </w:p>
    <w:p w14:paraId="197EF13C" w14:textId="52E8B61F" w:rsidR="003864A0" w:rsidRPr="003864A0" w:rsidRDefault="00DE4735" w:rsidP="003864A0">
      <w:pPr>
        <w:pStyle w:val="ListBullet"/>
      </w:pPr>
      <w:r>
        <w:t>d</w:t>
      </w:r>
      <w:r w:rsidR="003864A0" w:rsidRPr="003864A0">
        <w:t xml:space="preserve">ecisions to accredit a person to </w:t>
      </w:r>
      <w:r w:rsidR="00DF2DED">
        <w:t xml:space="preserve">be made under </w:t>
      </w:r>
      <w:r w:rsidR="003864A0" w:rsidRPr="003864A0">
        <w:t xml:space="preserve"> ‘</w:t>
      </w:r>
      <w:r w:rsidR="00D04F2C">
        <w:t>a</w:t>
      </w:r>
      <w:r w:rsidR="003864A0" w:rsidRPr="003864A0">
        <w:t xml:space="preserve">ccreditation </w:t>
      </w:r>
      <w:r w:rsidR="00D04F2C">
        <w:t>r</w:t>
      </w:r>
      <w:r w:rsidR="003864A0" w:rsidRPr="003864A0">
        <w:t>ules</w:t>
      </w:r>
      <w:r w:rsidR="00D04F2C">
        <w:t>’</w:t>
      </w:r>
      <w:r w:rsidR="003864A0" w:rsidRPr="003864A0">
        <w:t xml:space="preserve"> </w:t>
      </w:r>
      <w:r w:rsidR="00662884">
        <w:t>made</w:t>
      </w:r>
      <w:r w:rsidR="003864A0" w:rsidRPr="003864A0">
        <w:t xml:space="preserve"> by the ACMA (equivalent to the Principles made under the 1992 Act) </w:t>
      </w:r>
    </w:p>
    <w:p w14:paraId="35F94637" w14:textId="78E0C9C0" w:rsidR="003864A0" w:rsidRPr="003864A0" w:rsidRDefault="00DE4735" w:rsidP="003864A0">
      <w:pPr>
        <w:pStyle w:val="ListBullet"/>
      </w:pPr>
      <w:r>
        <w:t>a</w:t>
      </w:r>
      <w:r w:rsidR="003864A0" w:rsidRPr="003864A0">
        <w:t xml:space="preserve">ccreditation to be subject to conditions as specified in the </w:t>
      </w:r>
      <w:r w:rsidR="00D04F2C">
        <w:t>a</w:t>
      </w:r>
      <w:r w:rsidR="003864A0" w:rsidRPr="003864A0">
        <w:t xml:space="preserve">ccreditation </w:t>
      </w:r>
      <w:r w:rsidR="00D04F2C">
        <w:t>r</w:t>
      </w:r>
      <w:r w:rsidR="003864A0" w:rsidRPr="003864A0">
        <w:t xml:space="preserve">ules </w:t>
      </w:r>
    </w:p>
    <w:p w14:paraId="37078765" w14:textId="24BC4780" w:rsidR="003864A0" w:rsidRPr="003864A0" w:rsidRDefault="00DE4735" w:rsidP="003864A0">
      <w:pPr>
        <w:pStyle w:val="ListBulletLast"/>
      </w:pPr>
      <w:proofErr w:type="gramStart"/>
      <w:r>
        <w:t>t</w:t>
      </w:r>
      <w:r w:rsidR="003864A0" w:rsidRPr="003864A0">
        <w:t>he</w:t>
      </w:r>
      <w:proofErr w:type="gramEnd"/>
      <w:r w:rsidR="003864A0" w:rsidRPr="003864A0">
        <w:t xml:space="preserve"> </w:t>
      </w:r>
      <w:r w:rsidR="00D04F2C">
        <w:t>a</w:t>
      </w:r>
      <w:r w:rsidR="003864A0" w:rsidRPr="003864A0">
        <w:t xml:space="preserve">ccreditation </w:t>
      </w:r>
      <w:r w:rsidR="00D04F2C">
        <w:t>r</w:t>
      </w:r>
      <w:r w:rsidR="003864A0" w:rsidRPr="003864A0">
        <w:t>ules to set out procedures for the withdrawal of accreditation.</w:t>
      </w:r>
    </w:p>
    <w:p w14:paraId="36E1F83F" w14:textId="660FB777" w:rsidR="003864A0" w:rsidRPr="003864A0" w:rsidRDefault="003864A0" w:rsidP="003864A0">
      <w:pPr>
        <w:pStyle w:val="Heading2"/>
      </w:pPr>
      <w:bookmarkStart w:id="6" w:name="_Toc481058522"/>
      <w:r w:rsidRPr="003864A0">
        <w:t xml:space="preserve">Additional </w:t>
      </w:r>
      <w:r w:rsidR="00DE4735">
        <w:t>a</w:t>
      </w:r>
      <w:r w:rsidRPr="003864A0">
        <w:t>ccreditation opportunities</w:t>
      </w:r>
      <w:bookmarkEnd w:id="6"/>
      <w:r w:rsidRPr="003864A0">
        <w:t xml:space="preserve"> </w:t>
      </w:r>
    </w:p>
    <w:p w14:paraId="15FD5877" w14:textId="2FB8BDE6" w:rsidR="003864A0" w:rsidRPr="003864A0" w:rsidRDefault="00735D06" w:rsidP="003864A0">
      <w:pPr>
        <w:spacing w:after="80"/>
      </w:pPr>
      <w:r>
        <w:t>The</w:t>
      </w:r>
      <w:r w:rsidR="003864A0" w:rsidRPr="003864A0">
        <w:t xml:space="preserve"> process for accreditation is outlined under Part </w:t>
      </w:r>
      <w:r w:rsidR="00C038E5" w:rsidRPr="003864A0">
        <w:t>1</w:t>
      </w:r>
      <w:r w:rsidR="00C038E5">
        <w:t>2</w:t>
      </w:r>
      <w:r w:rsidR="00C038E5" w:rsidRPr="003864A0">
        <w:t xml:space="preserve"> </w:t>
      </w:r>
      <w:r w:rsidR="003864A0" w:rsidRPr="003864A0">
        <w:t>of the Bill</w:t>
      </w:r>
      <w:r>
        <w:t>.</w:t>
      </w:r>
      <w:r w:rsidR="003864A0" w:rsidRPr="003864A0">
        <w:t xml:space="preserve"> </w:t>
      </w:r>
      <w:r>
        <w:t>T</w:t>
      </w:r>
      <w:r w:rsidR="003864A0" w:rsidRPr="003864A0">
        <w:t>he ACMA would have the ability to establish a role for accredited persons in relation to the following spectrum management functions:</w:t>
      </w:r>
    </w:p>
    <w:p w14:paraId="33377CF6" w14:textId="5B7B3951" w:rsidR="003864A0" w:rsidRPr="003864A0" w:rsidRDefault="003864A0" w:rsidP="003864A0">
      <w:pPr>
        <w:pStyle w:val="ListBullet"/>
      </w:pPr>
      <w:r w:rsidRPr="003864A0">
        <w:t>Licence issue schemes</w:t>
      </w:r>
      <w:r w:rsidR="00DE4735">
        <w:t>—</w:t>
      </w:r>
      <w:r w:rsidR="00662884">
        <w:t>sub</w:t>
      </w:r>
      <w:r w:rsidR="00AC36C3">
        <w:t>clause</w:t>
      </w:r>
      <w:r w:rsidR="009C0E21">
        <w:t xml:space="preserve"> </w:t>
      </w:r>
      <w:r w:rsidR="00523619">
        <w:t>34</w:t>
      </w:r>
      <w:r w:rsidRPr="003864A0">
        <w:t>(</w:t>
      </w:r>
      <w:r w:rsidR="00735D06">
        <w:t>7</w:t>
      </w:r>
      <w:r w:rsidRPr="003864A0">
        <w:t>)</w:t>
      </w:r>
      <w:r w:rsidR="00DE4735">
        <w:t>—</w:t>
      </w:r>
      <w:r w:rsidR="00F66A43">
        <w:t>t</w:t>
      </w:r>
      <w:r w:rsidR="00CB7BDE">
        <w:t xml:space="preserve">he </w:t>
      </w:r>
      <w:r w:rsidR="00727E2A">
        <w:t>ACMA may determine</w:t>
      </w:r>
      <w:r w:rsidR="00CB7BDE">
        <w:t xml:space="preserve"> a scheme relating to the issue of licences. </w:t>
      </w:r>
      <w:r w:rsidR="007D0D1D">
        <w:t xml:space="preserve">Under </w:t>
      </w:r>
      <w:r w:rsidR="00662884">
        <w:t>sub</w:t>
      </w:r>
      <w:r w:rsidR="00AC36C3">
        <w:t>clause</w:t>
      </w:r>
      <w:r w:rsidR="007D0D1D">
        <w:t xml:space="preserve"> </w:t>
      </w:r>
      <w:r w:rsidR="00523619">
        <w:t>34</w:t>
      </w:r>
      <w:r w:rsidR="007D0D1D">
        <w:t>(7) t</w:t>
      </w:r>
      <w:r w:rsidR="00CB7BDE">
        <w:t>he</w:t>
      </w:r>
      <w:r w:rsidRPr="003864A0">
        <w:t xml:space="preserve"> licence issue scheme may make provision in relation to a matter by conferring a power on a person who holds a specified kind of accreditation</w:t>
      </w:r>
      <w:r w:rsidR="00735D06">
        <w:t>.</w:t>
      </w:r>
      <w:r w:rsidRPr="003864A0">
        <w:t xml:space="preserve"> </w:t>
      </w:r>
    </w:p>
    <w:p w14:paraId="72C1B7E4" w14:textId="7807C920" w:rsidR="003864A0" w:rsidRPr="003864A0" w:rsidRDefault="003864A0" w:rsidP="003864A0">
      <w:pPr>
        <w:pStyle w:val="ListBullet"/>
        <w:rPr>
          <w:i/>
        </w:rPr>
      </w:pPr>
      <w:r w:rsidRPr="003864A0">
        <w:lastRenderedPageBreak/>
        <w:t xml:space="preserve">Register of </w:t>
      </w:r>
      <w:proofErr w:type="spellStart"/>
      <w:r w:rsidRPr="003864A0">
        <w:t>Radiocommunications</w:t>
      </w:r>
      <w:proofErr w:type="spellEnd"/>
      <w:r w:rsidRPr="003864A0">
        <w:t xml:space="preserve"> Licences</w:t>
      </w:r>
      <w:r w:rsidR="00DE4735">
        <w:t>—</w:t>
      </w:r>
      <w:r w:rsidR="00091DBB">
        <w:t>sub</w:t>
      </w:r>
      <w:r w:rsidR="00AC36C3">
        <w:t>clause</w:t>
      </w:r>
      <w:r w:rsidR="00091DBB">
        <w:t>s</w:t>
      </w:r>
      <w:r w:rsidR="00B57FD9">
        <w:t xml:space="preserve"> </w:t>
      </w:r>
      <w:r w:rsidR="00523619">
        <w:t>96</w:t>
      </w:r>
      <w:r w:rsidR="00091DBB">
        <w:t>(3) and (4)</w:t>
      </w:r>
      <w:r w:rsidR="00DE4735">
        <w:t>—</w:t>
      </w:r>
      <w:r w:rsidR="00B57FD9">
        <w:t>t</w:t>
      </w:r>
      <w:r w:rsidRPr="003864A0">
        <w:t xml:space="preserve">he ACMA may make </w:t>
      </w:r>
      <w:r w:rsidR="00380CE9">
        <w:t>r</w:t>
      </w:r>
      <w:r w:rsidRPr="003864A0">
        <w:t>egister rules prescribing matters required or permitted by th</w:t>
      </w:r>
      <w:r w:rsidR="00DF2DED">
        <w:t>e</w:t>
      </w:r>
      <w:r w:rsidRPr="003864A0">
        <w:t xml:space="preserve"> Act </w:t>
      </w:r>
      <w:r w:rsidR="00380CE9">
        <w:t>in relation to the contents of t</w:t>
      </w:r>
      <w:r w:rsidR="00753AD7">
        <w:t xml:space="preserve">he Register </w:t>
      </w:r>
      <w:r w:rsidR="00977E4A">
        <w:t xml:space="preserve">of </w:t>
      </w:r>
      <w:proofErr w:type="spellStart"/>
      <w:r w:rsidR="00977E4A">
        <w:t>Radiocommunications</w:t>
      </w:r>
      <w:proofErr w:type="spellEnd"/>
      <w:r w:rsidR="00977E4A">
        <w:t xml:space="preserve"> Licences</w:t>
      </w:r>
      <w:r w:rsidRPr="003864A0">
        <w:t xml:space="preserve">. </w:t>
      </w:r>
      <w:r w:rsidR="00AC36C3">
        <w:t>Clauses</w:t>
      </w:r>
      <w:r w:rsidRPr="003864A0">
        <w:t xml:space="preserve"> </w:t>
      </w:r>
      <w:r w:rsidR="00523619">
        <w:t>91</w:t>
      </w:r>
      <w:r w:rsidRPr="003864A0">
        <w:t xml:space="preserve"> to </w:t>
      </w:r>
      <w:r w:rsidR="00523619">
        <w:t>95</w:t>
      </w:r>
      <w:r w:rsidRPr="003864A0">
        <w:t xml:space="preserve"> set out what is required or permitted in the </w:t>
      </w:r>
      <w:r w:rsidR="00133CDA">
        <w:t>r</w:t>
      </w:r>
      <w:r w:rsidRPr="003864A0">
        <w:t xml:space="preserve">egister </w:t>
      </w:r>
      <w:r w:rsidR="00133CDA">
        <w:t>r</w:t>
      </w:r>
      <w:r w:rsidRPr="003864A0">
        <w:t xml:space="preserve">ules. </w:t>
      </w:r>
      <w:r w:rsidR="00374ABE">
        <w:t xml:space="preserve">Under related </w:t>
      </w:r>
      <w:r w:rsidR="00662884">
        <w:t>sub</w:t>
      </w:r>
      <w:r w:rsidR="00AC36C3">
        <w:t>clauses</w:t>
      </w:r>
      <w:r w:rsidR="00374ABE">
        <w:t xml:space="preserve"> </w:t>
      </w:r>
      <w:r w:rsidR="00523619">
        <w:t>96</w:t>
      </w:r>
      <w:r w:rsidR="00374ABE">
        <w:t xml:space="preserve">(3) and </w:t>
      </w:r>
      <w:r w:rsidR="00523619">
        <w:t>96</w:t>
      </w:r>
      <w:r w:rsidR="00374ABE">
        <w:t>(4) t</w:t>
      </w:r>
      <w:r w:rsidRPr="003864A0">
        <w:t xml:space="preserve">he </w:t>
      </w:r>
      <w:r w:rsidR="00133CDA">
        <w:t>r</w:t>
      </w:r>
      <w:r w:rsidRPr="003864A0">
        <w:t xml:space="preserve">egister </w:t>
      </w:r>
      <w:r w:rsidR="00133CDA">
        <w:t>r</w:t>
      </w:r>
      <w:r w:rsidRPr="003864A0">
        <w:t>ules may also make provision in relation to matter by conferring a power on a person who holds a specified kind of accreditation</w:t>
      </w:r>
      <w:r w:rsidR="00735D06">
        <w:t>.</w:t>
      </w:r>
      <w:r w:rsidRPr="003864A0">
        <w:t xml:space="preserve"> </w:t>
      </w:r>
    </w:p>
    <w:p w14:paraId="0CB88D75" w14:textId="619023BF" w:rsidR="003864A0" w:rsidRPr="003864A0" w:rsidRDefault="003864A0" w:rsidP="003864A0">
      <w:pPr>
        <w:pStyle w:val="ListBullet"/>
        <w:rPr>
          <w:i/>
        </w:rPr>
      </w:pPr>
      <w:r w:rsidRPr="003665A9">
        <w:t xml:space="preserve">Certificates of </w:t>
      </w:r>
      <w:r w:rsidR="00DE4735">
        <w:t>p</w:t>
      </w:r>
      <w:r w:rsidRPr="003665A9">
        <w:t>roficiency</w:t>
      </w:r>
      <w:r w:rsidR="00DE4735">
        <w:t>—</w:t>
      </w:r>
      <w:r w:rsidR="00F66A43">
        <w:t>c</w:t>
      </w:r>
      <w:r w:rsidR="00AC36C3">
        <w:t>lause</w:t>
      </w:r>
      <w:r w:rsidR="00B57FD9">
        <w:t xml:space="preserve"> </w:t>
      </w:r>
      <w:r w:rsidR="00523619" w:rsidRPr="003864A0">
        <w:t>1</w:t>
      </w:r>
      <w:r w:rsidR="00523619">
        <w:t>05</w:t>
      </w:r>
      <w:r w:rsidR="00DE4735">
        <w:t>—</w:t>
      </w:r>
      <w:r w:rsidR="006C6434">
        <w:t>the ACMA may by legislative instrument, make certification rules prescribing matters required or permitted by th</w:t>
      </w:r>
      <w:r w:rsidR="00DF2DED">
        <w:t>e</w:t>
      </w:r>
      <w:r w:rsidR="006C6434">
        <w:t xml:space="preserve"> Act to be</w:t>
      </w:r>
      <w:r w:rsidR="007D0D1D">
        <w:t xml:space="preserve"> prescribed by the certification rules</w:t>
      </w:r>
      <w:r w:rsidR="00DF2DED">
        <w:t>.</w:t>
      </w:r>
      <w:r w:rsidR="005B2973">
        <w:t xml:space="preserve"> </w:t>
      </w:r>
      <w:r w:rsidR="00DE114A">
        <w:t xml:space="preserve">Under </w:t>
      </w:r>
      <w:r w:rsidR="00AC36C3">
        <w:t>clause</w:t>
      </w:r>
      <w:r w:rsidR="007D0D1D">
        <w:t xml:space="preserve"> </w:t>
      </w:r>
      <w:r w:rsidR="00523619">
        <w:t xml:space="preserve">105 </w:t>
      </w:r>
      <w:r w:rsidR="00DE114A">
        <w:t>the</w:t>
      </w:r>
      <w:r w:rsidRPr="003864A0">
        <w:t xml:space="preserve"> certification rules may provide that an exam mentioned in </w:t>
      </w:r>
      <w:r w:rsidR="00AC36C3">
        <w:t>subclause</w:t>
      </w:r>
      <w:r w:rsidRPr="003864A0">
        <w:t xml:space="preserve"> 1</w:t>
      </w:r>
      <w:r w:rsidR="00523619">
        <w:t>04</w:t>
      </w:r>
      <w:r w:rsidRPr="003864A0">
        <w:t>(3</w:t>
      </w:r>
      <w:proofErr w:type="gramStart"/>
      <w:r w:rsidRPr="003864A0">
        <w:t>)(</w:t>
      </w:r>
      <w:proofErr w:type="gramEnd"/>
      <w:r w:rsidRPr="003864A0">
        <w:t>c) may be conducted by a person who holds an accreditation of a kind specified in the certification rules.</w:t>
      </w:r>
    </w:p>
    <w:p w14:paraId="1F177D13" w14:textId="372BC7E7" w:rsidR="003864A0" w:rsidRPr="003864A0" w:rsidRDefault="003864A0" w:rsidP="003864A0">
      <w:pPr>
        <w:pStyle w:val="ListBulletLast"/>
        <w:rPr>
          <w:i/>
        </w:rPr>
      </w:pPr>
      <w:r w:rsidRPr="003665A9">
        <w:t xml:space="preserve">Equipment </w:t>
      </w:r>
      <w:r w:rsidR="00133CDA">
        <w:t>r</w:t>
      </w:r>
      <w:r w:rsidRPr="003665A9">
        <w:t>ules</w:t>
      </w:r>
      <w:r w:rsidR="00DE4735">
        <w:t>—</w:t>
      </w:r>
      <w:r w:rsidRPr="003665A9">
        <w:t xml:space="preserve">Part </w:t>
      </w:r>
      <w:r w:rsidR="00C038E5">
        <w:t>10</w:t>
      </w:r>
      <w:r w:rsidR="00C038E5" w:rsidRPr="003665A9">
        <w:t xml:space="preserve"> </w:t>
      </w:r>
      <w:r w:rsidRPr="003665A9">
        <w:t>Division 2</w:t>
      </w:r>
      <w:r w:rsidR="00DE4735">
        <w:t>—</w:t>
      </w:r>
      <w:r w:rsidR="00B57FD9">
        <w:t>t</w:t>
      </w:r>
      <w:r w:rsidRPr="003665A9">
        <w:t>he ACMA</w:t>
      </w:r>
      <w:r w:rsidRPr="003864A0">
        <w:t xml:space="preserve"> may</w:t>
      </w:r>
      <w:r w:rsidR="00E65F55">
        <w:t>,</w:t>
      </w:r>
      <w:r w:rsidRPr="003864A0">
        <w:t xml:space="preserve"> by legislative instrument, make rules relating to the operation and supply of equipment. </w:t>
      </w:r>
      <w:r w:rsidR="00662884">
        <w:t xml:space="preserve">Division 2 of Part </w:t>
      </w:r>
      <w:r w:rsidR="00C038E5">
        <w:t>10</w:t>
      </w:r>
      <w:r w:rsidR="00C038E5" w:rsidRPr="003864A0">
        <w:t xml:space="preserve"> </w:t>
      </w:r>
      <w:r w:rsidRPr="003864A0">
        <w:t xml:space="preserve">of the Bill sets out what the ACMA may include or do in making those rules. Under </w:t>
      </w:r>
      <w:r w:rsidR="00AC36C3">
        <w:t>clause</w:t>
      </w:r>
      <w:r w:rsidR="00B57FD9">
        <w:t xml:space="preserve"> </w:t>
      </w:r>
      <w:r w:rsidR="00523619">
        <w:t>127</w:t>
      </w:r>
      <w:r w:rsidR="00133CDA">
        <w:t>,</w:t>
      </w:r>
      <w:r w:rsidRPr="003864A0">
        <w:t xml:space="preserve"> equipment rules may make provision in relation to a matter by conferring a power to make a decision of an administrative character on a person who holds a specified kind of accreditation</w:t>
      </w:r>
      <w:r w:rsidR="00735D06">
        <w:t>.</w:t>
      </w:r>
      <w:r w:rsidRPr="003864A0">
        <w:t xml:space="preserve"> </w:t>
      </w:r>
    </w:p>
    <w:p w14:paraId="632604E3" w14:textId="25A0CD40" w:rsidR="003864A0" w:rsidRDefault="003864A0" w:rsidP="003665A9">
      <w:r w:rsidRPr="003864A0">
        <w:t xml:space="preserve">Legislative </w:t>
      </w:r>
      <w:r w:rsidR="00133CDA">
        <w:t>r</w:t>
      </w:r>
      <w:r w:rsidRPr="003864A0">
        <w:t xml:space="preserve">ules, which would be made by the </w:t>
      </w:r>
      <w:r w:rsidR="0006694C">
        <w:t>m</w:t>
      </w:r>
      <w:r w:rsidRPr="003864A0">
        <w:t>inister, are able to prescribe matters ‘necessary or convenient to be prescribed for carrying out or giving effect to’ the Bill. Sub</w:t>
      </w:r>
      <w:r w:rsidR="00AC36C3">
        <w:t>clause</w:t>
      </w:r>
      <w:r w:rsidRPr="003864A0">
        <w:t xml:space="preserve"> 2</w:t>
      </w:r>
      <w:r w:rsidR="00523619">
        <w:t>36</w:t>
      </w:r>
      <w:r w:rsidRPr="003864A0">
        <w:t xml:space="preserve">(4) enables the </w:t>
      </w:r>
      <w:r w:rsidR="00133CDA">
        <w:t>m</w:t>
      </w:r>
      <w:r w:rsidRPr="003864A0">
        <w:t xml:space="preserve">inister to make provision in the </w:t>
      </w:r>
      <w:r w:rsidR="00133CDA">
        <w:t>l</w:t>
      </w:r>
      <w:r w:rsidRPr="003864A0">
        <w:t xml:space="preserve">egislative </w:t>
      </w:r>
      <w:r w:rsidR="00133CDA">
        <w:t>r</w:t>
      </w:r>
      <w:r w:rsidRPr="003864A0">
        <w:t>ules for a person who holds a specified kind of accreditation to make a decision of an administrative character</w:t>
      </w:r>
      <w:r w:rsidR="00735D06">
        <w:t>.</w:t>
      </w:r>
      <w:r w:rsidRPr="003864A0">
        <w:t xml:space="preserve"> </w:t>
      </w:r>
    </w:p>
    <w:p w14:paraId="44966124" w14:textId="27AE1923" w:rsidR="00735D06" w:rsidRDefault="00735D06" w:rsidP="00735D06">
      <w:pPr>
        <w:pStyle w:val="Heading2"/>
      </w:pPr>
      <w:bookmarkStart w:id="7" w:name="_Toc481058523"/>
      <w:r>
        <w:t xml:space="preserve">Charging of </w:t>
      </w:r>
      <w:r w:rsidR="00A86D7E">
        <w:t>f</w:t>
      </w:r>
      <w:r>
        <w:t>ees</w:t>
      </w:r>
      <w:bookmarkEnd w:id="7"/>
    </w:p>
    <w:p w14:paraId="58197266" w14:textId="5352315C" w:rsidR="00735D06" w:rsidRPr="00030AB5" w:rsidRDefault="00735D06" w:rsidP="00735D06">
      <w:r w:rsidRPr="00030AB5">
        <w:t xml:space="preserve">In making </w:t>
      </w:r>
      <w:r w:rsidR="00E65F55">
        <w:t>l</w:t>
      </w:r>
      <w:r w:rsidRPr="00030AB5">
        <w:t xml:space="preserve">egislative </w:t>
      </w:r>
      <w:r w:rsidR="00E65F55">
        <w:t>r</w:t>
      </w:r>
      <w:r w:rsidRPr="00030AB5">
        <w:t xml:space="preserve">ules, the </w:t>
      </w:r>
      <w:r w:rsidR="00E65F55">
        <w:t>m</w:t>
      </w:r>
      <w:r w:rsidRPr="00030AB5">
        <w:t xml:space="preserve">inister may authorise accredited persons to charge fees in relation to their exercise of a power conferred by the </w:t>
      </w:r>
      <w:r w:rsidR="00E65F55">
        <w:t>l</w:t>
      </w:r>
      <w:r w:rsidRPr="00030AB5">
        <w:t xml:space="preserve">egislative </w:t>
      </w:r>
      <w:r w:rsidR="00E65F55">
        <w:t>r</w:t>
      </w:r>
      <w:r w:rsidRPr="00030AB5">
        <w:t>ules.</w:t>
      </w:r>
    </w:p>
    <w:p w14:paraId="6346A877" w14:textId="1CB5F1EF" w:rsidR="00735D06" w:rsidRPr="00030AB5" w:rsidRDefault="00735D06" w:rsidP="00735D06">
      <w:r w:rsidRPr="00030AB5">
        <w:lastRenderedPageBreak/>
        <w:t xml:space="preserve">In making </w:t>
      </w:r>
      <w:r w:rsidR="00E65F55">
        <w:t>l</w:t>
      </w:r>
      <w:r w:rsidRPr="00030AB5">
        <w:t xml:space="preserve">icence </w:t>
      </w:r>
      <w:r w:rsidR="00E65F55">
        <w:t>i</w:t>
      </w:r>
      <w:r w:rsidRPr="00030AB5">
        <w:t xml:space="preserve">ssue </w:t>
      </w:r>
      <w:r w:rsidR="00E65F55">
        <w:t>s</w:t>
      </w:r>
      <w:r w:rsidRPr="00030AB5">
        <w:t xml:space="preserve">chemes, </w:t>
      </w:r>
      <w:r w:rsidR="00E65F55">
        <w:t>r</w:t>
      </w:r>
      <w:r w:rsidRPr="00030AB5">
        <w:t xml:space="preserve">egister </w:t>
      </w:r>
      <w:r w:rsidR="00E65F55">
        <w:t>r</w:t>
      </w:r>
      <w:r w:rsidRPr="00030AB5">
        <w:t xml:space="preserve">ules or </w:t>
      </w:r>
      <w:r w:rsidR="00E65F55">
        <w:t>e</w:t>
      </w:r>
      <w:r w:rsidRPr="00030AB5">
        <w:t xml:space="preserve">quipment </w:t>
      </w:r>
      <w:r w:rsidR="00E65F55">
        <w:t>r</w:t>
      </w:r>
      <w:r w:rsidRPr="00030AB5">
        <w:t xml:space="preserve">ules, the ACMA may authorise accredited persons to charge fees in relation to their exercise of a power conferred by the </w:t>
      </w:r>
      <w:r w:rsidR="00E65F55">
        <w:t>l</w:t>
      </w:r>
      <w:r w:rsidRPr="00030AB5">
        <w:t xml:space="preserve">icence </w:t>
      </w:r>
      <w:r w:rsidR="00E65F55">
        <w:t>i</w:t>
      </w:r>
      <w:r w:rsidRPr="00030AB5">
        <w:t xml:space="preserve">ssue </w:t>
      </w:r>
      <w:r w:rsidR="00E65F55">
        <w:t>s</w:t>
      </w:r>
      <w:r w:rsidRPr="00030AB5">
        <w:t xml:space="preserve">cheme, </w:t>
      </w:r>
      <w:r w:rsidR="00E65F55">
        <w:t>r</w:t>
      </w:r>
      <w:r w:rsidRPr="00030AB5">
        <w:t xml:space="preserve">egister </w:t>
      </w:r>
      <w:r w:rsidR="00E65F55">
        <w:t>r</w:t>
      </w:r>
      <w:r w:rsidRPr="00030AB5">
        <w:t xml:space="preserve">ules or </w:t>
      </w:r>
      <w:r w:rsidR="00E65F55">
        <w:t>e</w:t>
      </w:r>
      <w:r w:rsidRPr="00030AB5">
        <w:t xml:space="preserve">quipment </w:t>
      </w:r>
      <w:r w:rsidR="00E65F55">
        <w:t>r</w:t>
      </w:r>
      <w:r w:rsidRPr="00030AB5">
        <w:t>ules.</w:t>
      </w:r>
    </w:p>
    <w:p w14:paraId="28B9CF46" w14:textId="781699E2" w:rsidR="00735D06" w:rsidRPr="00030AB5" w:rsidRDefault="00735D06" w:rsidP="00735D06">
      <w:r w:rsidRPr="00030AB5">
        <w:t xml:space="preserve">If the ACMA makes </w:t>
      </w:r>
      <w:r w:rsidR="00E65F55">
        <w:t>c</w:t>
      </w:r>
      <w:r w:rsidRPr="00030AB5">
        <w:t xml:space="preserve">ertification </w:t>
      </w:r>
      <w:r w:rsidR="00E65F55">
        <w:t>r</w:t>
      </w:r>
      <w:r w:rsidRPr="00030AB5">
        <w:t xml:space="preserve">ules under </w:t>
      </w:r>
      <w:r w:rsidR="00AC36C3">
        <w:t>clause</w:t>
      </w:r>
      <w:r w:rsidR="00E65F55">
        <w:t xml:space="preserve"> </w:t>
      </w:r>
      <w:r w:rsidR="00523619" w:rsidRPr="00030AB5">
        <w:t>1</w:t>
      </w:r>
      <w:r w:rsidR="00523619">
        <w:t>09</w:t>
      </w:r>
      <w:r w:rsidRPr="00030AB5">
        <w:t xml:space="preserve">, then </w:t>
      </w:r>
      <w:r w:rsidR="00AC36C3">
        <w:t>clause</w:t>
      </w:r>
      <w:r w:rsidR="00E65F55">
        <w:t xml:space="preserve"> </w:t>
      </w:r>
      <w:r w:rsidR="00523619" w:rsidRPr="00030AB5">
        <w:t>1</w:t>
      </w:r>
      <w:r w:rsidR="00523619">
        <w:t>05</w:t>
      </w:r>
      <w:r w:rsidR="00523619" w:rsidRPr="00030AB5">
        <w:t xml:space="preserve"> </w:t>
      </w:r>
      <w:r w:rsidRPr="00030AB5">
        <w:t>provides that the accredited person may charge fees in relation to an exam conducted by the person.</w:t>
      </w:r>
    </w:p>
    <w:p w14:paraId="7B51756F" w14:textId="77777777" w:rsidR="00735D06" w:rsidRPr="003864A0" w:rsidRDefault="00735D06" w:rsidP="00735D06">
      <w:r w:rsidRPr="00030AB5">
        <w:t>In all these cases, the fees charged by an accredited person must not be such as to amount to taxation.</w:t>
      </w:r>
    </w:p>
    <w:p w14:paraId="7F132EB0" w14:textId="77777777" w:rsidR="003864A0" w:rsidRPr="003864A0" w:rsidRDefault="003864A0" w:rsidP="003864A0">
      <w:pPr>
        <w:pStyle w:val="Heading1"/>
      </w:pPr>
      <w:bookmarkStart w:id="8" w:name="_Toc481058524"/>
      <w:bookmarkStart w:id="9" w:name="_GoBack"/>
      <w:bookmarkEnd w:id="9"/>
      <w:r w:rsidRPr="003864A0">
        <w:lastRenderedPageBreak/>
        <w:t xml:space="preserve">Proposed </w:t>
      </w:r>
      <w:r w:rsidR="00B17705">
        <w:t>a</w:t>
      </w:r>
      <w:r w:rsidRPr="003864A0">
        <w:t>pproach</w:t>
      </w:r>
      <w:bookmarkEnd w:id="8"/>
    </w:p>
    <w:p w14:paraId="1DF31073" w14:textId="1E4FAF92" w:rsidR="003864A0" w:rsidRPr="003864A0" w:rsidRDefault="003864A0" w:rsidP="003665A9">
      <w:r w:rsidRPr="003864A0">
        <w:t xml:space="preserve">Accredited </w:t>
      </w:r>
      <w:r w:rsidR="00133CDA">
        <w:t>p</w:t>
      </w:r>
      <w:r w:rsidRPr="003864A0">
        <w:t xml:space="preserve">ersons and other performers of regulatory functions such as the WIA and AMC have become significant contributors to the management and administration of </w:t>
      </w:r>
      <w:proofErr w:type="spellStart"/>
      <w:r w:rsidRPr="003864A0">
        <w:t>radiocommunications</w:t>
      </w:r>
      <w:proofErr w:type="spellEnd"/>
      <w:r w:rsidRPr="003864A0">
        <w:t xml:space="preserve"> licensing over the last </w:t>
      </w:r>
      <w:r w:rsidR="00D04F2C">
        <w:t>20</w:t>
      </w:r>
      <w:r w:rsidR="00D04F2C" w:rsidRPr="003864A0">
        <w:t xml:space="preserve"> </w:t>
      </w:r>
      <w:r w:rsidRPr="003864A0">
        <w:t xml:space="preserve">years. </w:t>
      </w:r>
      <w:r w:rsidR="00735D06">
        <w:t>T</w:t>
      </w:r>
      <w:r w:rsidRPr="003864A0">
        <w:t>he role of APs will be a factor in the design of any new licensing and accreditation arrangements. The ACMA recognises the importance of minimising the regulatory impediments to the continued provision of services by APs, the WIA, the AMC, or other potential industry participants as new licensing and accreditation arrangements are implemented.</w:t>
      </w:r>
    </w:p>
    <w:p w14:paraId="10CABEA8" w14:textId="720F34ED" w:rsidR="003864A0" w:rsidRPr="003864A0" w:rsidRDefault="003864A0" w:rsidP="003665A9">
      <w:r w:rsidRPr="003864A0">
        <w:t>The ACMA will take an evidence-informed approach to implementing the Bill</w:t>
      </w:r>
      <w:r w:rsidR="00D04F2C">
        <w:t>,</w:t>
      </w:r>
      <w:r w:rsidR="00CC7096">
        <w:t xml:space="preserve"> if passed,</w:t>
      </w:r>
      <w:r w:rsidRPr="003864A0">
        <w:t xml:space="preserve"> consistent with the government’s policies on best practice regulation and deregulation. In choosing the options with the greatest net benefit, the ACMA would gather the best available evidence</w:t>
      </w:r>
      <w:r w:rsidR="00D04F2C">
        <w:t>,</w:t>
      </w:r>
      <w:r w:rsidRPr="003864A0">
        <w:t xml:space="preserve"> including </w:t>
      </w:r>
      <w:r w:rsidR="00483FDB">
        <w:t>by</w:t>
      </w:r>
      <w:r w:rsidRPr="003864A0">
        <w:t xml:space="preserve"> seeking the views of current and prospective spectrum users and other key stakeholders.</w:t>
      </w:r>
    </w:p>
    <w:p w14:paraId="4D00F352" w14:textId="4C6E4D7A" w:rsidR="003864A0" w:rsidRPr="003864A0" w:rsidRDefault="003864A0" w:rsidP="003864A0">
      <w:pPr>
        <w:pStyle w:val="Heading2"/>
        <w:rPr>
          <w:sz w:val="24"/>
          <w:szCs w:val="24"/>
        </w:rPr>
      </w:pPr>
      <w:bookmarkStart w:id="10" w:name="_Toc481058525"/>
      <w:r w:rsidRPr="003864A0">
        <w:t xml:space="preserve">Accreditation of </w:t>
      </w:r>
      <w:r w:rsidR="00133CDA">
        <w:t>i</w:t>
      </w:r>
      <w:r w:rsidRPr="003864A0">
        <w:t>ndividuals</w:t>
      </w:r>
      <w:bookmarkEnd w:id="10"/>
    </w:p>
    <w:p w14:paraId="388364C9" w14:textId="2A3F694C" w:rsidR="003864A0" w:rsidRPr="003864A0" w:rsidRDefault="003864A0" w:rsidP="003665A9">
      <w:r w:rsidRPr="003864A0">
        <w:t xml:space="preserve">While the Bill provides increased scope for the accreditation of individuals and companies across a broader range of spectrum management functions, the ACMA expects its initial focus </w:t>
      </w:r>
      <w:r w:rsidR="00CC7096">
        <w:t>would</w:t>
      </w:r>
      <w:r w:rsidR="00CC7096" w:rsidRPr="003864A0">
        <w:t xml:space="preserve"> </w:t>
      </w:r>
      <w:r w:rsidRPr="003864A0">
        <w:t xml:space="preserve">be to ensure that </w:t>
      </w:r>
      <w:r w:rsidR="00133CDA">
        <w:t>a</w:t>
      </w:r>
      <w:r w:rsidRPr="003864A0">
        <w:t xml:space="preserve">ccreditation </w:t>
      </w:r>
      <w:r w:rsidR="00133CDA">
        <w:t>r</w:t>
      </w:r>
      <w:r w:rsidRPr="003864A0">
        <w:t xml:space="preserve">ules (in conjunction with transitional arrangements) facilitate continuity of services supported by persons accredited under the 1992 </w:t>
      </w:r>
      <w:r w:rsidR="00483FDB">
        <w:t>Act</w:t>
      </w:r>
      <w:r w:rsidRPr="003864A0">
        <w:t xml:space="preserve">, subject to those persons continuing to meet the requirements and obligations of APs. </w:t>
      </w:r>
    </w:p>
    <w:p w14:paraId="23BE3E40" w14:textId="5DB747AA" w:rsidR="003864A0" w:rsidRPr="003864A0" w:rsidRDefault="003864A0" w:rsidP="003864A0">
      <w:pPr>
        <w:pStyle w:val="Heading2"/>
      </w:pPr>
      <w:bookmarkStart w:id="11" w:name="_Toc481058526"/>
      <w:r w:rsidRPr="003864A0">
        <w:lastRenderedPageBreak/>
        <w:t xml:space="preserve">Accreditation of </w:t>
      </w:r>
      <w:r w:rsidR="00133CDA">
        <w:t>c</w:t>
      </w:r>
      <w:r w:rsidRPr="003864A0">
        <w:t>ompanies</w:t>
      </w:r>
      <w:bookmarkEnd w:id="11"/>
    </w:p>
    <w:p w14:paraId="5466DED0" w14:textId="5CC074FA" w:rsidR="003864A0" w:rsidRPr="003864A0" w:rsidRDefault="003864A0" w:rsidP="003665A9">
      <w:r w:rsidRPr="003864A0">
        <w:t xml:space="preserve">If it is feasible to do so in the time available, the ACMA expects to consider providing for the accreditation of companies when the </w:t>
      </w:r>
      <w:r w:rsidR="00133CDA">
        <w:t>a</w:t>
      </w:r>
      <w:r w:rsidRPr="003864A0">
        <w:t xml:space="preserve">ccreditation </w:t>
      </w:r>
      <w:r w:rsidR="00133CDA">
        <w:t>r</w:t>
      </w:r>
      <w:r w:rsidRPr="003864A0">
        <w:t>ules are first made. There are, however, differences between determining whether a company has the capacity to perform (and continue to perform) a particular service and determining whether an individual is able to perform a service.</w:t>
      </w:r>
    </w:p>
    <w:p w14:paraId="097EA8EF" w14:textId="77777777" w:rsidR="003864A0" w:rsidRPr="003864A0" w:rsidRDefault="003864A0" w:rsidP="003665A9">
      <w:pPr>
        <w:spacing w:after="80"/>
      </w:pPr>
      <w:r w:rsidRPr="003864A0">
        <w:t>As such, the ACMA would need to consider any additional criteria that would need to be applied to companies seeking accreditation. For example, it may be appropriate for the ACMA to consider:</w:t>
      </w:r>
    </w:p>
    <w:p w14:paraId="5B23845B" w14:textId="5E548897" w:rsidR="003864A0" w:rsidRPr="003864A0" w:rsidRDefault="003864A0" w:rsidP="003665A9">
      <w:pPr>
        <w:pStyle w:val="ListBullet"/>
      </w:pPr>
      <w:r w:rsidRPr="003864A0">
        <w:t>operating procedures, including record-keeping and performance evaluation</w:t>
      </w:r>
    </w:p>
    <w:p w14:paraId="7C99855A" w14:textId="77777777" w:rsidR="003864A0" w:rsidRPr="003864A0" w:rsidRDefault="003864A0" w:rsidP="003665A9">
      <w:pPr>
        <w:pStyle w:val="ListBullet"/>
      </w:pPr>
      <w:proofErr w:type="gramStart"/>
      <w:r w:rsidRPr="003864A0">
        <w:t>quality</w:t>
      </w:r>
      <w:proofErr w:type="gramEnd"/>
      <w:r w:rsidRPr="003864A0">
        <w:t xml:space="preserve"> management systems</w:t>
      </w:r>
      <w:r w:rsidR="00133CDA">
        <w:t>,</w:t>
      </w:r>
      <w:r w:rsidRPr="003864A0">
        <w:t xml:space="preserve"> such as process controls and risk mitigation strategies</w:t>
      </w:r>
      <w:r w:rsidR="003665A9">
        <w:t>.</w:t>
      </w:r>
    </w:p>
    <w:p w14:paraId="289DB5EC" w14:textId="77777777" w:rsidR="003864A0" w:rsidRPr="003864A0" w:rsidRDefault="003864A0" w:rsidP="003864A0">
      <w:pPr>
        <w:pStyle w:val="Heading2"/>
      </w:pPr>
      <w:bookmarkStart w:id="12" w:name="_Toc481058527"/>
      <w:r w:rsidRPr="003864A0">
        <w:t>Examinations</w:t>
      </w:r>
      <w:bookmarkEnd w:id="12"/>
    </w:p>
    <w:p w14:paraId="4558EBB0" w14:textId="42FA33B2" w:rsidR="003864A0" w:rsidRPr="003864A0" w:rsidRDefault="00483FDB" w:rsidP="003665A9">
      <w:r>
        <w:t>As mentioned above, t</w:t>
      </w:r>
      <w:r w:rsidR="003864A0" w:rsidRPr="003864A0">
        <w:t xml:space="preserve">he WIA and the AMC perform regulatory functions on behalf of the ACMA in relation to the qualification of particular operators, including issuing </w:t>
      </w:r>
      <w:r w:rsidR="00133CDA">
        <w:t>c</w:t>
      </w:r>
      <w:r w:rsidR="003864A0" w:rsidRPr="003864A0">
        <w:t xml:space="preserve">ertificates of </w:t>
      </w:r>
      <w:r w:rsidR="00133CDA">
        <w:t>p</w:t>
      </w:r>
      <w:r w:rsidR="003864A0" w:rsidRPr="003864A0">
        <w:t>roficiency as delegates of the ACMA.</w:t>
      </w:r>
    </w:p>
    <w:p w14:paraId="7F568751" w14:textId="161A75C8" w:rsidR="003864A0" w:rsidRPr="003864A0" w:rsidRDefault="003864A0" w:rsidP="003665A9">
      <w:r w:rsidRPr="003864A0">
        <w:t xml:space="preserve">The Bill provides for exams to be conducted by the ACMA or a person who holds </w:t>
      </w:r>
      <w:r w:rsidR="002B40D2">
        <w:t xml:space="preserve">particular </w:t>
      </w:r>
      <w:r w:rsidRPr="003864A0">
        <w:t>accreditation (</w:t>
      </w:r>
      <w:r w:rsidR="00AC36C3">
        <w:t>subclause</w:t>
      </w:r>
      <w:r w:rsidRPr="003864A0">
        <w:t xml:space="preserve"> 1</w:t>
      </w:r>
      <w:r w:rsidR="00523619">
        <w:t>04</w:t>
      </w:r>
      <w:r w:rsidRPr="003864A0">
        <w:t>(3</w:t>
      </w:r>
      <w:proofErr w:type="gramStart"/>
      <w:r w:rsidRPr="003864A0">
        <w:t>)(</w:t>
      </w:r>
      <w:proofErr w:type="gramEnd"/>
      <w:r w:rsidRPr="003864A0">
        <w:t>c)). The ACMA expects to consult with the WIA</w:t>
      </w:r>
      <w:r w:rsidR="00727E2A">
        <w:t>,</w:t>
      </w:r>
      <w:r w:rsidR="00D163E9">
        <w:t xml:space="preserve"> </w:t>
      </w:r>
      <w:r w:rsidRPr="003864A0">
        <w:t xml:space="preserve">AMC </w:t>
      </w:r>
      <w:r w:rsidR="00727E2A">
        <w:t xml:space="preserve">and </w:t>
      </w:r>
      <w:r w:rsidR="00591C13">
        <w:t xml:space="preserve">other interested parties </w:t>
      </w:r>
      <w:r w:rsidRPr="003864A0">
        <w:t xml:space="preserve">about implementation of accreditation arrangements and any consequential variations to the </w:t>
      </w:r>
      <w:r w:rsidR="00133CDA">
        <w:t>d</w:t>
      </w:r>
      <w:r w:rsidRPr="003864A0">
        <w:t>eed between each organisation and the Chair of the ACMA.</w:t>
      </w:r>
    </w:p>
    <w:p w14:paraId="35921A19" w14:textId="42BB7C00" w:rsidR="003864A0" w:rsidRPr="003864A0" w:rsidRDefault="00FC7EEC" w:rsidP="003864A0">
      <w:pPr>
        <w:pStyle w:val="Heading2"/>
      </w:pPr>
      <w:bookmarkStart w:id="13" w:name="_Toc481058528"/>
      <w:r>
        <w:t xml:space="preserve">Expanded </w:t>
      </w:r>
      <w:r w:rsidR="003261E4">
        <w:t>u</w:t>
      </w:r>
      <w:r>
        <w:t xml:space="preserve">se of </w:t>
      </w:r>
      <w:r w:rsidR="003261E4">
        <w:t>a</w:t>
      </w:r>
      <w:r w:rsidR="003864A0" w:rsidRPr="003864A0">
        <w:t xml:space="preserve">ccreditation </w:t>
      </w:r>
      <w:r w:rsidR="003261E4">
        <w:t>a</w:t>
      </w:r>
      <w:r>
        <w:t>rrangements</w:t>
      </w:r>
      <w:bookmarkEnd w:id="13"/>
    </w:p>
    <w:p w14:paraId="1493A8AF" w14:textId="3E744D59" w:rsidR="00B43A8B" w:rsidRDefault="003864A0" w:rsidP="00F824D7">
      <w:r w:rsidRPr="003864A0">
        <w:t>The Bill</w:t>
      </w:r>
      <w:r w:rsidR="00FC7EEC">
        <w:t>, if passed,</w:t>
      </w:r>
      <w:r w:rsidR="00B43A8B">
        <w:t xml:space="preserve"> would give the ACMA </w:t>
      </w:r>
      <w:r w:rsidR="00CA381C">
        <w:t xml:space="preserve">the ability </w:t>
      </w:r>
      <w:r w:rsidR="00B43A8B">
        <w:t>to establish role</w:t>
      </w:r>
      <w:r w:rsidR="00CA381C">
        <w:t>s</w:t>
      </w:r>
      <w:r w:rsidR="00B43A8B">
        <w:t xml:space="preserve"> for accredited persons (</w:t>
      </w:r>
      <w:r w:rsidR="00CA381C">
        <w:t>both</w:t>
      </w:r>
      <w:r w:rsidR="00B43A8B">
        <w:t xml:space="preserve"> individuals and companies) in additional spectrum management functions</w:t>
      </w:r>
      <w:r w:rsidR="003261E4">
        <w:t>,</w:t>
      </w:r>
      <w:r w:rsidR="00B43A8B">
        <w:t xml:space="preserve"> </w:t>
      </w:r>
      <w:r w:rsidR="00253B1B">
        <w:t xml:space="preserve">such as </w:t>
      </w:r>
      <w:r w:rsidR="00253B1B">
        <w:lastRenderedPageBreak/>
        <w:t xml:space="preserve">those provided for by the </w:t>
      </w:r>
      <w:r w:rsidR="003261E4">
        <w:t>e</w:t>
      </w:r>
      <w:r w:rsidR="00B43A8B">
        <w:t xml:space="preserve">quipment </w:t>
      </w:r>
      <w:r w:rsidR="003261E4">
        <w:t>r</w:t>
      </w:r>
      <w:r w:rsidR="00B43A8B">
        <w:t xml:space="preserve">ules and the Register of </w:t>
      </w:r>
      <w:proofErr w:type="spellStart"/>
      <w:r w:rsidR="00B43A8B">
        <w:t>Radiocommunications</w:t>
      </w:r>
      <w:proofErr w:type="spellEnd"/>
      <w:r w:rsidR="00B43A8B">
        <w:t xml:space="preserve"> Licences.</w:t>
      </w:r>
    </w:p>
    <w:p w14:paraId="5CCC5D09" w14:textId="5DE20B7A" w:rsidR="0071258D" w:rsidRDefault="007C3991" w:rsidP="00F824D7">
      <w:r>
        <w:t xml:space="preserve">Expanding accreditation arrangements would provide more opportunities for spectrum users to participate in spectrum management. </w:t>
      </w:r>
      <w:r w:rsidR="0071258D">
        <w:t xml:space="preserve">This would be consistent with the </w:t>
      </w:r>
      <w:r w:rsidR="003261E4">
        <w:t>f</w:t>
      </w:r>
      <w:r w:rsidR="0071258D">
        <w:t xml:space="preserve">inal </w:t>
      </w:r>
      <w:r w:rsidR="003261E4">
        <w:t>r</w:t>
      </w:r>
      <w:r w:rsidR="0071258D">
        <w:t xml:space="preserve">eport </w:t>
      </w:r>
      <w:r w:rsidR="008604A4">
        <w:t>o</w:t>
      </w:r>
      <w:r w:rsidR="0071258D">
        <w:t>f the Spectrum Review</w:t>
      </w:r>
      <w:r w:rsidR="0071258D">
        <w:rPr>
          <w:rStyle w:val="FootnoteReference"/>
        </w:rPr>
        <w:footnoteReference w:id="1"/>
      </w:r>
      <w:r w:rsidR="0071258D">
        <w:t xml:space="preserve">. </w:t>
      </w:r>
      <w:r>
        <w:t xml:space="preserve">The ACMA anticipates that the expansion of accreditation arrangements </w:t>
      </w:r>
      <w:r w:rsidR="008604A4">
        <w:t xml:space="preserve">will </w:t>
      </w:r>
      <w:r>
        <w:t>be considered whe</w:t>
      </w:r>
      <w:r w:rsidR="0071258D">
        <w:t xml:space="preserve">rever </w:t>
      </w:r>
      <w:r>
        <w:t xml:space="preserve">the open and competitive provision of services by accredited persons is likely to result in </w:t>
      </w:r>
      <w:r w:rsidR="008B3E62">
        <w:t xml:space="preserve">sustainable support to spectrum users that is </w:t>
      </w:r>
      <w:r w:rsidR="0071258D">
        <w:t>more efficient</w:t>
      </w:r>
      <w:r w:rsidR="008B3E62">
        <w:t xml:space="preserve"> and </w:t>
      </w:r>
      <w:r w:rsidR="0071258D">
        <w:t>flexible.</w:t>
      </w:r>
    </w:p>
    <w:p w14:paraId="0151C355" w14:textId="086FF48D" w:rsidR="00253B1B" w:rsidRDefault="00B43A8B" w:rsidP="00F824D7">
      <w:r>
        <w:t xml:space="preserve">The ACMA will </w:t>
      </w:r>
      <w:r w:rsidR="0071258D">
        <w:t xml:space="preserve">consult </w:t>
      </w:r>
      <w:r w:rsidR="00617AE5">
        <w:t xml:space="preserve">stakeholders </w:t>
      </w:r>
      <w:r w:rsidR="0071258D">
        <w:t xml:space="preserve">about </w:t>
      </w:r>
      <w:r>
        <w:t xml:space="preserve">the potential </w:t>
      </w:r>
      <w:r w:rsidR="00410D7A">
        <w:t xml:space="preserve">to </w:t>
      </w:r>
      <w:r w:rsidR="00D4660A">
        <w:t xml:space="preserve">expand </w:t>
      </w:r>
      <w:r>
        <w:t xml:space="preserve">accreditation arrangements </w:t>
      </w:r>
      <w:r w:rsidR="00C60CF1">
        <w:t>as it develops and implements arrangements under the Bill</w:t>
      </w:r>
      <w:r w:rsidR="00E365E8">
        <w:t xml:space="preserve">.  </w:t>
      </w:r>
    </w:p>
    <w:p w14:paraId="21745363" w14:textId="39ECA0A3" w:rsidR="00B43A8B" w:rsidRPr="003864A0" w:rsidRDefault="00B43A8B" w:rsidP="00F346DC"/>
    <w:p w14:paraId="6B8A9735" w14:textId="228B6ACF" w:rsidR="003864A0" w:rsidRPr="003864A0" w:rsidRDefault="003864A0" w:rsidP="003864A0">
      <w:pPr>
        <w:pStyle w:val="Heading1"/>
      </w:pPr>
      <w:bookmarkStart w:id="14" w:name="_Toc481058529"/>
      <w:r w:rsidRPr="003864A0">
        <w:lastRenderedPageBreak/>
        <w:t xml:space="preserve">Implementation and </w:t>
      </w:r>
      <w:r w:rsidR="00133CDA">
        <w:t>t</w:t>
      </w:r>
      <w:r w:rsidRPr="003864A0">
        <w:t>ransition</w:t>
      </w:r>
      <w:bookmarkEnd w:id="14"/>
    </w:p>
    <w:p w14:paraId="3ED7BE4C" w14:textId="2A3ABBD2" w:rsidR="003864A0" w:rsidRPr="003864A0" w:rsidRDefault="003864A0" w:rsidP="00133CDA">
      <w:r w:rsidRPr="003864A0">
        <w:t xml:space="preserve">Broadly speaking, the ACMA would expect to </w:t>
      </w:r>
      <w:r w:rsidR="0040691A">
        <w:t xml:space="preserve">the extent possible </w:t>
      </w:r>
      <w:r w:rsidR="002B1E5D">
        <w:t xml:space="preserve">to </w:t>
      </w:r>
      <w:r w:rsidRPr="003864A0">
        <w:t xml:space="preserve">continue the effect of </w:t>
      </w:r>
      <w:r w:rsidR="00483FDB">
        <w:t xml:space="preserve">existing arrangements under </w:t>
      </w:r>
      <w:r w:rsidRPr="003864A0">
        <w:t xml:space="preserve">the 1992 </w:t>
      </w:r>
      <w:r w:rsidR="00483FDB">
        <w:t>Act</w:t>
      </w:r>
      <w:r w:rsidRPr="003864A0">
        <w:t xml:space="preserve"> that support </w:t>
      </w:r>
      <w:r w:rsidR="00133CDA">
        <w:t>APs</w:t>
      </w:r>
      <w:r w:rsidRPr="003864A0">
        <w:t xml:space="preserve"> over the transition period until such time as new arrangements are put in place.</w:t>
      </w:r>
    </w:p>
    <w:p w14:paraId="75AC2EC4" w14:textId="0DC3CCEA" w:rsidR="003864A0" w:rsidRPr="003864A0" w:rsidRDefault="003864A0" w:rsidP="003665A9">
      <w:pPr>
        <w:spacing w:after="80"/>
      </w:pPr>
      <w:r w:rsidRPr="003864A0">
        <w:t xml:space="preserve">This transition of the </w:t>
      </w:r>
      <w:r w:rsidR="00133CDA">
        <w:t>a</w:t>
      </w:r>
      <w:r w:rsidRPr="003864A0">
        <w:t xml:space="preserve">ccredited </w:t>
      </w:r>
      <w:proofErr w:type="gramStart"/>
      <w:r w:rsidR="00133CDA">
        <w:t>p</w:t>
      </w:r>
      <w:r w:rsidRPr="003864A0">
        <w:t>ersons</w:t>
      </w:r>
      <w:proofErr w:type="gramEnd"/>
      <w:r w:rsidRPr="003864A0">
        <w:t xml:space="preserve"> </w:t>
      </w:r>
      <w:r w:rsidR="00133CDA">
        <w:t>s</w:t>
      </w:r>
      <w:r w:rsidRPr="003864A0">
        <w:t>cheme to the new legislative arrangements could occur in a number of ways</w:t>
      </w:r>
      <w:r w:rsidR="0006694C">
        <w:t>,</w:t>
      </w:r>
      <w:r w:rsidRPr="003864A0">
        <w:t xml:space="preserve"> including</w:t>
      </w:r>
      <w:r w:rsidR="007E709A">
        <w:t xml:space="preserve"> by</w:t>
      </w:r>
      <w:r w:rsidRPr="003864A0">
        <w:t>:</w:t>
      </w:r>
    </w:p>
    <w:p w14:paraId="698B0824" w14:textId="57E252DB" w:rsidR="003864A0" w:rsidRPr="003864A0" w:rsidRDefault="003864A0" w:rsidP="003665A9">
      <w:pPr>
        <w:pStyle w:val="ListBullet"/>
      </w:pPr>
      <w:r w:rsidRPr="003864A0">
        <w:t xml:space="preserve">the </w:t>
      </w:r>
      <w:r w:rsidR="00133CDA">
        <w:t>a</w:t>
      </w:r>
      <w:r w:rsidRPr="003864A0">
        <w:t xml:space="preserve">ccreditation </w:t>
      </w:r>
      <w:r w:rsidR="00133CDA">
        <w:t>r</w:t>
      </w:r>
      <w:r w:rsidRPr="003864A0">
        <w:t xml:space="preserve">ules replacing the </w:t>
      </w:r>
      <w:r w:rsidR="00133CDA">
        <w:t>a</w:t>
      </w:r>
      <w:r w:rsidRPr="003864A0">
        <w:t xml:space="preserve">ccredited </w:t>
      </w:r>
      <w:r w:rsidR="00133CDA">
        <w:t>p</w:t>
      </w:r>
      <w:r w:rsidRPr="003864A0">
        <w:t xml:space="preserve">ersons </w:t>
      </w:r>
      <w:r w:rsidR="00133CDA">
        <w:t>s</w:t>
      </w:r>
      <w:r w:rsidRPr="003864A0">
        <w:t xml:space="preserve">cheme </w:t>
      </w:r>
      <w:r w:rsidR="00960D59">
        <w:t>commencing</w:t>
      </w:r>
      <w:r w:rsidRPr="003864A0">
        <w:t xml:space="preserve"> at the same time as the main provisions of the Bill</w:t>
      </w:r>
      <w:r w:rsidR="0046037F">
        <w:rPr>
          <w:rStyle w:val="FootnoteReference"/>
        </w:rPr>
        <w:footnoteReference w:id="2"/>
      </w:r>
      <w:r w:rsidRPr="003864A0">
        <w:t>; or</w:t>
      </w:r>
    </w:p>
    <w:p w14:paraId="15C43F7F" w14:textId="380D8F25" w:rsidR="003864A0" w:rsidRPr="003864A0" w:rsidRDefault="003864A0" w:rsidP="003665A9">
      <w:pPr>
        <w:pStyle w:val="ListBulletLast"/>
      </w:pPr>
      <w:proofErr w:type="gramStart"/>
      <w:r w:rsidRPr="003864A0">
        <w:t>the</w:t>
      </w:r>
      <w:proofErr w:type="gramEnd"/>
      <w:r w:rsidRPr="003864A0">
        <w:t xml:space="preserve"> </w:t>
      </w:r>
      <w:r w:rsidR="00133CDA">
        <w:t>a</w:t>
      </w:r>
      <w:r w:rsidRPr="003864A0">
        <w:t xml:space="preserve">ccredited </w:t>
      </w:r>
      <w:r w:rsidR="00133CDA">
        <w:t>p</w:t>
      </w:r>
      <w:r w:rsidRPr="003864A0">
        <w:t xml:space="preserve">ersons scheme </w:t>
      </w:r>
      <w:r w:rsidR="00960D59">
        <w:t xml:space="preserve">continuing </w:t>
      </w:r>
      <w:r w:rsidRPr="003864A0">
        <w:t>in force after commencement of the main provisions of the Bill until replaced by new accreditation requirements.</w:t>
      </w:r>
    </w:p>
    <w:p w14:paraId="24C4ACA0" w14:textId="77777777" w:rsidR="003864A0" w:rsidRPr="003864A0" w:rsidRDefault="003864A0" w:rsidP="003665A9">
      <w:r w:rsidRPr="003864A0">
        <w:t xml:space="preserve">Either of these options would require consultation with industry and stakeholders before new or continued accreditation arrangements could be put in place. </w:t>
      </w:r>
    </w:p>
    <w:p w14:paraId="281F4686" w14:textId="1D4F8BEE" w:rsidR="003864A0" w:rsidRPr="003864A0" w:rsidRDefault="003864A0" w:rsidP="003665A9">
      <w:r w:rsidRPr="003864A0">
        <w:t xml:space="preserve">The scope of the </w:t>
      </w:r>
      <w:r w:rsidR="00133CDA">
        <w:t>a</w:t>
      </w:r>
      <w:r w:rsidRPr="003864A0">
        <w:t xml:space="preserve">ccreditation </w:t>
      </w:r>
      <w:r w:rsidR="00133CDA">
        <w:t>r</w:t>
      </w:r>
      <w:r w:rsidRPr="003864A0">
        <w:t>ules is likely to increase over time</w:t>
      </w:r>
      <w:r w:rsidR="00133CDA">
        <w:t>,</w:t>
      </w:r>
      <w:r w:rsidRPr="003864A0">
        <w:t xml:space="preserve"> as user involvement in management of the spectrum increases.</w:t>
      </w:r>
    </w:p>
    <w:p w14:paraId="52E158B2" w14:textId="77777777" w:rsidR="003864A0" w:rsidRPr="003864A0" w:rsidRDefault="003864A0" w:rsidP="003864A0">
      <w:pPr>
        <w:pStyle w:val="Heading1"/>
      </w:pPr>
      <w:bookmarkStart w:id="15" w:name="_Toc481058530"/>
      <w:r w:rsidRPr="003864A0">
        <w:lastRenderedPageBreak/>
        <w:t xml:space="preserve">Related </w:t>
      </w:r>
      <w:r w:rsidR="00B17705">
        <w:t>m</w:t>
      </w:r>
      <w:r w:rsidRPr="003864A0">
        <w:t>atters</w:t>
      </w:r>
      <w:bookmarkEnd w:id="15"/>
    </w:p>
    <w:p w14:paraId="25323BC0" w14:textId="10CAE31D" w:rsidR="00906F62" w:rsidRPr="003864A0" w:rsidRDefault="003864A0" w:rsidP="00906F62">
      <w:r w:rsidRPr="003864A0">
        <w:t xml:space="preserve">The ACMA recognises that the </w:t>
      </w:r>
      <w:r w:rsidR="00133CDA">
        <w:t>a</w:t>
      </w:r>
      <w:r w:rsidRPr="003864A0">
        <w:t xml:space="preserve">ccreditation </w:t>
      </w:r>
      <w:r w:rsidR="00133CDA">
        <w:t>r</w:t>
      </w:r>
      <w:r w:rsidRPr="003864A0">
        <w:t xml:space="preserve">ules </w:t>
      </w:r>
      <w:r w:rsidR="00CC7096">
        <w:t>would</w:t>
      </w:r>
      <w:r w:rsidR="00CC7096" w:rsidRPr="003864A0">
        <w:t xml:space="preserve"> </w:t>
      </w:r>
      <w:r w:rsidRPr="003864A0">
        <w:t xml:space="preserve">need to be developed in a way that is consistent with frequency coordination activities required under the </w:t>
      </w:r>
      <w:r w:rsidR="00D04F2C">
        <w:t>l</w:t>
      </w:r>
      <w:r w:rsidRPr="003864A0">
        <w:t xml:space="preserve">icence </w:t>
      </w:r>
      <w:r w:rsidR="00D04F2C">
        <w:t>i</w:t>
      </w:r>
      <w:r w:rsidRPr="003864A0">
        <w:t xml:space="preserve">ssue </w:t>
      </w:r>
      <w:r w:rsidR="00D04F2C">
        <w:t>s</w:t>
      </w:r>
      <w:r w:rsidRPr="003864A0">
        <w:t xml:space="preserve">chemes that are also provided for </w:t>
      </w:r>
      <w:r w:rsidR="00483FDB">
        <w:t xml:space="preserve">by the </w:t>
      </w:r>
      <w:proofErr w:type="spellStart"/>
      <w:r w:rsidR="00483FDB">
        <w:t>Radiocommunications</w:t>
      </w:r>
      <w:proofErr w:type="spellEnd"/>
      <w:r w:rsidRPr="003864A0">
        <w:t xml:space="preserve"> Bill</w:t>
      </w:r>
      <w:r w:rsidR="00483FDB">
        <w:t xml:space="preserve"> 2017</w:t>
      </w:r>
      <w:r w:rsidRPr="003864A0">
        <w:t>.</w:t>
      </w:r>
    </w:p>
    <w:sectPr w:rsidR="00906F62" w:rsidRPr="003864A0" w:rsidSect="00C77380">
      <w:headerReference w:type="even" r:id="rId24"/>
      <w:headerReference w:type="default" r:id="rId25"/>
      <w:footerReference w:type="even" r:id="rId26"/>
      <w:footerReference w:type="default" r:id="rId27"/>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96B1D" w14:textId="77777777" w:rsidR="002C2AAF" w:rsidRDefault="002C2AAF">
      <w:r>
        <w:separator/>
      </w:r>
    </w:p>
  </w:endnote>
  <w:endnote w:type="continuationSeparator" w:id="0">
    <w:p w14:paraId="67FBB153" w14:textId="77777777" w:rsidR="002C2AAF" w:rsidRDefault="002C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NeueLT Std Lt">
    <w:altName w:val="Times New Roman"/>
    <w:panose1 w:val="020B0403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5A84B" w14:textId="77777777" w:rsidR="00C053A1" w:rsidRPr="00A5474E" w:rsidRDefault="00C053A1" w:rsidP="00A5474E">
    <w:pPr>
      <w:pStyle w:val="Footer"/>
    </w:pPr>
    <w:r>
      <w:rPr>
        <w:noProof/>
      </w:rPr>
      <w:drawing>
        <wp:inline distT="0" distB="0" distL="0" distR="0" wp14:anchorId="40A99B81" wp14:editId="45BF6D71">
          <wp:extent cx="3483864" cy="249613"/>
          <wp:effectExtent l="0" t="0" r="0" b="0"/>
          <wp:docPr id="3" name="Picture 3"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B5E33" w14:textId="77777777" w:rsidR="00C053A1" w:rsidRDefault="00C053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6ED06" w14:textId="77777777" w:rsidR="00C053A1" w:rsidRDefault="00C053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5BF19"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226BCA">
      <w:rPr>
        <w:noProof/>
        <w:color w:val="505050"/>
      </w:rPr>
      <w:t>iv</w:t>
    </w:r>
    <w:r w:rsidRPr="002E4DDC">
      <w:rPr>
        <w:color w:val="505050"/>
      </w:rPr>
      <w:fldChar w:fldCharType="end"/>
    </w:r>
  </w:p>
  <w:p w14:paraId="67F0F327" w14:textId="77777777" w:rsidR="00C053A1" w:rsidRPr="00A5474E" w:rsidRDefault="00C053A1" w:rsidP="00A547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D2FF8"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5455DF7C" w14:textId="77777777" w:rsidR="00C053A1" w:rsidRPr="00A5474E" w:rsidRDefault="00C053A1" w:rsidP="00A547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1EA70"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5E3845">
      <w:rPr>
        <w:noProof/>
        <w:color w:val="505050"/>
      </w:rPr>
      <w:t>iii</w:t>
    </w:r>
    <w:r w:rsidRPr="002E4DDC">
      <w:rPr>
        <w:color w:val="505050"/>
      </w:rPr>
      <w:fldChar w:fldCharType="end"/>
    </w:r>
  </w:p>
  <w:p w14:paraId="502B904C" w14:textId="77777777" w:rsidR="00C053A1" w:rsidRPr="00A5474E" w:rsidRDefault="00C053A1" w:rsidP="00A547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6FF99"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5E3845">
      <w:rPr>
        <w:noProof/>
      </w:rPr>
      <w:t>8</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0B885E23" w14:textId="77777777" w:rsidR="00C053A1" w:rsidRPr="00A5474E" w:rsidRDefault="00C053A1" w:rsidP="00A547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0199"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5E3845">
      <w:rPr>
        <w:noProof/>
        <w:color w:val="505050"/>
      </w:rPr>
      <w:t>9</w:t>
    </w:r>
    <w:r w:rsidRPr="00575AC5">
      <w:rPr>
        <w:color w:val="505050"/>
      </w:rPr>
      <w:fldChar w:fldCharType="end"/>
    </w:r>
  </w:p>
  <w:p w14:paraId="4D1C4E75" w14:textId="77777777" w:rsidR="00C053A1" w:rsidRPr="00A5474E" w:rsidRDefault="00C053A1" w:rsidP="00A54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5E2C8" w14:textId="77777777" w:rsidR="002C2AAF" w:rsidRDefault="002C2AAF">
      <w:r>
        <w:separator/>
      </w:r>
    </w:p>
  </w:footnote>
  <w:footnote w:type="continuationSeparator" w:id="0">
    <w:p w14:paraId="36148313" w14:textId="77777777" w:rsidR="002C2AAF" w:rsidRDefault="002C2AAF">
      <w:r>
        <w:continuationSeparator/>
      </w:r>
    </w:p>
  </w:footnote>
  <w:footnote w:id="1">
    <w:p w14:paraId="05D9F49D" w14:textId="0ACE6FA0" w:rsidR="0071258D" w:rsidRDefault="0071258D" w:rsidP="0071258D">
      <w:pPr>
        <w:pStyle w:val="FootnoteText"/>
      </w:pPr>
      <w:r>
        <w:rPr>
          <w:rStyle w:val="FootnoteReference"/>
        </w:rPr>
        <w:footnoteRef/>
      </w:r>
      <w:r>
        <w:t xml:space="preserve"> The </w:t>
      </w:r>
      <w:r w:rsidR="003261E4">
        <w:t>f</w:t>
      </w:r>
      <w:r>
        <w:t xml:space="preserve">inal </w:t>
      </w:r>
      <w:r w:rsidR="003261E4">
        <w:t>r</w:t>
      </w:r>
      <w:r>
        <w:t xml:space="preserve">eport is available from </w:t>
      </w:r>
      <w:hyperlink r:id="rId1" w:history="1">
        <w:r w:rsidRPr="003261E4">
          <w:rPr>
            <w:rStyle w:val="Hyperlink"/>
          </w:rPr>
          <w:t>https://communications.govcms.gov.au/publications/spectrum-review-report</w:t>
        </w:r>
      </w:hyperlink>
      <w:r>
        <w:t>.</w:t>
      </w:r>
    </w:p>
  </w:footnote>
  <w:footnote w:id="2">
    <w:p w14:paraId="12B81924" w14:textId="0FC35701" w:rsidR="0046037F" w:rsidRDefault="0046037F" w:rsidP="00F824D7">
      <w:pPr>
        <w:pStyle w:val="FootnoteText"/>
        <w:spacing w:after="0"/>
      </w:pPr>
      <w:r>
        <w:rPr>
          <w:rStyle w:val="FootnoteReference"/>
        </w:rPr>
        <w:footnoteRef/>
      </w:r>
      <w:r w:rsidR="0091557C">
        <w:t xml:space="preserve"> In its </w:t>
      </w:r>
      <w:r w:rsidR="007B698E">
        <w:t>c</w:t>
      </w:r>
      <w:r w:rsidR="0091557C">
        <w:t xml:space="preserve">onsultation </w:t>
      </w:r>
      <w:r w:rsidR="007B698E">
        <w:t>p</w:t>
      </w:r>
      <w:r w:rsidR="0091557C">
        <w:t xml:space="preserve">aper </w:t>
      </w:r>
      <w:r w:rsidR="0091557C" w:rsidRPr="00C22F05">
        <w:rPr>
          <w:i/>
        </w:rPr>
        <w:t>A proposed approach to transition from the 1992 Act to the Radiocommunications Bill</w:t>
      </w:r>
      <w:r w:rsidR="0091557C">
        <w:t xml:space="preserve">, the Department of Communications and the Arts </w:t>
      </w:r>
      <w:r w:rsidR="0006694C">
        <w:t xml:space="preserve">(DoCA) </w:t>
      </w:r>
      <w:r w:rsidR="0091557C">
        <w:t>has identified a number of functions including the accreditation arrangements as elements of the Bill that could operate from commencement. DoCA is seeking stakeholder views on which provisions/elements of the new legislation should start on the commencement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D59BD" w14:textId="77777777" w:rsidR="00C053A1" w:rsidRPr="00A5474E" w:rsidRDefault="00C053A1" w:rsidP="00A5474E">
    <w:pPr>
      <w:pStyle w:val="Header"/>
    </w:pPr>
    <w:r>
      <w:rPr>
        <w:noProof/>
      </w:rPr>
      <w:drawing>
        <wp:inline distT="0" distB="0" distL="0" distR="0" wp14:anchorId="236E1377" wp14:editId="50ED74E0">
          <wp:extent cx="6388100" cy="520700"/>
          <wp:effectExtent l="0" t="0" r="0" b="12700"/>
          <wp:docPr id="2" name="Picture 2"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0D1BC"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1C897" w14:textId="77777777" w:rsidR="00C053A1" w:rsidRDefault="00C053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5C08A" w14:textId="77777777" w:rsidR="00C053A1" w:rsidRDefault="00C053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C3F54CA" w14:textId="77777777" w:rsidTr="003B0421">
      <w:trPr>
        <w:trHeight w:hRule="exact" w:val="988"/>
      </w:trPr>
      <w:tc>
        <w:tcPr>
          <w:tcW w:w="7678" w:type="dxa"/>
          <w:shd w:val="clear" w:color="auto" w:fill="auto"/>
        </w:tcPr>
        <w:p w14:paraId="5B836ED2" w14:textId="77777777" w:rsidR="00971914" w:rsidRDefault="00971914" w:rsidP="00971914">
          <w:pPr>
            <w:pStyle w:val="Header"/>
          </w:pPr>
        </w:p>
      </w:tc>
    </w:tr>
    <w:tr w:rsidR="00971914" w14:paraId="3DDF734E" w14:textId="77777777" w:rsidTr="003B0421">
      <w:tc>
        <w:tcPr>
          <w:tcW w:w="7678" w:type="dxa"/>
          <w:shd w:val="clear" w:color="auto" w:fill="auto"/>
        </w:tcPr>
        <w:p w14:paraId="04A4B5CF" w14:textId="77777777" w:rsidR="00971914" w:rsidRDefault="00971914" w:rsidP="00971914">
          <w:pPr>
            <w:pStyle w:val="GridTable31"/>
          </w:pPr>
          <w:r>
            <w:t xml:space="preserve">Contents </w:t>
          </w:r>
          <w:r w:rsidRPr="00915B1C">
            <w:rPr>
              <w:b w:val="0"/>
              <w:spacing w:val="0"/>
              <w:sz w:val="28"/>
              <w:szCs w:val="28"/>
            </w:rPr>
            <w:t>(Continued)</w:t>
          </w:r>
        </w:p>
      </w:tc>
    </w:tr>
    <w:tr w:rsidR="00971914" w14:paraId="72D1A5FF" w14:textId="77777777" w:rsidTr="003B0421">
      <w:trPr>
        <w:trHeight w:val="1220"/>
      </w:trPr>
      <w:tc>
        <w:tcPr>
          <w:tcW w:w="7678" w:type="dxa"/>
          <w:shd w:val="clear" w:color="auto" w:fill="auto"/>
        </w:tcPr>
        <w:p w14:paraId="40575E83" w14:textId="77777777" w:rsidR="00971914" w:rsidRDefault="00971914" w:rsidP="00971914"/>
      </w:tc>
    </w:tr>
  </w:tbl>
  <w:p w14:paraId="6FDA22BE" w14:textId="77777777" w:rsidR="00971914" w:rsidRDefault="00971914" w:rsidP="009719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CC8F6C5" w14:textId="77777777" w:rsidTr="003B0421">
      <w:trPr>
        <w:trHeight w:hRule="exact" w:val="988"/>
      </w:trPr>
      <w:tc>
        <w:tcPr>
          <w:tcW w:w="7678" w:type="dxa"/>
          <w:shd w:val="clear" w:color="auto" w:fill="auto"/>
        </w:tcPr>
        <w:p w14:paraId="593F4F10" w14:textId="77777777" w:rsidR="00971914" w:rsidRDefault="00971914" w:rsidP="00971914">
          <w:pPr>
            <w:pStyle w:val="Header"/>
          </w:pPr>
        </w:p>
      </w:tc>
    </w:tr>
    <w:tr w:rsidR="00971914" w14:paraId="197A1D0F" w14:textId="77777777" w:rsidTr="003B0421">
      <w:tc>
        <w:tcPr>
          <w:tcW w:w="7678" w:type="dxa"/>
          <w:shd w:val="clear" w:color="auto" w:fill="auto"/>
        </w:tcPr>
        <w:p w14:paraId="74AFDB39" w14:textId="77777777" w:rsidR="00971914" w:rsidRDefault="00971914" w:rsidP="00971914">
          <w:pPr>
            <w:pStyle w:val="GridTable31"/>
          </w:pPr>
          <w:r>
            <w:t xml:space="preserve">Contents </w:t>
          </w:r>
          <w:r w:rsidRPr="00915B1C">
            <w:rPr>
              <w:b w:val="0"/>
              <w:spacing w:val="0"/>
              <w:sz w:val="28"/>
              <w:szCs w:val="28"/>
            </w:rPr>
            <w:t>(Continued)</w:t>
          </w:r>
        </w:p>
      </w:tc>
    </w:tr>
    <w:tr w:rsidR="00971914" w14:paraId="753B2917" w14:textId="77777777" w:rsidTr="003B0421">
      <w:trPr>
        <w:trHeight w:val="1220"/>
      </w:trPr>
      <w:tc>
        <w:tcPr>
          <w:tcW w:w="7678" w:type="dxa"/>
          <w:shd w:val="clear" w:color="auto" w:fill="auto"/>
        </w:tcPr>
        <w:p w14:paraId="7CB98BF5" w14:textId="77777777" w:rsidR="00971914" w:rsidRDefault="00971914" w:rsidP="00971914"/>
      </w:tc>
    </w:tr>
  </w:tbl>
  <w:p w14:paraId="79A4578E" w14:textId="77777777" w:rsidR="00C053A1" w:rsidRPr="00A5474E" w:rsidRDefault="00C053A1" w:rsidP="00A547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5B765" w14:textId="77777777" w:rsidR="00C053A1" w:rsidRDefault="00C053A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4CC49" w14:textId="77777777" w:rsidR="00C053A1" w:rsidRDefault="00C05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12A01E8"/>
    <w:lvl w:ilvl="0">
      <w:start w:val="1"/>
      <w:numFmt w:val="decimal"/>
      <w:lvlText w:val="%1."/>
      <w:lvlJc w:val="left"/>
      <w:pPr>
        <w:tabs>
          <w:tab w:val="num" w:pos="1492"/>
        </w:tabs>
        <w:ind w:left="1492" w:hanging="360"/>
      </w:pPr>
    </w:lvl>
  </w:abstractNum>
  <w:abstractNum w:abstractNumId="1">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nsid w:val="FFFFFF89"/>
    <w:multiLevelType w:val="singleLevel"/>
    <w:tmpl w:val="C03069E2"/>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num>
  <w:num w:numId="6">
    <w:abstractNumId w:val="8"/>
  </w:num>
  <w:num w:numId="7">
    <w:abstractNumId w:val="6"/>
  </w:num>
  <w:num w:numId="8">
    <w:abstractNumId w:val="7"/>
  </w:num>
  <w:num w:numId="9">
    <w:abstractNumId w:val="9"/>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1"/>
  <w:defaultTabStop w:val="284"/>
  <w:evenAndOddHeaders/>
  <w:drawingGridHorizontalSpacing w:val="100"/>
  <w:displayHorizontalDrawingGridEvery w:val="2"/>
  <w:characterSpacingControl w:val="doNotCompress"/>
  <w:hdrShapeDefaults>
    <o:shapedefaults v:ext="edit" spidmax="98305">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A0"/>
    <w:rsid w:val="00007767"/>
    <w:rsid w:val="00010667"/>
    <w:rsid w:val="000129D5"/>
    <w:rsid w:val="00015AE7"/>
    <w:rsid w:val="00016E21"/>
    <w:rsid w:val="0001719C"/>
    <w:rsid w:val="0002224E"/>
    <w:rsid w:val="00023CCE"/>
    <w:rsid w:val="00026F91"/>
    <w:rsid w:val="00030AB5"/>
    <w:rsid w:val="0003426A"/>
    <w:rsid w:val="0004764C"/>
    <w:rsid w:val="0005011A"/>
    <w:rsid w:val="0005045A"/>
    <w:rsid w:val="00051C1E"/>
    <w:rsid w:val="000539F9"/>
    <w:rsid w:val="00054C27"/>
    <w:rsid w:val="00055A1A"/>
    <w:rsid w:val="00055EC3"/>
    <w:rsid w:val="000563CE"/>
    <w:rsid w:val="000659B6"/>
    <w:rsid w:val="0006686F"/>
    <w:rsid w:val="0006694C"/>
    <w:rsid w:val="0006722A"/>
    <w:rsid w:val="000732CF"/>
    <w:rsid w:val="00075B96"/>
    <w:rsid w:val="0008196A"/>
    <w:rsid w:val="000915ED"/>
    <w:rsid w:val="00091DBB"/>
    <w:rsid w:val="0009209D"/>
    <w:rsid w:val="000969BD"/>
    <w:rsid w:val="000969BF"/>
    <w:rsid w:val="00097144"/>
    <w:rsid w:val="000A0C22"/>
    <w:rsid w:val="000A3C43"/>
    <w:rsid w:val="000A4A51"/>
    <w:rsid w:val="000A5D2B"/>
    <w:rsid w:val="000B5DE3"/>
    <w:rsid w:val="000C0A57"/>
    <w:rsid w:val="000C230C"/>
    <w:rsid w:val="000C4CE7"/>
    <w:rsid w:val="000C6AB4"/>
    <w:rsid w:val="000D71D9"/>
    <w:rsid w:val="000D76E0"/>
    <w:rsid w:val="000D7E8B"/>
    <w:rsid w:val="000E4449"/>
    <w:rsid w:val="000E5907"/>
    <w:rsid w:val="000E6097"/>
    <w:rsid w:val="00103829"/>
    <w:rsid w:val="0010615B"/>
    <w:rsid w:val="00106639"/>
    <w:rsid w:val="00111FCE"/>
    <w:rsid w:val="001229A5"/>
    <w:rsid w:val="0012489B"/>
    <w:rsid w:val="00130017"/>
    <w:rsid w:val="00130F91"/>
    <w:rsid w:val="00131B5F"/>
    <w:rsid w:val="00133CDA"/>
    <w:rsid w:val="001349ED"/>
    <w:rsid w:val="00134F97"/>
    <w:rsid w:val="00137424"/>
    <w:rsid w:val="00140318"/>
    <w:rsid w:val="00141AD9"/>
    <w:rsid w:val="00146CE6"/>
    <w:rsid w:val="00152903"/>
    <w:rsid w:val="00153FD5"/>
    <w:rsid w:val="0015614F"/>
    <w:rsid w:val="001576D2"/>
    <w:rsid w:val="001577C2"/>
    <w:rsid w:val="001633C4"/>
    <w:rsid w:val="00171591"/>
    <w:rsid w:val="00173981"/>
    <w:rsid w:val="0017719D"/>
    <w:rsid w:val="00182E17"/>
    <w:rsid w:val="00183A9A"/>
    <w:rsid w:val="00183FD7"/>
    <w:rsid w:val="00184BAD"/>
    <w:rsid w:val="00185CAB"/>
    <w:rsid w:val="001875B7"/>
    <w:rsid w:val="00187CB3"/>
    <w:rsid w:val="0019050A"/>
    <w:rsid w:val="001910D4"/>
    <w:rsid w:val="001976E3"/>
    <w:rsid w:val="001A44EC"/>
    <w:rsid w:val="001B58AA"/>
    <w:rsid w:val="001B7E48"/>
    <w:rsid w:val="001C17CE"/>
    <w:rsid w:val="001C36CA"/>
    <w:rsid w:val="001C44D1"/>
    <w:rsid w:val="001C6AEE"/>
    <w:rsid w:val="001C7630"/>
    <w:rsid w:val="001D6D15"/>
    <w:rsid w:val="001F7558"/>
    <w:rsid w:val="00202017"/>
    <w:rsid w:val="00205B57"/>
    <w:rsid w:val="002157E0"/>
    <w:rsid w:val="00216A57"/>
    <w:rsid w:val="0022334F"/>
    <w:rsid w:val="00226819"/>
    <w:rsid w:val="00226BCA"/>
    <w:rsid w:val="00233101"/>
    <w:rsid w:val="00233817"/>
    <w:rsid w:val="002367FF"/>
    <w:rsid w:val="00240CE9"/>
    <w:rsid w:val="00241AC5"/>
    <w:rsid w:val="002434BA"/>
    <w:rsid w:val="00246089"/>
    <w:rsid w:val="00246093"/>
    <w:rsid w:val="00246702"/>
    <w:rsid w:val="00247C59"/>
    <w:rsid w:val="00247F2E"/>
    <w:rsid w:val="00250ADC"/>
    <w:rsid w:val="00250B07"/>
    <w:rsid w:val="00253B1B"/>
    <w:rsid w:val="00257553"/>
    <w:rsid w:val="00260FB2"/>
    <w:rsid w:val="00262128"/>
    <w:rsid w:val="0027165D"/>
    <w:rsid w:val="00273CEB"/>
    <w:rsid w:val="00280640"/>
    <w:rsid w:val="00281C89"/>
    <w:rsid w:val="0028282F"/>
    <w:rsid w:val="00284109"/>
    <w:rsid w:val="00290AF9"/>
    <w:rsid w:val="0029593B"/>
    <w:rsid w:val="00297FC5"/>
    <w:rsid w:val="002A0417"/>
    <w:rsid w:val="002A16D8"/>
    <w:rsid w:val="002A1BC8"/>
    <w:rsid w:val="002A3EF2"/>
    <w:rsid w:val="002B0DED"/>
    <w:rsid w:val="002B19A2"/>
    <w:rsid w:val="002B1E5D"/>
    <w:rsid w:val="002B381A"/>
    <w:rsid w:val="002B40D2"/>
    <w:rsid w:val="002B4FCC"/>
    <w:rsid w:val="002B5080"/>
    <w:rsid w:val="002B7408"/>
    <w:rsid w:val="002B7CFD"/>
    <w:rsid w:val="002C210F"/>
    <w:rsid w:val="002C2AAF"/>
    <w:rsid w:val="002D3600"/>
    <w:rsid w:val="002E4DDC"/>
    <w:rsid w:val="00302480"/>
    <w:rsid w:val="003121CD"/>
    <w:rsid w:val="003165E6"/>
    <w:rsid w:val="003221CF"/>
    <w:rsid w:val="003233ED"/>
    <w:rsid w:val="00324D9F"/>
    <w:rsid w:val="003261E4"/>
    <w:rsid w:val="00327948"/>
    <w:rsid w:val="0033000F"/>
    <w:rsid w:val="00332011"/>
    <w:rsid w:val="00332518"/>
    <w:rsid w:val="00332925"/>
    <w:rsid w:val="003332ED"/>
    <w:rsid w:val="003368DC"/>
    <w:rsid w:val="00345927"/>
    <w:rsid w:val="00350584"/>
    <w:rsid w:val="00351857"/>
    <w:rsid w:val="00352CD7"/>
    <w:rsid w:val="003545E8"/>
    <w:rsid w:val="0036049E"/>
    <w:rsid w:val="003610E1"/>
    <w:rsid w:val="003665A9"/>
    <w:rsid w:val="003671BE"/>
    <w:rsid w:val="00372485"/>
    <w:rsid w:val="00373200"/>
    <w:rsid w:val="00374ABE"/>
    <w:rsid w:val="00375EF5"/>
    <w:rsid w:val="003767A5"/>
    <w:rsid w:val="00376E9A"/>
    <w:rsid w:val="00380CE9"/>
    <w:rsid w:val="00385254"/>
    <w:rsid w:val="003864A0"/>
    <w:rsid w:val="003A04DB"/>
    <w:rsid w:val="003A5F5B"/>
    <w:rsid w:val="003A789A"/>
    <w:rsid w:val="003B12EC"/>
    <w:rsid w:val="003C1508"/>
    <w:rsid w:val="003C77E0"/>
    <w:rsid w:val="003D17D7"/>
    <w:rsid w:val="003D2678"/>
    <w:rsid w:val="003D71A3"/>
    <w:rsid w:val="003E2B8A"/>
    <w:rsid w:val="003F10EE"/>
    <w:rsid w:val="003F1358"/>
    <w:rsid w:val="003F16F6"/>
    <w:rsid w:val="003F4DC7"/>
    <w:rsid w:val="003F5235"/>
    <w:rsid w:val="004027E4"/>
    <w:rsid w:val="00405098"/>
    <w:rsid w:val="0040691A"/>
    <w:rsid w:val="0041071D"/>
    <w:rsid w:val="00410D7A"/>
    <w:rsid w:val="00414AFC"/>
    <w:rsid w:val="004151A7"/>
    <w:rsid w:val="00415310"/>
    <w:rsid w:val="00421709"/>
    <w:rsid w:val="00423763"/>
    <w:rsid w:val="0042762F"/>
    <w:rsid w:val="00427DC7"/>
    <w:rsid w:val="00431613"/>
    <w:rsid w:val="00431792"/>
    <w:rsid w:val="0043297A"/>
    <w:rsid w:val="00432EB2"/>
    <w:rsid w:val="00434DAD"/>
    <w:rsid w:val="0043714F"/>
    <w:rsid w:val="004438B5"/>
    <w:rsid w:val="004452C1"/>
    <w:rsid w:val="00447037"/>
    <w:rsid w:val="004476B7"/>
    <w:rsid w:val="0045124D"/>
    <w:rsid w:val="00454596"/>
    <w:rsid w:val="0045605D"/>
    <w:rsid w:val="0046037F"/>
    <w:rsid w:val="0046135B"/>
    <w:rsid w:val="00461D47"/>
    <w:rsid w:val="004718CC"/>
    <w:rsid w:val="00481695"/>
    <w:rsid w:val="00483FDB"/>
    <w:rsid w:val="00495A96"/>
    <w:rsid w:val="00495BB3"/>
    <w:rsid w:val="004A56BB"/>
    <w:rsid w:val="004B1751"/>
    <w:rsid w:val="004C0253"/>
    <w:rsid w:val="004C6CB8"/>
    <w:rsid w:val="004D404C"/>
    <w:rsid w:val="004D56FF"/>
    <w:rsid w:val="004E39D3"/>
    <w:rsid w:val="004E508A"/>
    <w:rsid w:val="004E616D"/>
    <w:rsid w:val="004F1BDE"/>
    <w:rsid w:val="004F2CEE"/>
    <w:rsid w:val="004F556E"/>
    <w:rsid w:val="004F7F44"/>
    <w:rsid w:val="005037B4"/>
    <w:rsid w:val="005079BF"/>
    <w:rsid w:val="0051269A"/>
    <w:rsid w:val="005219E7"/>
    <w:rsid w:val="00523619"/>
    <w:rsid w:val="00531B9A"/>
    <w:rsid w:val="00531D15"/>
    <w:rsid w:val="00537604"/>
    <w:rsid w:val="00542377"/>
    <w:rsid w:val="005442A4"/>
    <w:rsid w:val="005476EB"/>
    <w:rsid w:val="00550A58"/>
    <w:rsid w:val="00551782"/>
    <w:rsid w:val="00563EF1"/>
    <w:rsid w:val="00563FEE"/>
    <w:rsid w:val="00566AB4"/>
    <w:rsid w:val="00575AC5"/>
    <w:rsid w:val="0057605D"/>
    <w:rsid w:val="00581347"/>
    <w:rsid w:val="00581AC9"/>
    <w:rsid w:val="005849F8"/>
    <w:rsid w:val="00591C13"/>
    <w:rsid w:val="005938DF"/>
    <w:rsid w:val="00594E9C"/>
    <w:rsid w:val="005A099B"/>
    <w:rsid w:val="005A2D9C"/>
    <w:rsid w:val="005A55FE"/>
    <w:rsid w:val="005A6A11"/>
    <w:rsid w:val="005B2973"/>
    <w:rsid w:val="005B3B3B"/>
    <w:rsid w:val="005B508B"/>
    <w:rsid w:val="005C744A"/>
    <w:rsid w:val="005C75B7"/>
    <w:rsid w:val="005D2502"/>
    <w:rsid w:val="005D40BB"/>
    <w:rsid w:val="005D47F3"/>
    <w:rsid w:val="005D49BF"/>
    <w:rsid w:val="005D6F4E"/>
    <w:rsid w:val="005D7C73"/>
    <w:rsid w:val="005E3845"/>
    <w:rsid w:val="005E3ACD"/>
    <w:rsid w:val="005E7226"/>
    <w:rsid w:val="005E7A57"/>
    <w:rsid w:val="005F24B0"/>
    <w:rsid w:val="005F413B"/>
    <w:rsid w:val="006006E4"/>
    <w:rsid w:val="00604315"/>
    <w:rsid w:val="00604E26"/>
    <w:rsid w:val="006052CF"/>
    <w:rsid w:val="00607B8D"/>
    <w:rsid w:val="00611F5C"/>
    <w:rsid w:val="00616E09"/>
    <w:rsid w:val="00617AE5"/>
    <w:rsid w:val="00621B7B"/>
    <w:rsid w:val="00622A3B"/>
    <w:rsid w:val="00622EEA"/>
    <w:rsid w:val="0062396C"/>
    <w:rsid w:val="00623FF9"/>
    <w:rsid w:val="00627D4E"/>
    <w:rsid w:val="00634478"/>
    <w:rsid w:val="006410BB"/>
    <w:rsid w:val="00644373"/>
    <w:rsid w:val="006457A3"/>
    <w:rsid w:val="00645915"/>
    <w:rsid w:val="006519C3"/>
    <w:rsid w:val="00652B30"/>
    <w:rsid w:val="00656345"/>
    <w:rsid w:val="00656DC6"/>
    <w:rsid w:val="00660EC6"/>
    <w:rsid w:val="00662884"/>
    <w:rsid w:val="00664110"/>
    <w:rsid w:val="00664D17"/>
    <w:rsid w:val="00666520"/>
    <w:rsid w:val="00667C5B"/>
    <w:rsid w:val="006706C7"/>
    <w:rsid w:val="00692CDE"/>
    <w:rsid w:val="00693073"/>
    <w:rsid w:val="006977FF"/>
    <w:rsid w:val="006A01FA"/>
    <w:rsid w:val="006A0E9E"/>
    <w:rsid w:val="006A25C7"/>
    <w:rsid w:val="006A4AAD"/>
    <w:rsid w:val="006A6DA2"/>
    <w:rsid w:val="006A7AB2"/>
    <w:rsid w:val="006B5717"/>
    <w:rsid w:val="006B582F"/>
    <w:rsid w:val="006C0CEB"/>
    <w:rsid w:val="006C2C15"/>
    <w:rsid w:val="006C3B1E"/>
    <w:rsid w:val="006C47FD"/>
    <w:rsid w:val="006C5C19"/>
    <w:rsid w:val="006C6434"/>
    <w:rsid w:val="006C70A0"/>
    <w:rsid w:val="006D27CB"/>
    <w:rsid w:val="006D2F08"/>
    <w:rsid w:val="006D576C"/>
    <w:rsid w:val="006D5865"/>
    <w:rsid w:val="006E4B1B"/>
    <w:rsid w:val="006E5445"/>
    <w:rsid w:val="006E7D93"/>
    <w:rsid w:val="007029A3"/>
    <w:rsid w:val="00706E4E"/>
    <w:rsid w:val="0070791C"/>
    <w:rsid w:val="0071258D"/>
    <w:rsid w:val="0071383C"/>
    <w:rsid w:val="007141A7"/>
    <w:rsid w:val="00715722"/>
    <w:rsid w:val="00721032"/>
    <w:rsid w:val="00721B55"/>
    <w:rsid w:val="00726CE4"/>
    <w:rsid w:val="00727E2A"/>
    <w:rsid w:val="00734143"/>
    <w:rsid w:val="00735D06"/>
    <w:rsid w:val="00737E47"/>
    <w:rsid w:val="00740EAC"/>
    <w:rsid w:val="00744019"/>
    <w:rsid w:val="00744956"/>
    <w:rsid w:val="00745A5C"/>
    <w:rsid w:val="0074605F"/>
    <w:rsid w:val="00747E94"/>
    <w:rsid w:val="00753AD7"/>
    <w:rsid w:val="00754C83"/>
    <w:rsid w:val="00765DF8"/>
    <w:rsid w:val="00766749"/>
    <w:rsid w:val="00767C1B"/>
    <w:rsid w:val="007714A9"/>
    <w:rsid w:val="00774908"/>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698E"/>
    <w:rsid w:val="007B7980"/>
    <w:rsid w:val="007C0DEF"/>
    <w:rsid w:val="007C3991"/>
    <w:rsid w:val="007C5D5A"/>
    <w:rsid w:val="007C607F"/>
    <w:rsid w:val="007C79DD"/>
    <w:rsid w:val="007D0D1D"/>
    <w:rsid w:val="007D1A97"/>
    <w:rsid w:val="007D2CD6"/>
    <w:rsid w:val="007D3063"/>
    <w:rsid w:val="007D397D"/>
    <w:rsid w:val="007D3CEB"/>
    <w:rsid w:val="007E709A"/>
    <w:rsid w:val="007E7683"/>
    <w:rsid w:val="007F49FA"/>
    <w:rsid w:val="007F54C4"/>
    <w:rsid w:val="007F6E9A"/>
    <w:rsid w:val="008044D4"/>
    <w:rsid w:val="00810AB4"/>
    <w:rsid w:val="00817B07"/>
    <w:rsid w:val="00817B34"/>
    <w:rsid w:val="00817B56"/>
    <w:rsid w:val="00821A88"/>
    <w:rsid w:val="0082495D"/>
    <w:rsid w:val="00831AC3"/>
    <w:rsid w:val="008408FF"/>
    <w:rsid w:val="0085154B"/>
    <w:rsid w:val="00851F3F"/>
    <w:rsid w:val="00856EDC"/>
    <w:rsid w:val="008604A4"/>
    <w:rsid w:val="008623B5"/>
    <w:rsid w:val="00863326"/>
    <w:rsid w:val="00870ABA"/>
    <w:rsid w:val="008710E1"/>
    <w:rsid w:val="008716E5"/>
    <w:rsid w:val="00881165"/>
    <w:rsid w:val="00881CA9"/>
    <w:rsid w:val="00883628"/>
    <w:rsid w:val="00885544"/>
    <w:rsid w:val="0088634E"/>
    <w:rsid w:val="00886436"/>
    <w:rsid w:val="00893AB8"/>
    <w:rsid w:val="00894A20"/>
    <w:rsid w:val="008A04C8"/>
    <w:rsid w:val="008A6913"/>
    <w:rsid w:val="008B3E62"/>
    <w:rsid w:val="008B70F3"/>
    <w:rsid w:val="008B76DF"/>
    <w:rsid w:val="008C10F4"/>
    <w:rsid w:val="008C65F7"/>
    <w:rsid w:val="008E4767"/>
    <w:rsid w:val="008E7A8C"/>
    <w:rsid w:val="00903285"/>
    <w:rsid w:val="00903B7D"/>
    <w:rsid w:val="00906F40"/>
    <w:rsid w:val="00906F62"/>
    <w:rsid w:val="0090731E"/>
    <w:rsid w:val="0091557C"/>
    <w:rsid w:val="00915B1C"/>
    <w:rsid w:val="009174F3"/>
    <w:rsid w:val="0091797D"/>
    <w:rsid w:val="00920802"/>
    <w:rsid w:val="00923CBA"/>
    <w:rsid w:val="00926703"/>
    <w:rsid w:val="00927691"/>
    <w:rsid w:val="00927A5F"/>
    <w:rsid w:val="00935B63"/>
    <w:rsid w:val="0093659B"/>
    <w:rsid w:val="0094078F"/>
    <w:rsid w:val="00940FA3"/>
    <w:rsid w:val="00941FB0"/>
    <w:rsid w:val="009426D4"/>
    <w:rsid w:val="00947F25"/>
    <w:rsid w:val="00950159"/>
    <w:rsid w:val="0095490B"/>
    <w:rsid w:val="00960A33"/>
    <w:rsid w:val="00960D59"/>
    <w:rsid w:val="00965D2F"/>
    <w:rsid w:val="00971914"/>
    <w:rsid w:val="00974363"/>
    <w:rsid w:val="0097672E"/>
    <w:rsid w:val="00977E4A"/>
    <w:rsid w:val="00981898"/>
    <w:rsid w:val="0099577C"/>
    <w:rsid w:val="00997B94"/>
    <w:rsid w:val="009A26FA"/>
    <w:rsid w:val="009B2601"/>
    <w:rsid w:val="009B4E9E"/>
    <w:rsid w:val="009C0E21"/>
    <w:rsid w:val="009C1690"/>
    <w:rsid w:val="009C6881"/>
    <w:rsid w:val="009C7759"/>
    <w:rsid w:val="009D043D"/>
    <w:rsid w:val="009D0630"/>
    <w:rsid w:val="009D07C8"/>
    <w:rsid w:val="009D34C4"/>
    <w:rsid w:val="009D6C71"/>
    <w:rsid w:val="009E0631"/>
    <w:rsid w:val="009E16D0"/>
    <w:rsid w:val="009E38FD"/>
    <w:rsid w:val="009F13D6"/>
    <w:rsid w:val="009F387B"/>
    <w:rsid w:val="009F4C6B"/>
    <w:rsid w:val="009F78A8"/>
    <w:rsid w:val="00A00A90"/>
    <w:rsid w:val="00A02AD6"/>
    <w:rsid w:val="00A0315F"/>
    <w:rsid w:val="00A07096"/>
    <w:rsid w:val="00A07318"/>
    <w:rsid w:val="00A11370"/>
    <w:rsid w:val="00A224CE"/>
    <w:rsid w:val="00A22522"/>
    <w:rsid w:val="00A24AFD"/>
    <w:rsid w:val="00A24F5C"/>
    <w:rsid w:val="00A32F96"/>
    <w:rsid w:val="00A40871"/>
    <w:rsid w:val="00A412AB"/>
    <w:rsid w:val="00A4193E"/>
    <w:rsid w:val="00A440E0"/>
    <w:rsid w:val="00A442EF"/>
    <w:rsid w:val="00A51D1A"/>
    <w:rsid w:val="00A5418D"/>
    <w:rsid w:val="00A5474E"/>
    <w:rsid w:val="00A61D09"/>
    <w:rsid w:val="00A6313F"/>
    <w:rsid w:val="00A70A64"/>
    <w:rsid w:val="00A70ADF"/>
    <w:rsid w:val="00A71466"/>
    <w:rsid w:val="00A74B5E"/>
    <w:rsid w:val="00A81BED"/>
    <w:rsid w:val="00A81EC4"/>
    <w:rsid w:val="00A86D7E"/>
    <w:rsid w:val="00A92B9A"/>
    <w:rsid w:val="00A967FD"/>
    <w:rsid w:val="00AA02CC"/>
    <w:rsid w:val="00AB08EC"/>
    <w:rsid w:val="00AB156C"/>
    <w:rsid w:val="00AB6814"/>
    <w:rsid w:val="00AC04BA"/>
    <w:rsid w:val="00AC0E39"/>
    <w:rsid w:val="00AC36C3"/>
    <w:rsid w:val="00AD3082"/>
    <w:rsid w:val="00AD4AD0"/>
    <w:rsid w:val="00AD5436"/>
    <w:rsid w:val="00AD60CD"/>
    <w:rsid w:val="00AD6C8C"/>
    <w:rsid w:val="00AE091D"/>
    <w:rsid w:val="00AE3B60"/>
    <w:rsid w:val="00AE53A1"/>
    <w:rsid w:val="00AF2484"/>
    <w:rsid w:val="00AF63E7"/>
    <w:rsid w:val="00AF6E17"/>
    <w:rsid w:val="00B0165D"/>
    <w:rsid w:val="00B01B60"/>
    <w:rsid w:val="00B031F3"/>
    <w:rsid w:val="00B052A4"/>
    <w:rsid w:val="00B125DE"/>
    <w:rsid w:val="00B13FDD"/>
    <w:rsid w:val="00B17705"/>
    <w:rsid w:val="00B22759"/>
    <w:rsid w:val="00B22EB2"/>
    <w:rsid w:val="00B27442"/>
    <w:rsid w:val="00B31167"/>
    <w:rsid w:val="00B329D8"/>
    <w:rsid w:val="00B32BB9"/>
    <w:rsid w:val="00B33AE1"/>
    <w:rsid w:val="00B33CC9"/>
    <w:rsid w:val="00B37C38"/>
    <w:rsid w:val="00B4288C"/>
    <w:rsid w:val="00B43262"/>
    <w:rsid w:val="00B43A8B"/>
    <w:rsid w:val="00B44100"/>
    <w:rsid w:val="00B46CBA"/>
    <w:rsid w:val="00B46F94"/>
    <w:rsid w:val="00B56412"/>
    <w:rsid w:val="00B57FD9"/>
    <w:rsid w:val="00B6003C"/>
    <w:rsid w:val="00B61F03"/>
    <w:rsid w:val="00B626E4"/>
    <w:rsid w:val="00B72F4A"/>
    <w:rsid w:val="00B83C27"/>
    <w:rsid w:val="00B84BC3"/>
    <w:rsid w:val="00B84BDD"/>
    <w:rsid w:val="00B84CAB"/>
    <w:rsid w:val="00B92812"/>
    <w:rsid w:val="00B92D4A"/>
    <w:rsid w:val="00B93266"/>
    <w:rsid w:val="00B97D26"/>
    <w:rsid w:val="00BB27F6"/>
    <w:rsid w:val="00BB2D2C"/>
    <w:rsid w:val="00BB45A1"/>
    <w:rsid w:val="00BB7686"/>
    <w:rsid w:val="00BC23F9"/>
    <w:rsid w:val="00BC3421"/>
    <w:rsid w:val="00BC732C"/>
    <w:rsid w:val="00BD30A5"/>
    <w:rsid w:val="00BD34BE"/>
    <w:rsid w:val="00BE2580"/>
    <w:rsid w:val="00BE266D"/>
    <w:rsid w:val="00BE3938"/>
    <w:rsid w:val="00BE4C11"/>
    <w:rsid w:val="00BE71C0"/>
    <w:rsid w:val="00BF610C"/>
    <w:rsid w:val="00C0060B"/>
    <w:rsid w:val="00C0277D"/>
    <w:rsid w:val="00C038E5"/>
    <w:rsid w:val="00C053A1"/>
    <w:rsid w:val="00C16198"/>
    <w:rsid w:val="00C2083D"/>
    <w:rsid w:val="00C22F05"/>
    <w:rsid w:val="00C24A53"/>
    <w:rsid w:val="00C34A05"/>
    <w:rsid w:val="00C4032F"/>
    <w:rsid w:val="00C44047"/>
    <w:rsid w:val="00C45155"/>
    <w:rsid w:val="00C5498F"/>
    <w:rsid w:val="00C55235"/>
    <w:rsid w:val="00C60CF1"/>
    <w:rsid w:val="00C64CD0"/>
    <w:rsid w:val="00C6684F"/>
    <w:rsid w:val="00C70E70"/>
    <w:rsid w:val="00C75F8D"/>
    <w:rsid w:val="00C76FC9"/>
    <w:rsid w:val="00C77380"/>
    <w:rsid w:val="00C90311"/>
    <w:rsid w:val="00C9644C"/>
    <w:rsid w:val="00C97736"/>
    <w:rsid w:val="00CA345A"/>
    <w:rsid w:val="00CA381C"/>
    <w:rsid w:val="00CB1E82"/>
    <w:rsid w:val="00CB2B58"/>
    <w:rsid w:val="00CB4BA8"/>
    <w:rsid w:val="00CB52D7"/>
    <w:rsid w:val="00CB7BDE"/>
    <w:rsid w:val="00CC6732"/>
    <w:rsid w:val="00CC7096"/>
    <w:rsid w:val="00CD46F5"/>
    <w:rsid w:val="00CE3C96"/>
    <w:rsid w:val="00CE51A8"/>
    <w:rsid w:val="00CE699B"/>
    <w:rsid w:val="00CF369B"/>
    <w:rsid w:val="00D00E28"/>
    <w:rsid w:val="00D0269E"/>
    <w:rsid w:val="00D04F2C"/>
    <w:rsid w:val="00D15810"/>
    <w:rsid w:val="00D163E9"/>
    <w:rsid w:val="00D16D4E"/>
    <w:rsid w:val="00D16FE3"/>
    <w:rsid w:val="00D22C25"/>
    <w:rsid w:val="00D23C69"/>
    <w:rsid w:val="00D27F41"/>
    <w:rsid w:val="00D36441"/>
    <w:rsid w:val="00D4064E"/>
    <w:rsid w:val="00D44E9B"/>
    <w:rsid w:val="00D4660A"/>
    <w:rsid w:val="00D47AEB"/>
    <w:rsid w:val="00D50DB9"/>
    <w:rsid w:val="00D51302"/>
    <w:rsid w:val="00D52C43"/>
    <w:rsid w:val="00D6507F"/>
    <w:rsid w:val="00D730BC"/>
    <w:rsid w:val="00D73912"/>
    <w:rsid w:val="00D85226"/>
    <w:rsid w:val="00D87B94"/>
    <w:rsid w:val="00D92D49"/>
    <w:rsid w:val="00D92EC1"/>
    <w:rsid w:val="00D96DEA"/>
    <w:rsid w:val="00DA4E41"/>
    <w:rsid w:val="00DB117A"/>
    <w:rsid w:val="00DB5173"/>
    <w:rsid w:val="00DB657A"/>
    <w:rsid w:val="00DB7873"/>
    <w:rsid w:val="00DC187B"/>
    <w:rsid w:val="00DD0430"/>
    <w:rsid w:val="00DD73C2"/>
    <w:rsid w:val="00DE114A"/>
    <w:rsid w:val="00DE319B"/>
    <w:rsid w:val="00DE4735"/>
    <w:rsid w:val="00DF2DED"/>
    <w:rsid w:val="00DF34FE"/>
    <w:rsid w:val="00DF56AA"/>
    <w:rsid w:val="00DF56AF"/>
    <w:rsid w:val="00DF78E7"/>
    <w:rsid w:val="00E110E0"/>
    <w:rsid w:val="00E15371"/>
    <w:rsid w:val="00E16365"/>
    <w:rsid w:val="00E16710"/>
    <w:rsid w:val="00E21663"/>
    <w:rsid w:val="00E24104"/>
    <w:rsid w:val="00E27A6F"/>
    <w:rsid w:val="00E302D0"/>
    <w:rsid w:val="00E35707"/>
    <w:rsid w:val="00E365E8"/>
    <w:rsid w:val="00E36AA1"/>
    <w:rsid w:val="00E41ECB"/>
    <w:rsid w:val="00E54FDB"/>
    <w:rsid w:val="00E5617D"/>
    <w:rsid w:val="00E563D7"/>
    <w:rsid w:val="00E57EBA"/>
    <w:rsid w:val="00E65F55"/>
    <w:rsid w:val="00E663F4"/>
    <w:rsid w:val="00E666F2"/>
    <w:rsid w:val="00E66DD4"/>
    <w:rsid w:val="00E73CD3"/>
    <w:rsid w:val="00E748CC"/>
    <w:rsid w:val="00E75415"/>
    <w:rsid w:val="00E75CBE"/>
    <w:rsid w:val="00E775B1"/>
    <w:rsid w:val="00E8152A"/>
    <w:rsid w:val="00E93629"/>
    <w:rsid w:val="00E93B5C"/>
    <w:rsid w:val="00E94CEC"/>
    <w:rsid w:val="00EA04EF"/>
    <w:rsid w:val="00EA43A0"/>
    <w:rsid w:val="00EA6F19"/>
    <w:rsid w:val="00EB7090"/>
    <w:rsid w:val="00EC1BBE"/>
    <w:rsid w:val="00EC5CD7"/>
    <w:rsid w:val="00EE5FB3"/>
    <w:rsid w:val="00EE7F79"/>
    <w:rsid w:val="00EF715A"/>
    <w:rsid w:val="00F06E14"/>
    <w:rsid w:val="00F179D4"/>
    <w:rsid w:val="00F33C56"/>
    <w:rsid w:val="00F346DC"/>
    <w:rsid w:val="00F347C7"/>
    <w:rsid w:val="00F34848"/>
    <w:rsid w:val="00F42D46"/>
    <w:rsid w:val="00F4496C"/>
    <w:rsid w:val="00F44F3A"/>
    <w:rsid w:val="00F51F10"/>
    <w:rsid w:val="00F529A5"/>
    <w:rsid w:val="00F60F00"/>
    <w:rsid w:val="00F614C0"/>
    <w:rsid w:val="00F66A43"/>
    <w:rsid w:val="00F71928"/>
    <w:rsid w:val="00F824D7"/>
    <w:rsid w:val="00F83848"/>
    <w:rsid w:val="00F84558"/>
    <w:rsid w:val="00F975E9"/>
    <w:rsid w:val="00FA1B7D"/>
    <w:rsid w:val="00FA3B3B"/>
    <w:rsid w:val="00FC07B9"/>
    <w:rsid w:val="00FC4E21"/>
    <w:rsid w:val="00FC5F6D"/>
    <w:rsid w:val="00FC7EEC"/>
    <w:rsid w:val="00FD0107"/>
    <w:rsid w:val="00FD2C2F"/>
    <w:rsid w:val="00FD3B31"/>
    <w:rsid w:val="00FD4492"/>
    <w:rsid w:val="00FE1823"/>
    <w:rsid w:val="00FE1D1B"/>
    <w:rsid w:val="00FE487A"/>
    <w:rsid w:val="00FF0569"/>
    <w:rsid w:val="00FF206E"/>
    <w:rsid w:val="00FF3C69"/>
    <w:rsid w:val="00FF42B8"/>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colormru v:ext="edit" colors="red,#4d4d4f"/>
    </o:shapedefaults>
    <o:shapelayout v:ext="edit">
      <o:idmap v:ext="edit" data="1"/>
    </o:shapelayout>
  </w:shapeDefaults>
  <w:decimalSymbol w:val="."/>
  <w:listSeparator w:val=","/>
  <w14:docId w14:val="4C98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basedOn w:val="Normal"/>
    <w:semiHidden/>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paragraph" w:styleId="ListParagraph">
    <w:name w:val="List Paragraph"/>
    <w:basedOn w:val="Normal"/>
    <w:uiPriority w:val="34"/>
    <w:qFormat/>
    <w:rsid w:val="003864A0"/>
    <w:pPr>
      <w:spacing w:after="160" w:line="259" w:lineRule="auto"/>
      <w:ind w:left="720"/>
      <w:contextualSpacing/>
    </w:pPr>
    <w:rPr>
      <w:rFonts w:asciiTheme="minorHAnsi" w:eastAsiaTheme="minorHAnsi" w:hAnsiTheme="minorHAnsi" w:cstheme="minorBidi"/>
      <w:sz w:val="22"/>
      <w:szCs w:val="22"/>
      <w:lang w:eastAsia="en-US"/>
    </w:rPr>
  </w:style>
  <w:style w:type="paragraph" w:styleId="Revision">
    <w:name w:val="Revision"/>
    <w:hidden/>
    <w:semiHidden/>
    <w:rsid w:val="00DE4735"/>
    <w:rPr>
      <w:rFonts w:ascii="Arial" w:hAnsi="Arial"/>
      <w:sz w:val="20"/>
    </w:rPr>
  </w:style>
  <w:style w:type="character" w:customStyle="1" w:styleId="Heading1Char">
    <w:name w:val="Heading 1 Char"/>
    <w:basedOn w:val="DefaultParagraphFont"/>
    <w:link w:val="Heading1"/>
    <w:rsid w:val="003C1508"/>
    <w:rPr>
      <w:rFonts w:ascii="Arial" w:hAnsi="Arial" w:cs="Arial"/>
      <w:bCs/>
      <w:color w:val="323232"/>
      <w:kern w:val="32"/>
      <w:sz w:val="53"/>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reativecommons.org/licenses/by/3.0/au/"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eader" Target="header7.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andinfo@acma.gov.au"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communications.govcms.gov.au/publications/spectrum-review-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D3D5197BC6B04CA7E0EE3B16282BB8" ma:contentTypeVersion="0" ma:contentTypeDescription="Create a new document." ma:contentTypeScope="" ma:versionID="bb49ad8d6df63b1e1fcef373bc13f4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6EA90A-BF45-4BB7-9987-A969FA2E4941}"/>
</file>

<file path=customXml/itemProps2.xml><?xml version="1.0" encoding="utf-8"?>
<ds:datastoreItem xmlns:ds="http://schemas.openxmlformats.org/officeDocument/2006/customXml" ds:itemID="{CA28795E-6013-4D5E-B11B-E8A157931C1F}"/>
</file>

<file path=customXml/itemProps3.xml><?xml version="1.0" encoding="utf-8"?>
<ds:datastoreItem xmlns:ds="http://schemas.openxmlformats.org/officeDocument/2006/customXml" ds:itemID="{FB3A4C7C-877C-41CA-8E3F-D5EC6CA74229}"/>
</file>

<file path=customXml/itemProps4.xml><?xml version="1.0" encoding="utf-8"?>
<ds:datastoreItem xmlns:ds="http://schemas.openxmlformats.org/officeDocument/2006/customXml" ds:itemID="{90BDC4A0-A971-439E-8E29-7656F3FB0520}"/>
</file>

<file path=docProps/app.xml><?xml version="1.0" encoding="utf-8"?>
<Properties xmlns="http://schemas.openxmlformats.org/officeDocument/2006/extended-properties" xmlns:vt="http://schemas.openxmlformats.org/officeDocument/2006/docPropsVTypes">
  <Template>Normal</Template>
  <TotalTime>0</TotalTime>
  <Pages>13</Pages>
  <Words>2699</Words>
  <Characters>15390</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2017-04-27T02:16:00Z</dcterms:created>
  <dcterms:modified xsi:type="dcterms:W3CDTF">2017-05-04T23:03:00Z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0x010100F7D3D5197BC6B04CA7E0EE3B16282BB8</vt:lpwstr>
  </property>
  <property fmtid="{D5CDD505-2E9C-101B-9397-08002B2CF9AE}" pid="3" name="TrimRevisionNumber">
    <vt:i4>1</vt:i4>
  </property>
</Properties>
</file>