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047079">
          <w:footerReference w:type="default" r:id="rId8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2D8DACE" wp14:editId="044F0820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262201" w:rsidRDefault="00262201" w:rsidP="00262201">
      <w:pPr>
        <w:pStyle w:val="Heading1"/>
      </w:pPr>
      <w:r>
        <w:lastRenderedPageBreak/>
        <w:t>Australia’s Diverse Communications Landscape</w:t>
      </w:r>
    </w:p>
    <w:p w:rsidR="00262201" w:rsidRDefault="00262201" w:rsidP="00262201">
      <w:pPr>
        <w:pStyle w:val="Heading2"/>
      </w:pPr>
      <w:r>
        <w:t>Schools of the air</w:t>
      </w:r>
    </w:p>
    <w:p w:rsidR="00262201" w:rsidRDefault="00262201" w:rsidP="00262201">
      <w:pPr>
        <w:pStyle w:val="ListParagraph"/>
        <w:numPr>
          <w:ilvl w:val="0"/>
          <w:numId w:val="15"/>
        </w:numPr>
        <w:spacing w:after="160" w:line="259" w:lineRule="auto"/>
      </w:pPr>
      <w:r>
        <w:t>The Alice Springs School of the Air is the world’s largest classroom, covering 1.3 million square kilometres.</w:t>
      </w:r>
      <w:bookmarkStart w:id="0" w:name="_GoBack"/>
      <w:bookmarkEnd w:id="0"/>
    </w:p>
    <w:p w:rsidR="00262201" w:rsidRDefault="00262201" w:rsidP="00262201">
      <w:pPr>
        <w:pStyle w:val="Heading2"/>
      </w:pPr>
      <w:r>
        <w:t>Payphone services</w:t>
      </w:r>
    </w:p>
    <w:p w:rsidR="00262201" w:rsidRDefault="00262201" w:rsidP="00262201">
      <w:pPr>
        <w:pStyle w:val="ListParagraph"/>
        <w:numPr>
          <w:ilvl w:val="0"/>
          <w:numId w:val="16"/>
        </w:numPr>
        <w:spacing w:after="160" w:line="259" w:lineRule="auto"/>
      </w:pPr>
      <w:r>
        <w:t>We have 25,876 operational payphones located across Australia.</w:t>
      </w:r>
    </w:p>
    <w:p w:rsidR="00262201" w:rsidRDefault="00262201" w:rsidP="00262201">
      <w:pPr>
        <w:pStyle w:val="Heading2"/>
      </w:pPr>
      <w:r>
        <w:t>Deep space communications</w:t>
      </w:r>
    </w:p>
    <w:p w:rsidR="00262201" w:rsidRDefault="00262201" w:rsidP="00262201">
      <w:pPr>
        <w:pStyle w:val="ListParagraph"/>
        <w:numPr>
          <w:ilvl w:val="0"/>
          <w:numId w:val="17"/>
        </w:numPr>
        <w:spacing w:after="160" w:line="259" w:lineRule="auto"/>
      </w:pPr>
      <w:r>
        <w:t>Australia operates one of only three NASA Deep Space Tracking Stations in the world. It’s located in Tidbinbilla ACT.</w:t>
      </w:r>
    </w:p>
    <w:p w:rsidR="00262201" w:rsidRDefault="00262201" w:rsidP="00262201">
      <w:pPr>
        <w:pStyle w:val="Heading2"/>
      </w:pPr>
      <w:r>
        <w:t>Mobile coverage</w:t>
      </w:r>
    </w:p>
    <w:p w:rsidR="00262201" w:rsidRDefault="00262201" w:rsidP="00262201">
      <w:pPr>
        <w:pStyle w:val="ListParagraph"/>
        <w:numPr>
          <w:ilvl w:val="0"/>
          <w:numId w:val="17"/>
        </w:numPr>
        <w:spacing w:after="160" w:line="259" w:lineRule="auto"/>
      </w:pPr>
      <w:r>
        <w:t>Our mobile providers collectively claim to provide mobile coverage to over 99% of the Australian population – which equates to around 30% of our landmass!</w:t>
      </w:r>
    </w:p>
    <w:p w:rsidR="00262201" w:rsidRDefault="00262201" w:rsidP="00262201">
      <w:pPr>
        <w:pStyle w:val="Heading2"/>
      </w:pPr>
      <w:r>
        <w:t>Australia Post</w:t>
      </w:r>
    </w:p>
    <w:p w:rsidR="00262201" w:rsidRDefault="00262201" w:rsidP="00262201">
      <w:pPr>
        <w:pStyle w:val="ListParagraph"/>
        <w:numPr>
          <w:ilvl w:val="0"/>
          <w:numId w:val="17"/>
        </w:numPr>
        <w:spacing w:after="160" w:line="259" w:lineRule="auto"/>
      </w:pPr>
      <w:r>
        <w:t>11,000+ Australia Post vehicles travelled more than 350 million kilometres in 2014-15. This is further than travelling to the sun and back!</w:t>
      </w:r>
    </w:p>
    <w:p w:rsidR="00262201" w:rsidRDefault="00262201" w:rsidP="00262201">
      <w:pPr>
        <w:pStyle w:val="Heading2"/>
      </w:pPr>
      <w:r>
        <w:t>Submarine Cables</w:t>
      </w:r>
    </w:p>
    <w:p w:rsidR="00262201" w:rsidRDefault="00262201" w:rsidP="00262201">
      <w:pPr>
        <w:pStyle w:val="ListParagraph"/>
        <w:numPr>
          <w:ilvl w:val="0"/>
          <w:numId w:val="17"/>
        </w:numPr>
        <w:spacing w:after="160" w:line="259" w:lineRule="auto"/>
      </w:pPr>
      <w:r>
        <w:t>11 submarine cables connect us to the world.</w:t>
      </w:r>
    </w:p>
    <w:p w:rsidR="00262201" w:rsidRDefault="00262201" w:rsidP="00262201">
      <w:pPr>
        <w:pStyle w:val="Heading2"/>
      </w:pPr>
      <w:r>
        <w:t>References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Alice Springs School of the Air: </w:t>
      </w:r>
      <w:hyperlink r:id="rId10" w:history="1">
        <w:r w:rsidRPr="00356C70">
          <w:rPr>
            <w:rStyle w:val="Hyperlink"/>
          </w:rPr>
          <w:t>Overview – Visitor Centre</w:t>
        </w:r>
      </w:hyperlink>
      <w:r>
        <w:t xml:space="preserve"> 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Australian Communications and Media Authority: </w:t>
      </w:r>
      <w:hyperlink r:id="rId11" w:anchor="service" w:history="1">
        <w:r w:rsidRPr="00356C70">
          <w:rPr>
            <w:rStyle w:val="Hyperlink"/>
          </w:rPr>
          <w:t>Payphones</w:t>
        </w:r>
      </w:hyperlink>
      <w:r>
        <w:t xml:space="preserve"> 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CSIRO (2015): </w:t>
      </w:r>
      <w:hyperlink r:id="rId12" w:history="1">
        <w:r w:rsidRPr="00356C70">
          <w:rPr>
            <w:rStyle w:val="Hyperlink"/>
          </w:rPr>
          <w:t>Canberra Deep Space Communication Complex</w:t>
        </w:r>
      </w:hyperlink>
      <w:r>
        <w:t xml:space="preserve"> 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Regional Telecommunications Independent Review: </w:t>
      </w:r>
      <w:hyperlink r:id="rId13" w:history="1">
        <w:r w:rsidRPr="008E09EF">
          <w:rPr>
            <w:rStyle w:val="Hyperlink"/>
          </w:rPr>
          <w:t>Regional Telecommunications Review 2015 Report</w:t>
        </w:r>
      </w:hyperlink>
      <w:r>
        <w:t xml:space="preserve"> 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Australia Post: </w:t>
      </w:r>
      <w:hyperlink r:id="rId14" w:history="1">
        <w:r w:rsidRPr="00356C70">
          <w:rPr>
            <w:rStyle w:val="Hyperlink"/>
          </w:rPr>
          <w:t>Australia Post Annual Report 2014-15</w:t>
        </w:r>
      </w:hyperlink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r>
        <w:rPr>
          <w:sz w:val="24"/>
          <w:szCs w:val="24"/>
        </w:rPr>
        <w:t xml:space="preserve">Dunbar, B: </w:t>
      </w:r>
      <w:hyperlink r:id="rId15" w:history="1">
        <w:r w:rsidRPr="00356C70">
          <w:rPr>
            <w:rStyle w:val="Hyperlink"/>
            <w:sz w:val="24"/>
            <w:szCs w:val="24"/>
          </w:rPr>
          <w:t xml:space="preserve">Measuring the Distance </w:t>
        </w:r>
      </w:hyperlink>
      <w:r>
        <w:t xml:space="preserve"> </w:t>
      </w:r>
    </w:p>
    <w:p w:rsidR="00262201" w:rsidRDefault="00262201" w:rsidP="00262201">
      <w:pPr>
        <w:pStyle w:val="ListParagraph"/>
        <w:numPr>
          <w:ilvl w:val="0"/>
          <w:numId w:val="18"/>
        </w:numPr>
        <w:spacing w:after="160" w:line="259" w:lineRule="auto"/>
      </w:pPr>
      <w:proofErr w:type="spellStart"/>
      <w:r>
        <w:t>PriMetrica</w:t>
      </w:r>
      <w:proofErr w:type="spellEnd"/>
      <w:r>
        <w:t xml:space="preserve"> </w:t>
      </w:r>
      <w:proofErr w:type="spellStart"/>
      <w:r>
        <w:t>Inc</w:t>
      </w:r>
      <w:proofErr w:type="spellEnd"/>
      <w:r>
        <w:t xml:space="preserve">: </w:t>
      </w:r>
      <w:hyperlink r:id="rId16" w:anchor="/country/australia" w:history="1">
        <w:r w:rsidRPr="00356C70">
          <w:rPr>
            <w:rStyle w:val="Hyperlink"/>
          </w:rPr>
          <w:t>Submarine Cable Map</w:t>
        </w:r>
      </w:hyperlink>
    </w:p>
    <w:p w:rsidR="001F3924" w:rsidRDefault="001F3924"/>
    <w:sectPr w:rsidR="001F3924" w:rsidSect="005C7DC8">
      <w:headerReference w:type="default" r:id="rId17"/>
      <w:footerReference w:type="default" r:id="rId18"/>
      <w:type w:val="continuous"/>
      <w:pgSz w:w="11906" w:h="16838"/>
      <w:pgMar w:top="1702" w:right="1133" w:bottom="1276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01" w:rsidRDefault="00262201" w:rsidP="003F0A2D">
      <w:pPr>
        <w:spacing w:after="0"/>
      </w:pPr>
      <w:r>
        <w:separator/>
      </w:r>
    </w:p>
  </w:endnote>
  <w:endnote w:type="continuationSeparator" w:id="0">
    <w:p w:rsidR="00262201" w:rsidRDefault="00262201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409" w:rsidRPr="00047079" w:rsidRDefault="00047079" w:rsidP="00047079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3B9C719" wp14:editId="1917F1A3">
          <wp:extent cx="7557135" cy="721967"/>
          <wp:effectExtent l="0" t="0" r="0" b="2540"/>
          <wp:docPr id="10" name="Picture 10" descr="GPO Box 2154, Canberra ACT 2601 Australia.&#10;Telephone: 02 6271 1000&#10;Web: www.communications.gov.au." title="Address for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ocument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475" cy="728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DC8" w:rsidRPr="000249BC" w:rsidRDefault="005C7DC8" w:rsidP="005C7DC8">
    <w:pPr>
      <w:pStyle w:val="Footer"/>
      <w:tabs>
        <w:tab w:val="clear" w:pos="9026"/>
        <w:tab w:val="right" w:pos="9333"/>
      </w:tabs>
      <w:ind w:left="-567"/>
      <w:jc w:val="right"/>
      <w:rPr>
        <w:sz w:val="18"/>
        <w:szCs w:val="18"/>
      </w:rPr>
    </w:pPr>
    <w:r>
      <w:rPr>
        <w:sz w:val="18"/>
        <w:szCs w:val="18"/>
      </w:rPr>
      <w:t>&lt;</w:t>
    </w:r>
    <w:proofErr w:type="gramStart"/>
    <w:r>
      <w:rPr>
        <w:sz w:val="18"/>
        <w:szCs w:val="18"/>
      </w:rPr>
      <w:t>document</w:t>
    </w:r>
    <w:proofErr w:type="gramEnd"/>
    <w:r>
      <w:rPr>
        <w:sz w:val="18"/>
        <w:szCs w:val="18"/>
      </w:rPr>
      <w:t xml:space="preserve"> title&gt;</w:t>
    </w:r>
    <w:r>
      <w:rPr>
        <w:sz w:val="18"/>
        <w:szCs w:val="18"/>
      </w:rPr>
      <w:tab/>
    </w:r>
    <w:r w:rsidRPr="009A56D0">
      <w:rPr>
        <w:color w:val="07478C"/>
        <w:sz w:val="18"/>
        <w:szCs w:val="18"/>
      </w:rPr>
      <w:t>www.communications.gov.au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Pr="000249BC">
          <w:rPr>
            <w:sz w:val="18"/>
            <w:szCs w:val="18"/>
          </w:rPr>
          <w:t xml:space="preserve">Page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PAGE </w:instrText>
        </w:r>
        <w:r w:rsidRPr="000249BC">
          <w:rPr>
            <w:bCs/>
            <w:sz w:val="18"/>
            <w:szCs w:val="18"/>
          </w:rPr>
          <w:fldChar w:fldCharType="separate"/>
        </w:r>
        <w:r w:rsidR="00262201">
          <w:rPr>
            <w:bCs/>
            <w:noProof/>
            <w:sz w:val="18"/>
            <w:szCs w:val="18"/>
          </w:rPr>
          <w:t>2</w:t>
        </w:r>
        <w:r w:rsidRPr="000249BC">
          <w:rPr>
            <w:bCs/>
            <w:sz w:val="18"/>
            <w:szCs w:val="18"/>
          </w:rPr>
          <w:fldChar w:fldCharType="end"/>
        </w:r>
        <w:r w:rsidRPr="000249BC">
          <w:rPr>
            <w:sz w:val="18"/>
            <w:szCs w:val="18"/>
          </w:rPr>
          <w:t xml:space="preserve"> of </w:t>
        </w:r>
        <w:r w:rsidRPr="000249BC">
          <w:rPr>
            <w:bCs/>
            <w:sz w:val="18"/>
            <w:szCs w:val="18"/>
          </w:rPr>
          <w:fldChar w:fldCharType="begin"/>
        </w:r>
        <w:r w:rsidRPr="000249BC">
          <w:rPr>
            <w:bCs/>
            <w:sz w:val="18"/>
            <w:szCs w:val="18"/>
          </w:rPr>
          <w:instrText xml:space="preserve"> NUMPAGES  </w:instrText>
        </w:r>
        <w:r w:rsidRPr="000249BC">
          <w:rPr>
            <w:bCs/>
            <w:sz w:val="18"/>
            <w:szCs w:val="18"/>
          </w:rPr>
          <w:fldChar w:fldCharType="separate"/>
        </w:r>
        <w:r w:rsidR="008223F5">
          <w:rPr>
            <w:bCs/>
            <w:noProof/>
            <w:sz w:val="18"/>
            <w:szCs w:val="18"/>
          </w:rPr>
          <w:t>1</w:t>
        </w:r>
        <w:r w:rsidRPr="000249BC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01" w:rsidRDefault="00262201" w:rsidP="003F0A2D">
      <w:pPr>
        <w:spacing w:after="0"/>
      </w:pPr>
      <w:r>
        <w:separator/>
      </w:r>
    </w:p>
  </w:footnote>
  <w:footnote w:type="continuationSeparator" w:id="0">
    <w:p w:rsidR="00262201" w:rsidRDefault="00262201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5B3" w:rsidRDefault="00A625B3" w:rsidP="003F0A2D">
    <w:pPr>
      <w:pStyle w:val="Header"/>
      <w:ind w:left="-1418"/>
    </w:pPr>
    <w:r>
      <w:rPr>
        <w:noProof/>
        <w:lang w:eastAsia="en-AU"/>
      </w:rPr>
      <w:drawing>
        <wp:inline distT="0" distB="0" distL="0" distR="0">
          <wp:extent cx="7634630" cy="406359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A625B3" w:rsidRPr="009A56D0" w:rsidRDefault="00A625B3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</w:r>
    <w:r w:rsidR="00535ADA" w:rsidRPr="009A56D0">
      <w:rPr>
        <w:color w:val="07478C"/>
      </w:rPr>
      <w:t>&lt;month</w:t>
    </w:r>
    <w:r w:rsidR="001F3924" w:rsidRPr="009A56D0">
      <w:rPr>
        <w:color w:val="07478C"/>
      </w:rPr>
      <w:t xml:space="preserve"> year</w:t>
    </w:r>
    <w:r w:rsidR="00535ADA" w:rsidRPr="009A56D0">
      <w:rPr>
        <w:color w:val="07478C"/>
      </w:rPr>
      <w:t>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D5364"/>
    <w:multiLevelType w:val="hybridMultilevel"/>
    <w:tmpl w:val="B5C03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F5244"/>
    <w:multiLevelType w:val="hybridMultilevel"/>
    <w:tmpl w:val="81CE4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4C59C2"/>
    <w:multiLevelType w:val="hybridMultilevel"/>
    <w:tmpl w:val="714AB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15CF2"/>
    <w:multiLevelType w:val="hybridMultilevel"/>
    <w:tmpl w:val="D5BC4A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01"/>
    <w:rsid w:val="000249BC"/>
    <w:rsid w:val="00047079"/>
    <w:rsid w:val="000E1A93"/>
    <w:rsid w:val="00131409"/>
    <w:rsid w:val="001F3924"/>
    <w:rsid w:val="00262201"/>
    <w:rsid w:val="00285881"/>
    <w:rsid w:val="00297528"/>
    <w:rsid w:val="00302A5E"/>
    <w:rsid w:val="003509FE"/>
    <w:rsid w:val="0038349B"/>
    <w:rsid w:val="003F0A2D"/>
    <w:rsid w:val="0040012A"/>
    <w:rsid w:val="0040622C"/>
    <w:rsid w:val="00507E41"/>
    <w:rsid w:val="00535ADA"/>
    <w:rsid w:val="00567FAF"/>
    <w:rsid w:val="005C7DC8"/>
    <w:rsid w:val="005F08D5"/>
    <w:rsid w:val="00627D39"/>
    <w:rsid w:val="0064771D"/>
    <w:rsid w:val="006D014F"/>
    <w:rsid w:val="008223F5"/>
    <w:rsid w:val="00832492"/>
    <w:rsid w:val="0084603E"/>
    <w:rsid w:val="00852E5C"/>
    <w:rsid w:val="00853419"/>
    <w:rsid w:val="008A312B"/>
    <w:rsid w:val="008C6C53"/>
    <w:rsid w:val="00933ABA"/>
    <w:rsid w:val="009A56D0"/>
    <w:rsid w:val="00A625B3"/>
    <w:rsid w:val="00A669A1"/>
    <w:rsid w:val="00B370BC"/>
    <w:rsid w:val="00D24D05"/>
    <w:rsid w:val="00DD4718"/>
    <w:rsid w:val="00E240F8"/>
    <w:rsid w:val="00F41896"/>
    <w:rsid w:val="00F977DF"/>
    <w:rsid w:val="00FA414F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B53FF-E76A-4703-81FF-B4CE1D72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56D0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6D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6D0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6D0"/>
    <w:pPr>
      <w:keepNext/>
      <w:spacing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6D0"/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6D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56D0"/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A56D0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9A56D0"/>
    <w:pPr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tirc.gov.au/issues-paper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siro.au/en/Research/Facilities/CDSC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ubmarinecablemap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ma.gov.au/Citizen/Consumer-info/Rights-and-safeguards/Payphones/payphone-fact-she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sa.gov/audience/foreducators/k-4/features/F_Measuring_the_Distance_Student_Pages.html" TargetMode="External"/><Relationship Id="rId10" Type="http://schemas.openxmlformats.org/officeDocument/2006/relationships/hyperlink" Target="http://www.assoa.nt.edu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uspost.com.au/annualreport2015/our-busines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Custom%20Office%20Templates\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BED3-9944-49C3-99A0-D98079B2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document-template.dotx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Australia’s Diverse Communications Landscape</vt:lpstr>
    </vt:vector>
  </TitlesOfParts>
  <Company>Department of Communications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Diverse Communications Landscape</dc:title>
  <dc:subject/>
  <dc:creator>Theresa Hall</dc:creator>
  <cp:keywords/>
  <dc:description/>
  <cp:lastModifiedBy>Theresa Hall</cp:lastModifiedBy>
  <cp:revision>2</cp:revision>
  <cp:lastPrinted>2016-01-25T06:30:00Z</cp:lastPrinted>
  <dcterms:created xsi:type="dcterms:W3CDTF">2016-01-25T06:21:00Z</dcterms:created>
  <dcterms:modified xsi:type="dcterms:W3CDTF">2016-01-25T06:32:00Z</dcterms:modified>
</cp:coreProperties>
</file>