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5E" w14:textId="77777777" w:rsidR="00BE1718" w:rsidRDefault="00BE1718" w:rsidP="00356504">
      <w:pPr>
        <w:pStyle w:val="Heading1"/>
        <w:sectPr w:rsidR="00BE1718" w:rsidSect="00C54F27">
          <w:headerReference w:type="even" r:id="rId9"/>
          <w:headerReference w:type="default" r:id="rId10"/>
          <w:footerReference w:type="even" r:id="rId11"/>
          <w:footerReference w:type="default" r:id="rId12"/>
          <w:headerReference w:type="first" r:id="rId13"/>
          <w:footerReference w:type="first" r:id="rId14"/>
          <w:type w:val="continuous"/>
          <w:pgSz w:w="11900" w:h="16840"/>
          <w:pgMar w:top="3119" w:right="1412" w:bottom="1440" w:left="1797" w:header="142" w:footer="113" w:gutter="0"/>
          <w:cols w:space="708"/>
          <w:titlePg/>
        </w:sectPr>
      </w:pPr>
    </w:p>
    <w:p w14:paraId="6D0A710B" w14:textId="77777777" w:rsidR="00445D7F" w:rsidRDefault="00A229AF">
      <w:pPr>
        <w:rPr>
          <w:rFonts w:eastAsia="Times New Roman"/>
          <w:bCs/>
          <w:color w:val="1A7399"/>
          <w:sz w:val="28"/>
          <w:lang w:eastAsia="en-AU"/>
        </w:rPr>
      </w:pPr>
      <w:r>
        <w:rPr>
          <w:noProof/>
          <w:lang w:eastAsia="en-AU"/>
        </w:rPr>
        <w:lastRenderedPageBreak/>
        <mc:AlternateContent>
          <mc:Choice Requires="wps">
            <w:drawing>
              <wp:anchor distT="0" distB="0" distL="114300" distR="114300" simplePos="0" relativeHeight="251658243" behindDoc="0" locked="0" layoutInCell="1" allowOverlap="1" wp14:anchorId="66101256" wp14:editId="119C4C8E">
                <wp:simplePos x="0" y="0"/>
                <wp:positionH relativeFrom="column">
                  <wp:posOffset>457200</wp:posOffset>
                </wp:positionH>
                <wp:positionV relativeFrom="paragraph">
                  <wp:posOffset>2748915</wp:posOffset>
                </wp:positionV>
                <wp:extent cx="4114800" cy="236220"/>
                <wp:effectExtent l="0" t="0" r="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2362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DD88CC4" w14:textId="77777777" w:rsidR="00E7053F" w:rsidRPr="00203CE6" w:rsidRDefault="00E7053F" w:rsidP="00961BAA">
                            <w:pPr>
                              <w:pStyle w:val="DeptDate"/>
                            </w:pPr>
                            <w:r>
                              <w:t>March 2015</w:t>
                            </w:r>
                          </w:p>
                          <w:p w14:paraId="379D0203" w14:textId="77777777" w:rsidR="00E7053F" w:rsidRDefault="00E7053F" w:rsidP="00627C34"/>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01256" id="_x0000_t202" coordsize="21600,21600" o:spt="202" path="m,l,21600r21600,l21600,xe">
                <v:stroke joinstyle="miter"/>
                <v:path gradientshapeok="t" o:connecttype="rect"/>
              </v:shapetype>
              <v:shape id="Text Box 3" o:spid="_x0000_s1026" type="#_x0000_t202" style="position:absolute;margin-left:36pt;margin-top:216.45pt;width:324pt;height:1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" filled="f" stroked="f">
                <v:path arrowok="t"/>
                <v:textbox inset="6e-5mm,0,0,0">
                  <w:txbxContent>
                    <w:p w14:paraId="3DD88CC4" w14:textId="77777777" w:rsidR="00E7053F" w:rsidRPr="00203CE6" w:rsidRDefault="00E7053F" w:rsidP="00961BAA">
                      <w:pPr>
                        <w:pStyle w:val="DeptDate"/>
                      </w:pPr>
                      <w:r>
                        <w:t>March 2015</w:t>
                      </w:r>
                    </w:p>
                    <w:p w14:paraId="379D0203" w14:textId="77777777" w:rsidR="00E7053F" w:rsidRDefault="00E7053F" w:rsidP="00627C34"/>
                  </w:txbxContent>
                </v:textbox>
                <w10:wrap type="square"/>
              </v:shape>
            </w:pict>
          </mc:Fallback>
        </mc:AlternateContent>
      </w:r>
      <w:r>
        <w:rPr>
          <w:noProof/>
          <w:lang w:eastAsia="en-AU"/>
        </w:rPr>
        <mc:AlternateContent>
          <mc:Choice Requires="wps">
            <w:drawing>
              <wp:anchor distT="0" distB="0" distL="114300" distR="114300" simplePos="0" relativeHeight="251658241" behindDoc="0" locked="0" layoutInCell="1" allowOverlap="1" wp14:anchorId="343198DC" wp14:editId="6DC20F61">
                <wp:simplePos x="0" y="0"/>
                <wp:positionH relativeFrom="column">
                  <wp:posOffset>457200</wp:posOffset>
                </wp:positionH>
                <wp:positionV relativeFrom="paragraph">
                  <wp:posOffset>268605</wp:posOffset>
                </wp:positionV>
                <wp:extent cx="4114800" cy="1487170"/>
                <wp:effectExtent l="0" t="0" r="0" b="177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4871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90B2147" w14:textId="77777777" w:rsidR="00E7053F" w:rsidRDefault="00E7053F" w:rsidP="00961BAA">
                            <w:pPr>
                              <w:pStyle w:val="DeptPapername"/>
                            </w:pPr>
                            <w:bookmarkStart w:id="0" w:name="_Toc412214205"/>
                            <w:bookmarkStart w:id="1" w:name="_Toc412814526"/>
                            <w:bookmarkStart w:id="2" w:name="_Toc413136110"/>
                            <w:bookmarkStart w:id="3" w:name="_Toc413139538"/>
                            <w:r>
                              <w:t>Spectrum Review</w:t>
                            </w:r>
                            <w:bookmarkEnd w:id="0"/>
                            <w:bookmarkEnd w:id="1"/>
                            <w:bookmarkEnd w:id="2"/>
                            <w:bookmarkEnd w:id="3"/>
                          </w:p>
                          <w:p w14:paraId="3B08A950" w14:textId="77777777" w:rsidR="00E7053F" w:rsidRDefault="00E7053F" w:rsidP="00627C34"/>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198DC" id="Text Box 8" o:spid="_x0000_s1027" type="#_x0000_t202" style="position:absolute;margin-left:36pt;margin-top:21.15pt;width:324pt;height:11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" filled="f" stroked="f">
                <v:path arrowok="t"/>
                <v:textbox inset="6e-5mm,0,0,0">
                  <w:txbxContent>
                    <w:p w14:paraId="790B2147" w14:textId="77777777" w:rsidR="00E7053F" w:rsidRDefault="00E7053F" w:rsidP="00961BAA">
                      <w:pPr>
                        <w:pStyle w:val="DeptPapername"/>
                      </w:pPr>
                      <w:bookmarkStart w:id="4" w:name="_Toc412214205"/>
                      <w:bookmarkStart w:id="5" w:name="_Toc412814526"/>
                      <w:bookmarkStart w:id="6" w:name="_Toc413136110"/>
                      <w:bookmarkStart w:id="7" w:name="_Toc413139538"/>
                      <w:r>
                        <w:t>Spectrum Review</w:t>
                      </w:r>
                      <w:bookmarkEnd w:id="4"/>
                      <w:bookmarkEnd w:id="5"/>
                      <w:bookmarkEnd w:id="6"/>
                      <w:bookmarkEnd w:id="7"/>
                    </w:p>
                    <w:p w14:paraId="3B08A950" w14:textId="77777777" w:rsidR="00E7053F" w:rsidRDefault="00E7053F" w:rsidP="00627C34"/>
                  </w:txbxContent>
                </v:textbox>
                <w10:wrap type="square"/>
              </v:shape>
            </w:pict>
          </mc:Fallback>
        </mc:AlternateContent>
      </w:r>
      <w:r>
        <w:rPr>
          <w:noProof/>
          <w:lang w:eastAsia="en-AU"/>
        </w:rPr>
        <mc:AlternateContent>
          <mc:Choice Requires="wps">
            <w:drawing>
              <wp:anchor distT="0" distB="0" distL="114300" distR="114300" simplePos="0" relativeHeight="251658242" behindDoc="0" locked="0" layoutInCell="1" allowOverlap="1" wp14:anchorId="48D4E5D0" wp14:editId="2A8133DB">
                <wp:simplePos x="0" y="0"/>
                <wp:positionH relativeFrom="column">
                  <wp:posOffset>457200</wp:posOffset>
                </wp:positionH>
                <wp:positionV relativeFrom="paragraph">
                  <wp:posOffset>2425700</wp:posOffset>
                </wp:positionV>
                <wp:extent cx="3886200" cy="297815"/>
                <wp:effectExtent l="0" t="0" r="0" b="698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9781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845E1B1" w14:textId="77777777" w:rsidR="00E7053F" w:rsidRPr="00DE68ED" w:rsidRDefault="00E7053F" w:rsidP="00961BAA">
                            <w:pPr>
                              <w:pStyle w:val="DeptPapern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D4E5D0" id="Text Box 10" o:spid="_x0000_s1028" type="#_x0000_t202" style="position:absolute;margin-left:36pt;margin-top:191pt;width:306pt;height:2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" filled="f" stroked="f">
                <v:path arrowok="t"/>
                <v:textbox inset="0,0,0,0">
                  <w:txbxContent>
                    <w:p w14:paraId="7845E1B1" w14:textId="77777777" w:rsidR="00E7053F" w:rsidRPr="00DE68ED" w:rsidRDefault="00E7053F" w:rsidP="00961BAA">
                      <w:pPr>
                        <w:pStyle w:val="DeptPaperno"/>
                      </w:pPr>
                    </w:p>
                  </w:txbxContent>
                </v:textbox>
                <w10:wrap type="square"/>
              </v:shape>
            </w:pict>
          </mc:Fallback>
        </mc:AlternateContent>
      </w:r>
      <w:r>
        <w:rPr>
          <w:noProof/>
          <w:lang w:eastAsia="en-AU"/>
        </w:rPr>
        <mc:AlternateContent>
          <mc:Choice Requires="wps">
            <w:drawing>
              <wp:anchor distT="0" distB="0" distL="114300" distR="114300" simplePos="0" relativeHeight="251658240" behindDoc="0" locked="0" layoutInCell="1" allowOverlap="1" wp14:anchorId="39AF237D" wp14:editId="0EF13E77">
                <wp:simplePos x="0" y="0"/>
                <wp:positionH relativeFrom="column">
                  <wp:posOffset>457200</wp:posOffset>
                </wp:positionH>
                <wp:positionV relativeFrom="paragraph">
                  <wp:posOffset>2091055</wp:posOffset>
                </wp:positionV>
                <wp:extent cx="4114800" cy="359410"/>
                <wp:effectExtent l="0" t="0" r="0" b="25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8DC5A52" w14:textId="77777777" w:rsidR="00E7053F" w:rsidRPr="00DE68ED" w:rsidRDefault="00E7053F" w:rsidP="00961BAA">
                            <w:pPr>
                              <w:pStyle w:val="DeptMainTitle"/>
                            </w:pPr>
                          </w:p>
                          <w:p w14:paraId="7881D64D" w14:textId="77777777" w:rsidR="00E7053F" w:rsidRDefault="00E7053F"/>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F237D" id="Text Box 6" o:spid="_x0000_s1029" type="#_x0000_t202" style="position:absolute;margin-left:36pt;margin-top:164.65pt;width:324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" filled="f" stroked="f">
                <v:path arrowok="t"/>
                <v:textbox inset="6e-5mm,0,0,0">
                  <w:txbxContent>
                    <w:p w14:paraId="38DC5A52" w14:textId="77777777" w:rsidR="00E7053F" w:rsidRPr="00DE68ED" w:rsidRDefault="00E7053F" w:rsidP="00961BAA">
                      <w:pPr>
                        <w:pStyle w:val="DeptMainTitle"/>
                      </w:pPr>
                    </w:p>
                    <w:p w14:paraId="7881D64D" w14:textId="77777777" w:rsidR="00E7053F" w:rsidRDefault="00E7053F"/>
                  </w:txbxContent>
                </v:textbox>
                <w10:wrap type="square"/>
              </v:shape>
            </w:pict>
          </mc:Fallback>
        </mc:AlternateContent>
      </w:r>
      <w:r w:rsidR="00445D7F">
        <w:rPr>
          <w:lang w:eastAsia="en-AU"/>
        </w:rPr>
        <w:br w:type="page"/>
      </w:r>
    </w:p>
    <w:p w14:paraId="4AE2A03F" w14:textId="77777777" w:rsidR="00280C02" w:rsidRDefault="00280C02" w:rsidP="00D81B73">
      <w:pPr>
        <w:pStyle w:val="copyrightHeading2Styles"/>
      </w:pPr>
    </w:p>
    <w:p w14:paraId="4EE1E205" w14:textId="77777777" w:rsidR="00D81B73" w:rsidRDefault="00D81B73" w:rsidP="00D81B73">
      <w:pPr>
        <w:pStyle w:val="copyrightHeading2Styles"/>
      </w:pPr>
      <w:r>
        <w:t>Disclaimer</w:t>
      </w:r>
    </w:p>
    <w:p w14:paraId="4AA8BD9F" w14:textId="4CF87070" w:rsidR="00D81B73" w:rsidRDefault="00D81B73" w:rsidP="00D81B73">
      <w:pPr>
        <w:pStyle w:val="copyrighttextStyles"/>
      </w:pPr>
      <w:r w:rsidRPr="001C5FDD">
        <w:t xml:space="preserve">The material in this </w:t>
      </w:r>
      <w:r>
        <w:t>report</w:t>
      </w:r>
      <w:r w:rsidRPr="001C5FDD">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467F5481" w14:textId="7A3A0CBA" w:rsidR="00D81B73" w:rsidRPr="001C5FDD" w:rsidRDefault="00D81B73" w:rsidP="00D81B73">
      <w:pPr>
        <w:pStyle w:val="copyrighttextStyles"/>
      </w:pPr>
      <w:r w:rsidRPr="001C5FDD">
        <w:t xml:space="preserve">The Commonwealth accepts no responsibility or liability for any damage, loss or expense incurred as a result of the reliance on information contained in this </w:t>
      </w:r>
      <w:r>
        <w:t>report</w:t>
      </w:r>
      <w:r w:rsidRPr="001C5FDD">
        <w:t>.</w:t>
      </w:r>
    </w:p>
    <w:p w14:paraId="1DD9A73E" w14:textId="0F5A18C4" w:rsidR="00D81B73" w:rsidRPr="00F818F8" w:rsidRDefault="00D81B73" w:rsidP="00D81B73">
      <w:pPr>
        <w:pStyle w:val="copyrighttextStyles"/>
      </w:pPr>
      <w:r w:rsidRPr="001C5FDD">
        <w:t xml:space="preserve">This </w:t>
      </w:r>
      <w:r>
        <w:t>report</w:t>
      </w:r>
      <w:r w:rsidRPr="001C5FDD">
        <w:t xml:space="preserve"> has been prepared for consultation purposes only and does not indicate the Commonwealth’s commitment to a particular course of action. Additionally, any third party views or recommendations included in this </w:t>
      </w:r>
      <w:r>
        <w:t>report</w:t>
      </w:r>
      <w:r w:rsidRPr="001C5FDD">
        <w:t xml:space="preserve"> do not reflect the views of the Commonwealth, or indicate its commitment to a particular course of action.</w:t>
      </w:r>
    </w:p>
    <w:p w14:paraId="41F1A8D9" w14:textId="77777777" w:rsidR="00D81B73" w:rsidRDefault="00D81B73" w:rsidP="00D81B73">
      <w:pPr>
        <w:pStyle w:val="copyrightHeading2Styles"/>
        <w:rPr>
          <w:lang w:eastAsia="en-AU"/>
        </w:rPr>
      </w:pPr>
      <w:r>
        <w:rPr>
          <w:lang w:eastAsia="en-AU"/>
        </w:rPr>
        <w:t>Copyright</w:t>
      </w:r>
    </w:p>
    <w:p w14:paraId="6EE776EE" w14:textId="304B757F" w:rsidR="00D81B73" w:rsidRDefault="00D81B73" w:rsidP="00D81B73">
      <w:pPr>
        <w:pStyle w:val="copyrighttextStyles"/>
        <w:rPr>
          <w:rFonts w:ascii="Calibri" w:hAnsi="Calibri" w:cs="Calibri"/>
          <w:color w:val="auto"/>
          <w:lang w:eastAsia="en-AU"/>
        </w:rPr>
      </w:pPr>
      <w:bookmarkStart w:id="4" w:name="_Toc356292516"/>
      <w:r>
        <w:rPr>
          <w:lang w:eastAsia="en-AU"/>
        </w:rPr>
        <w:t>© Commonwealth of Australia 201</w:t>
      </w:r>
      <w:bookmarkEnd w:id="4"/>
      <w:r>
        <w:rPr>
          <w:lang w:eastAsia="en-AU"/>
        </w:rPr>
        <w:t xml:space="preserve">5 </w:t>
      </w:r>
    </w:p>
    <w:p w14:paraId="40CA6A18" w14:textId="7AFAB80D" w:rsidR="00D81B73" w:rsidRDefault="00D81B73" w:rsidP="00D81B73">
      <w:pPr>
        <w:pStyle w:val="copyrighttextStyles"/>
        <w:rPr>
          <w:lang w:eastAsia="en-AU"/>
        </w:rPr>
      </w:pPr>
      <w:bookmarkStart w:id="5" w:name="_Toc356292517"/>
      <w:r>
        <w:rPr>
          <w:noProof/>
          <w:lang w:eastAsia="en-AU"/>
        </w:rPr>
        <w:drawing>
          <wp:inline distT="0" distB="0" distL="0" distR="0" wp14:anchorId="021CC0FE" wp14:editId="24247391">
            <wp:extent cx="836930" cy="293370"/>
            <wp:effectExtent l="0" t="0" r="0" b="0"/>
            <wp:docPr id="1" name="Picture 1" descr="cid:image001.jpg@01CF4DB8.C9F87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bookmarkEnd w:id="5"/>
      <w:r>
        <w:rPr>
          <w:lang w:eastAsia="en-AU"/>
        </w:rPr>
        <w:t>  The material in this report is licensed under a Creative Commons Attribution—3.0 Australia license, with the exception of:</w:t>
      </w:r>
    </w:p>
    <w:p w14:paraId="3054E845" w14:textId="77777777" w:rsidR="00D81B73" w:rsidRDefault="00D81B73" w:rsidP="00D81B73">
      <w:pPr>
        <w:pStyle w:val="copyrighttextStyles"/>
        <w:numPr>
          <w:ilvl w:val="0"/>
          <w:numId w:val="46"/>
        </w:numPr>
        <w:rPr>
          <w:lang w:eastAsia="en-AU"/>
        </w:rPr>
      </w:pPr>
      <w:bookmarkStart w:id="6" w:name="_Toc356292518"/>
      <w:r>
        <w:rPr>
          <w:lang w:eastAsia="en-AU"/>
        </w:rPr>
        <w:t>the Commonwealth Coat of Arms</w:t>
      </w:r>
      <w:bookmarkEnd w:id="6"/>
      <w:r>
        <w:rPr>
          <w:lang w:eastAsia="en-AU"/>
        </w:rPr>
        <w:t>;</w:t>
      </w:r>
    </w:p>
    <w:p w14:paraId="445F78D5" w14:textId="77777777" w:rsidR="00D81B73" w:rsidRDefault="00D81B73" w:rsidP="00D81B73">
      <w:pPr>
        <w:pStyle w:val="copyrighttextStyles"/>
        <w:numPr>
          <w:ilvl w:val="0"/>
          <w:numId w:val="46"/>
        </w:numPr>
        <w:rPr>
          <w:lang w:eastAsia="en-AU"/>
        </w:rPr>
      </w:pPr>
      <w:bookmarkStart w:id="7" w:name="_Toc356292519"/>
      <w:r>
        <w:rPr>
          <w:lang w:eastAsia="en-AU"/>
        </w:rPr>
        <w:t>this Department’s logo</w:t>
      </w:r>
      <w:bookmarkEnd w:id="7"/>
      <w:r>
        <w:rPr>
          <w:lang w:eastAsia="en-AU"/>
        </w:rPr>
        <w:t>;</w:t>
      </w:r>
    </w:p>
    <w:p w14:paraId="1DAB4E16" w14:textId="77777777" w:rsidR="00D81B73" w:rsidRDefault="00D81B73" w:rsidP="00D81B73">
      <w:pPr>
        <w:pStyle w:val="copyrighttextStyles"/>
        <w:numPr>
          <w:ilvl w:val="0"/>
          <w:numId w:val="46"/>
        </w:numPr>
        <w:rPr>
          <w:lang w:eastAsia="en-AU"/>
        </w:rPr>
      </w:pPr>
      <w:r>
        <w:rPr>
          <w:lang w:eastAsia="en-AU"/>
        </w:rPr>
        <w:t>any third party material;</w:t>
      </w:r>
    </w:p>
    <w:p w14:paraId="4FDF5924" w14:textId="77777777" w:rsidR="00D81B73" w:rsidRDefault="00D81B73" w:rsidP="00D81B73">
      <w:pPr>
        <w:pStyle w:val="copyrighttextStyles"/>
        <w:numPr>
          <w:ilvl w:val="0"/>
          <w:numId w:val="46"/>
        </w:numPr>
        <w:rPr>
          <w:lang w:eastAsia="en-AU"/>
        </w:rPr>
      </w:pPr>
      <w:r>
        <w:rPr>
          <w:lang w:eastAsia="en-AU"/>
        </w:rPr>
        <w:t>any material protected by a trademark; and</w:t>
      </w:r>
    </w:p>
    <w:p w14:paraId="466B87EE" w14:textId="77777777" w:rsidR="00D81B73" w:rsidRDefault="00D81B73" w:rsidP="00D81B73">
      <w:pPr>
        <w:pStyle w:val="copyrighttextStyles"/>
        <w:numPr>
          <w:ilvl w:val="0"/>
          <w:numId w:val="46"/>
        </w:numPr>
        <w:rPr>
          <w:lang w:eastAsia="en-AU"/>
        </w:rPr>
      </w:pPr>
      <w:r>
        <w:rPr>
          <w:lang w:eastAsia="en-AU"/>
        </w:rPr>
        <w:t>any images and/or photographs.</w:t>
      </w:r>
    </w:p>
    <w:p w14:paraId="264A84BD" w14:textId="0C767DF1" w:rsidR="00D81B73" w:rsidRPr="006241BB" w:rsidRDefault="00D81B73" w:rsidP="00D81B73">
      <w:pPr>
        <w:pStyle w:val="copyrighttextStyles"/>
      </w:pPr>
      <w:bookmarkStart w:id="8" w:name="_Toc356292520"/>
      <w:r w:rsidRPr="006241BB">
        <w:t>More information on this CC BY license is set out at</w:t>
      </w:r>
      <w:r>
        <w:t xml:space="preserve"> the creative commons website:</w:t>
      </w:r>
      <w:r w:rsidRPr="006241BB">
        <w:t xml:space="preserve"> </w:t>
      </w:r>
      <w:bookmarkEnd w:id="8"/>
      <w:r>
        <w:fldChar w:fldCharType="begin"/>
      </w:r>
      <w:r>
        <w:instrText xml:space="preserve"> HYPERLINK "http://www.creativecommons.org/licenses/by/3.0/au/" </w:instrText>
      </w:r>
      <w:r>
        <w:fldChar w:fldCharType="separate"/>
      </w:r>
      <w:r w:rsidRPr="006241BB">
        <w:rPr>
          <w:rStyle w:val="Hyperlink"/>
        </w:rPr>
        <w:t>www.creativecommons.org/licenses/by/3.0/au/</w:t>
      </w:r>
      <w:r>
        <w:fldChar w:fldCharType="end"/>
      </w:r>
      <w:r>
        <w:t xml:space="preserve">. </w:t>
      </w:r>
      <w:r w:rsidRPr="006241BB">
        <w:t>Enquiries about th</w:t>
      </w:r>
      <w:r>
        <w:t>is license and any use of this report</w:t>
      </w:r>
      <w:r w:rsidRPr="006241BB">
        <w:t xml:space="preserve"> can be sent to: </w:t>
      </w:r>
      <w:r>
        <w:t>Spectrum Branch</w:t>
      </w:r>
      <w:r w:rsidRPr="006241BB">
        <w:t>, Department of Communications, GPO Box 2154, Canberra, ACT, 2601.</w:t>
      </w:r>
    </w:p>
    <w:p w14:paraId="13D300E2" w14:textId="77777777" w:rsidR="00D81B73" w:rsidRDefault="00D81B73" w:rsidP="00D81B73">
      <w:pPr>
        <w:pStyle w:val="copyrighttextStyles"/>
        <w:rPr>
          <w:b/>
          <w:bCs/>
          <w:lang w:eastAsia="en-AU"/>
        </w:rPr>
      </w:pPr>
      <w:bookmarkStart w:id="9" w:name="_Toc356292521"/>
      <w:r>
        <w:rPr>
          <w:b/>
          <w:bCs/>
          <w:lang w:eastAsia="en-AU"/>
        </w:rPr>
        <w:t>Attribution</w:t>
      </w:r>
      <w:bookmarkEnd w:id="9"/>
    </w:p>
    <w:p w14:paraId="20D596C0" w14:textId="6C2F4750" w:rsidR="00D81B73" w:rsidRDefault="00D81B73" w:rsidP="00D81B73">
      <w:pPr>
        <w:pStyle w:val="copyrighttextStyles"/>
        <w:rPr>
          <w:lang w:eastAsia="en-AU"/>
        </w:rPr>
      </w:pPr>
      <w:bookmarkStart w:id="10" w:name="_Toc356292522"/>
      <w:r>
        <w:rPr>
          <w:lang w:eastAsia="en-AU"/>
        </w:rPr>
        <w:t>Use of all or part of this report must include the following attribution:</w:t>
      </w:r>
      <w:bookmarkEnd w:id="10"/>
    </w:p>
    <w:p w14:paraId="3D050384" w14:textId="1A2561DD" w:rsidR="00D81B73" w:rsidRDefault="00D81B73" w:rsidP="00D81B73">
      <w:pPr>
        <w:pStyle w:val="copyrighttextStyles"/>
        <w:ind w:left="720"/>
        <w:rPr>
          <w:lang w:eastAsia="en-AU"/>
        </w:rPr>
      </w:pPr>
      <w:bookmarkStart w:id="11" w:name="_Toc356292523"/>
      <w:r>
        <w:rPr>
          <w:lang w:eastAsia="en-AU"/>
        </w:rPr>
        <w:t>© Commonwealth of Australia 201</w:t>
      </w:r>
      <w:bookmarkEnd w:id="11"/>
      <w:r>
        <w:rPr>
          <w:lang w:eastAsia="en-AU"/>
        </w:rPr>
        <w:t>5</w:t>
      </w:r>
    </w:p>
    <w:p w14:paraId="0464A889" w14:textId="77777777" w:rsidR="00D81B73" w:rsidRDefault="00D81B73" w:rsidP="00D81B73">
      <w:pPr>
        <w:pStyle w:val="copyrighttextStyles"/>
        <w:rPr>
          <w:b/>
          <w:bCs/>
          <w:lang w:eastAsia="en-AU"/>
        </w:rPr>
      </w:pPr>
      <w:bookmarkStart w:id="12" w:name="_Toc356292524"/>
      <w:r>
        <w:rPr>
          <w:b/>
          <w:bCs/>
          <w:lang w:eastAsia="en-AU"/>
        </w:rPr>
        <w:t>Using the Commonwealth Coat of Arms</w:t>
      </w:r>
      <w:bookmarkEnd w:id="12"/>
    </w:p>
    <w:p w14:paraId="24A2517C" w14:textId="77777777" w:rsidR="00D81B73" w:rsidRPr="006241BB" w:rsidRDefault="00D81B73" w:rsidP="00D81B73">
      <w:pPr>
        <w:pStyle w:val="copyrighttextStyles"/>
      </w:pPr>
      <w:bookmarkStart w:id="13" w:name="_Toc356292525"/>
      <w:r w:rsidRPr="006241BB">
        <w:t xml:space="preserve">The terms of use for the Coat of Arms are available from the </w:t>
      </w:r>
      <w:r w:rsidRPr="006241BB">
        <w:rPr>
          <w:i/>
        </w:rPr>
        <w:t xml:space="preserve">It’s an Honour </w:t>
      </w:r>
      <w:r w:rsidRPr="006241BB">
        <w:t xml:space="preserve">website </w:t>
      </w:r>
      <w:r w:rsidRPr="006241BB">
        <w:br/>
        <w:t xml:space="preserve">(see </w:t>
      </w:r>
      <w:bookmarkEnd w:id="13"/>
      <w:r>
        <w:fldChar w:fldCharType="begin"/>
      </w:r>
      <w:r>
        <w:instrText xml:space="preserve"> HYPERLINK "http://www.itsanhonour.gov.au/" </w:instrText>
      </w:r>
      <w:r>
        <w:fldChar w:fldCharType="separate"/>
      </w:r>
      <w:r w:rsidRPr="006241BB">
        <w:rPr>
          <w:rStyle w:val="Hyperlink"/>
        </w:rPr>
        <w:t>www.itsanhonour.gov.au</w:t>
      </w:r>
      <w:r>
        <w:fldChar w:fldCharType="end"/>
      </w:r>
      <w:r w:rsidRPr="006241BB">
        <w:t xml:space="preserve"> and click ‘Commonwealth Coat of Arms’).</w:t>
      </w:r>
    </w:p>
    <w:p w14:paraId="66B7B68F" w14:textId="77777777" w:rsidR="002C3642" w:rsidRDefault="00B914E5" w:rsidP="00A62C68">
      <w:pPr>
        <w:pStyle w:val="DeptHeading1"/>
      </w:pPr>
      <w:r>
        <w:br w:type="column"/>
      </w:r>
      <w:bookmarkStart w:id="14" w:name="_Toc412214207"/>
      <w:bookmarkStart w:id="15" w:name="_Toc412814528"/>
      <w:bookmarkStart w:id="16" w:name="_Toc413136111"/>
      <w:bookmarkStart w:id="17" w:name="_Toc413139539"/>
      <w:r w:rsidR="002C3642">
        <w:lastRenderedPageBreak/>
        <w:t>Contents</w:t>
      </w:r>
      <w:bookmarkEnd w:id="14"/>
      <w:bookmarkEnd w:id="15"/>
      <w:bookmarkEnd w:id="16"/>
      <w:bookmarkEnd w:id="17"/>
    </w:p>
    <w:sdt>
      <w:sdtPr>
        <w:rPr>
          <w:b w:val="0"/>
          <w:noProof w:val="0"/>
        </w:rPr>
        <w:id w:val="-1505741737"/>
        <w:docPartObj>
          <w:docPartGallery w:val="Table of Contents"/>
          <w:docPartUnique/>
        </w:docPartObj>
      </w:sdtPr>
      <w:sdtEndPr>
        <w:rPr>
          <w:bCs/>
        </w:rPr>
      </w:sdtEndPr>
      <w:sdtContent>
        <w:p w14:paraId="30E369FC" w14:textId="77777777" w:rsidR="00B03653" w:rsidRDefault="00E74BED">
          <w:pPr>
            <w:pStyle w:val="TOC1"/>
            <w:rPr>
              <w:rFonts w:asciiTheme="minorHAnsi" w:eastAsiaTheme="minorEastAsia" w:hAnsiTheme="minorHAnsi" w:cstheme="minorBidi"/>
              <w:b w:val="0"/>
              <w:color w:val="auto"/>
              <w:sz w:val="22"/>
              <w:szCs w:val="22"/>
              <w:lang w:eastAsia="en-AU"/>
            </w:rPr>
          </w:pPr>
          <w:r>
            <w:fldChar w:fldCharType="begin"/>
          </w:r>
          <w:r>
            <w:instrText xml:space="preserve"> TOC \o "1-2" \h \z \u </w:instrText>
          </w:r>
          <w:r>
            <w:fldChar w:fldCharType="separate"/>
          </w:r>
        </w:p>
        <w:p w14:paraId="1F65C0D1" w14:textId="77777777" w:rsidR="00B03653" w:rsidRDefault="001967FE">
          <w:pPr>
            <w:pStyle w:val="TOC1"/>
            <w:rPr>
              <w:rFonts w:asciiTheme="minorHAnsi" w:eastAsiaTheme="minorEastAsia" w:hAnsiTheme="minorHAnsi" w:cstheme="minorBidi"/>
              <w:b w:val="0"/>
              <w:color w:val="auto"/>
              <w:sz w:val="22"/>
              <w:szCs w:val="22"/>
              <w:lang w:eastAsia="en-AU"/>
            </w:rPr>
          </w:pPr>
          <w:hyperlink w:anchor="_Toc413139540" w:history="1">
            <w:r w:rsidR="00B03653" w:rsidRPr="005A4CE2">
              <w:rPr>
                <w:rStyle w:val="Hyperlink"/>
              </w:rPr>
              <w:t>Background</w:t>
            </w:r>
            <w:r w:rsidR="00B03653">
              <w:rPr>
                <w:webHidden/>
              </w:rPr>
              <w:tab/>
            </w:r>
            <w:r w:rsidR="00B03653">
              <w:rPr>
                <w:webHidden/>
              </w:rPr>
              <w:fldChar w:fldCharType="begin"/>
            </w:r>
            <w:r w:rsidR="00B03653">
              <w:rPr>
                <w:webHidden/>
              </w:rPr>
              <w:instrText xml:space="preserve"> PAGEREF _Toc413139540 \h </w:instrText>
            </w:r>
            <w:r w:rsidR="00B03653">
              <w:rPr>
                <w:webHidden/>
              </w:rPr>
            </w:r>
            <w:r w:rsidR="00B03653">
              <w:rPr>
                <w:webHidden/>
              </w:rPr>
              <w:fldChar w:fldCharType="separate"/>
            </w:r>
            <w:r w:rsidR="00982115">
              <w:rPr>
                <w:webHidden/>
              </w:rPr>
              <w:t>4</w:t>
            </w:r>
            <w:r w:rsidR="00B03653">
              <w:rPr>
                <w:webHidden/>
              </w:rPr>
              <w:fldChar w:fldCharType="end"/>
            </w:r>
          </w:hyperlink>
        </w:p>
        <w:p w14:paraId="1DA2C45B" w14:textId="77777777" w:rsidR="00B03653" w:rsidRDefault="001967FE">
          <w:pPr>
            <w:pStyle w:val="TOC1"/>
            <w:rPr>
              <w:rFonts w:asciiTheme="minorHAnsi" w:eastAsiaTheme="minorEastAsia" w:hAnsiTheme="minorHAnsi" w:cstheme="minorBidi"/>
              <w:b w:val="0"/>
              <w:color w:val="auto"/>
              <w:sz w:val="22"/>
              <w:szCs w:val="22"/>
              <w:lang w:eastAsia="en-AU"/>
            </w:rPr>
          </w:pPr>
          <w:hyperlink w:anchor="_Toc413139541" w:history="1">
            <w:r w:rsidR="00B03653" w:rsidRPr="005A4CE2">
              <w:rPr>
                <w:rStyle w:val="Hyperlink"/>
              </w:rPr>
              <w:t>Executive Summary</w:t>
            </w:r>
            <w:r w:rsidR="00B03653">
              <w:rPr>
                <w:webHidden/>
              </w:rPr>
              <w:tab/>
            </w:r>
            <w:r w:rsidR="00B03653">
              <w:rPr>
                <w:webHidden/>
              </w:rPr>
              <w:fldChar w:fldCharType="begin"/>
            </w:r>
            <w:r w:rsidR="00B03653">
              <w:rPr>
                <w:webHidden/>
              </w:rPr>
              <w:instrText xml:space="preserve"> PAGEREF _Toc413139541 \h </w:instrText>
            </w:r>
            <w:r w:rsidR="00B03653">
              <w:rPr>
                <w:webHidden/>
              </w:rPr>
            </w:r>
            <w:r w:rsidR="00B03653">
              <w:rPr>
                <w:webHidden/>
              </w:rPr>
              <w:fldChar w:fldCharType="separate"/>
            </w:r>
            <w:r w:rsidR="00982115">
              <w:rPr>
                <w:webHidden/>
              </w:rPr>
              <w:t>5</w:t>
            </w:r>
            <w:r w:rsidR="00B03653">
              <w:rPr>
                <w:webHidden/>
              </w:rPr>
              <w:fldChar w:fldCharType="end"/>
            </w:r>
          </w:hyperlink>
        </w:p>
        <w:p w14:paraId="085393E7" w14:textId="77777777" w:rsidR="00B03653" w:rsidRDefault="001967FE">
          <w:pPr>
            <w:pStyle w:val="TOC1"/>
            <w:rPr>
              <w:rStyle w:val="Hyperlink"/>
            </w:rPr>
          </w:pPr>
          <w:hyperlink w:anchor="_Toc413139542" w:history="1">
            <w:r w:rsidR="00B03653" w:rsidRPr="005A4CE2">
              <w:rPr>
                <w:rStyle w:val="Hyperlink"/>
              </w:rPr>
              <w:t>Recommendations</w:t>
            </w:r>
            <w:r w:rsidR="00B03653">
              <w:rPr>
                <w:webHidden/>
              </w:rPr>
              <w:tab/>
            </w:r>
            <w:r w:rsidR="00B03653">
              <w:rPr>
                <w:webHidden/>
              </w:rPr>
              <w:fldChar w:fldCharType="begin"/>
            </w:r>
            <w:r w:rsidR="00B03653">
              <w:rPr>
                <w:webHidden/>
              </w:rPr>
              <w:instrText xml:space="preserve"> PAGEREF _Toc413139542 \h </w:instrText>
            </w:r>
            <w:r w:rsidR="00B03653">
              <w:rPr>
                <w:webHidden/>
              </w:rPr>
            </w:r>
            <w:r w:rsidR="00B03653">
              <w:rPr>
                <w:webHidden/>
              </w:rPr>
              <w:fldChar w:fldCharType="separate"/>
            </w:r>
            <w:r w:rsidR="00982115">
              <w:rPr>
                <w:webHidden/>
              </w:rPr>
              <w:t>7</w:t>
            </w:r>
            <w:r w:rsidR="00B03653">
              <w:rPr>
                <w:webHidden/>
              </w:rPr>
              <w:fldChar w:fldCharType="end"/>
            </w:r>
          </w:hyperlink>
        </w:p>
        <w:p w14:paraId="095DCB48" w14:textId="77777777" w:rsidR="00B03653" w:rsidRPr="00B03653" w:rsidRDefault="00B03653" w:rsidP="00B03653">
          <w:pPr>
            <w:rPr>
              <w:noProof/>
            </w:rPr>
          </w:pPr>
        </w:p>
        <w:p w14:paraId="6E4C2BC5" w14:textId="77777777" w:rsidR="00B03653" w:rsidRPr="00B03653" w:rsidRDefault="001967FE">
          <w:pPr>
            <w:pStyle w:val="TOC2"/>
            <w:tabs>
              <w:tab w:val="left" w:pos="660"/>
              <w:tab w:val="right" w:leader="dot" w:pos="8681"/>
            </w:tabs>
            <w:rPr>
              <w:rFonts w:asciiTheme="minorHAnsi" w:eastAsiaTheme="minorEastAsia" w:hAnsiTheme="minorHAnsi" w:cstheme="minorBidi"/>
              <w:b/>
              <w:noProof/>
              <w:color w:val="auto"/>
              <w:sz w:val="22"/>
              <w:szCs w:val="22"/>
              <w:lang w:eastAsia="en-AU"/>
            </w:rPr>
          </w:pPr>
          <w:hyperlink w:anchor="_Toc413139543" w:history="1">
            <w:r w:rsidR="00B03653" w:rsidRPr="00B03653">
              <w:rPr>
                <w:rStyle w:val="Hyperlink"/>
                <w:b/>
                <w:noProof/>
              </w:rPr>
              <w:t>1.</w:t>
            </w:r>
            <w:r w:rsidR="00B03653" w:rsidRPr="00B03653">
              <w:rPr>
                <w:rFonts w:asciiTheme="minorHAnsi" w:eastAsiaTheme="minorEastAsia" w:hAnsiTheme="minorHAnsi" w:cstheme="minorBidi"/>
                <w:b/>
                <w:noProof/>
                <w:color w:val="auto"/>
                <w:sz w:val="22"/>
                <w:szCs w:val="22"/>
                <w:lang w:eastAsia="en-AU"/>
              </w:rPr>
              <w:tab/>
            </w:r>
            <w:r w:rsidR="00B03653" w:rsidRPr="00B03653">
              <w:rPr>
                <w:rStyle w:val="Hyperlink"/>
                <w:b/>
                <w:noProof/>
              </w:rPr>
              <w:t>Introduction</w:t>
            </w:r>
            <w:r w:rsidR="00B03653" w:rsidRPr="00B03653">
              <w:rPr>
                <w:b/>
                <w:noProof/>
                <w:webHidden/>
              </w:rPr>
              <w:tab/>
            </w:r>
            <w:r w:rsidR="00B03653" w:rsidRPr="00B03653">
              <w:rPr>
                <w:b/>
                <w:noProof/>
                <w:webHidden/>
              </w:rPr>
              <w:fldChar w:fldCharType="begin"/>
            </w:r>
            <w:r w:rsidR="00B03653" w:rsidRPr="00B03653">
              <w:rPr>
                <w:b/>
                <w:noProof/>
                <w:webHidden/>
              </w:rPr>
              <w:instrText xml:space="preserve"> PAGEREF _Toc413139543 \h </w:instrText>
            </w:r>
            <w:r w:rsidR="00B03653" w:rsidRPr="00B03653">
              <w:rPr>
                <w:b/>
                <w:noProof/>
                <w:webHidden/>
              </w:rPr>
            </w:r>
            <w:r w:rsidR="00B03653" w:rsidRPr="00B03653">
              <w:rPr>
                <w:b/>
                <w:noProof/>
                <w:webHidden/>
              </w:rPr>
              <w:fldChar w:fldCharType="separate"/>
            </w:r>
            <w:r w:rsidR="00982115">
              <w:rPr>
                <w:b/>
                <w:noProof/>
                <w:webHidden/>
              </w:rPr>
              <w:t>9</w:t>
            </w:r>
            <w:r w:rsidR="00B03653" w:rsidRPr="00B03653">
              <w:rPr>
                <w:b/>
                <w:noProof/>
                <w:webHidden/>
              </w:rPr>
              <w:fldChar w:fldCharType="end"/>
            </w:r>
          </w:hyperlink>
        </w:p>
        <w:p w14:paraId="7B38219E"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44" w:history="1">
            <w:r w:rsidR="00B03653" w:rsidRPr="005A4CE2">
              <w:rPr>
                <w:rStyle w:val="Hyperlink"/>
                <w:noProof/>
              </w:rPr>
              <w:t>1.1.</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Increasing importance of spectrum</w:t>
            </w:r>
            <w:r w:rsidR="00B03653">
              <w:rPr>
                <w:noProof/>
                <w:webHidden/>
              </w:rPr>
              <w:tab/>
            </w:r>
            <w:r w:rsidR="00B03653">
              <w:rPr>
                <w:noProof/>
                <w:webHidden/>
              </w:rPr>
              <w:fldChar w:fldCharType="begin"/>
            </w:r>
            <w:r w:rsidR="00B03653">
              <w:rPr>
                <w:noProof/>
                <w:webHidden/>
              </w:rPr>
              <w:instrText xml:space="preserve"> PAGEREF _Toc413139544 \h </w:instrText>
            </w:r>
            <w:r w:rsidR="00B03653">
              <w:rPr>
                <w:noProof/>
                <w:webHidden/>
              </w:rPr>
            </w:r>
            <w:r w:rsidR="00B03653">
              <w:rPr>
                <w:noProof/>
                <w:webHidden/>
              </w:rPr>
              <w:fldChar w:fldCharType="separate"/>
            </w:r>
            <w:r w:rsidR="00982115">
              <w:rPr>
                <w:noProof/>
                <w:webHidden/>
              </w:rPr>
              <w:t>9</w:t>
            </w:r>
            <w:r w:rsidR="00B03653">
              <w:rPr>
                <w:noProof/>
                <w:webHidden/>
              </w:rPr>
              <w:fldChar w:fldCharType="end"/>
            </w:r>
          </w:hyperlink>
        </w:p>
        <w:p w14:paraId="336EB0BF"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45" w:history="1">
            <w:r w:rsidR="00B03653" w:rsidRPr="005A4CE2">
              <w:rPr>
                <w:rStyle w:val="Hyperlink"/>
                <w:noProof/>
              </w:rPr>
              <w:t>1.2.</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Current spectrum management framework</w:t>
            </w:r>
            <w:r w:rsidR="00B03653">
              <w:rPr>
                <w:noProof/>
                <w:webHidden/>
              </w:rPr>
              <w:tab/>
            </w:r>
            <w:r w:rsidR="00B03653">
              <w:rPr>
                <w:noProof/>
                <w:webHidden/>
              </w:rPr>
              <w:fldChar w:fldCharType="begin"/>
            </w:r>
            <w:r w:rsidR="00B03653">
              <w:rPr>
                <w:noProof/>
                <w:webHidden/>
              </w:rPr>
              <w:instrText xml:space="preserve"> PAGEREF _Toc413139545 \h </w:instrText>
            </w:r>
            <w:r w:rsidR="00B03653">
              <w:rPr>
                <w:noProof/>
                <w:webHidden/>
              </w:rPr>
            </w:r>
            <w:r w:rsidR="00B03653">
              <w:rPr>
                <w:noProof/>
                <w:webHidden/>
              </w:rPr>
              <w:fldChar w:fldCharType="separate"/>
            </w:r>
            <w:r w:rsidR="00982115">
              <w:rPr>
                <w:noProof/>
                <w:webHidden/>
              </w:rPr>
              <w:t>9</w:t>
            </w:r>
            <w:r w:rsidR="00B03653">
              <w:rPr>
                <w:noProof/>
                <w:webHidden/>
              </w:rPr>
              <w:fldChar w:fldCharType="end"/>
            </w:r>
          </w:hyperlink>
        </w:p>
        <w:p w14:paraId="387F5D17"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47" w:history="1">
            <w:r w:rsidR="00B03653" w:rsidRPr="005A4CE2">
              <w:rPr>
                <w:rStyle w:val="Hyperlink"/>
                <w:noProof/>
              </w:rPr>
              <w:t>1.3.</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What does reform look like?</w:t>
            </w:r>
            <w:r w:rsidR="00B03653">
              <w:rPr>
                <w:noProof/>
                <w:webHidden/>
              </w:rPr>
              <w:tab/>
            </w:r>
            <w:r w:rsidR="00B03653">
              <w:rPr>
                <w:noProof/>
                <w:webHidden/>
              </w:rPr>
              <w:fldChar w:fldCharType="begin"/>
            </w:r>
            <w:r w:rsidR="00B03653">
              <w:rPr>
                <w:noProof/>
                <w:webHidden/>
              </w:rPr>
              <w:instrText xml:space="preserve"> PAGEREF _Toc413139547 \h </w:instrText>
            </w:r>
            <w:r w:rsidR="00B03653">
              <w:rPr>
                <w:noProof/>
                <w:webHidden/>
              </w:rPr>
            </w:r>
            <w:r w:rsidR="00B03653">
              <w:rPr>
                <w:noProof/>
                <w:webHidden/>
              </w:rPr>
              <w:fldChar w:fldCharType="separate"/>
            </w:r>
            <w:r w:rsidR="00982115">
              <w:rPr>
                <w:noProof/>
                <w:webHidden/>
              </w:rPr>
              <w:t>12</w:t>
            </w:r>
            <w:r w:rsidR="00B03653">
              <w:rPr>
                <w:noProof/>
                <w:webHidden/>
              </w:rPr>
              <w:fldChar w:fldCharType="end"/>
            </w:r>
          </w:hyperlink>
        </w:p>
        <w:p w14:paraId="0922FCB2" w14:textId="77777777" w:rsidR="00B03653" w:rsidRDefault="00B03653">
          <w:pPr>
            <w:pStyle w:val="TOC2"/>
            <w:tabs>
              <w:tab w:val="left" w:pos="660"/>
              <w:tab w:val="right" w:leader="dot" w:pos="8681"/>
            </w:tabs>
            <w:rPr>
              <w:rStyle w:val="Hyperlink"/>
              <w:noProof/>
            </w:rPr>
          </w:pPr>
        </w:p>
        <w:p w14:paraId="1E44FB21" w14:textId="77777777" w:rsidR="00B03653" w:rsidRPr="00B03653" w:rsidRDefault="001967FE">
          <w:pPr>
            <w:pStyle w:val="TOC2"/>
            <w:tabs>
              <w:tab w:val="left" w:pos="660"/>
              <w:tab w:val="right" w:leader="dot" w:pos="8681"/>
            </w:tabs>
            <w:rPr>
              <w:rFonts w:asciiTheme="minorHAnsi" w:eastAsiaTheme="minorEastAsia" w:hAnsiTheme="minorHAnsi" w:cstheme="minorBidi"/>
              <w:b/>
              <w:noProof/>
              <w:color w:val="auto"/>
              <w:sz w:val="22"/>
              <w:szCs w:val="22"/>
              <w:lang w:eastAsia="en-AU"/>
            </w:rPr>
          </w:pPr>
          <w:hyperlink w:anchor="_Toc413139548" w:history="1">
            <w:r w:rsidR="00B03653" w:rsidRPr="00B03653">
              <w:rPr>
                <w:rStyle w:val="Hyperlink"/>
                <w:b/>
                <w:noProof/>
              </w:rPr>
              <w:t>2.</w:t>
            </w:r>
            <w:r w:rsidR="00B03653" w:rsidRPr="00B03653">
              <w:rPr>
                <w:rFonts w:asciiTheme="minorHAnsi" w:eastAsiaTheme="minorEastAsia" w:hAnsiTheme="minorHAnsi" w:cstheme="minorBidi"/>
                <w:b/>
                <w:noProof/>
                <w:color w:val="auto"/>
                <w:sz w:val="22"/>
                <w:szCs w:val="22"/>
                <w:lang w:eastAsia="en-AU"/>
              </w:rPr>
              <w:tab/>
            </w:r>
            <w:r w:rsidR="00B03653" w:rsidRPr="00B03653">
              <w:rPr>
                <w:rStyle w:val="Hyperlink"/>
                <w:b/>
                <w:noProof/>
              </w:rPr>
              <w:t>Proposals for reform</w:t>
            </w:r>
            <w:r w:rsidR="00B03653" w:rsidRPr="00B03653">
              <w:rPr>
                <w:b/>
                <w:noProof/>
                <w:webHidden/>
              </w:rPr>
              <w:tab/>
            </w:r>
            <w:r w:rsidR="00B03653" w:rsidRPr="00B03653">
              <w:rPr>
                <w:b/>
                <w:noProof/>
                <w:webHidden/>
              </w:rPr>
              <w:fldChar w:fldCharType="begin"/>
            </w:r>
            <w:r w:rsidR="00B03653" w:rsidRPr="00B03653">
              <w:rPr>
                <w:b/>
                <w:noProof/>
                <w:webHidden/>
              </w:rPr>
              <w:instrText xml:space="preserve"> PAGEREF _Toc413139548 \h </w:instrText>
            </w:r>
            <w:r w:rsidR="00B03653" w:rsidRPr="00B03653">
              <w:rPr>
                <w:b/>
                <w:noProof/>
                <w:webHidden/>
              </w:rPr>
            </w:r>
            <w:r w:rsidR="00B03653" w:rsidRPr="00B03653">
              <w:rPr>
                <w:b/>
                <w:noProof/>
                <w:webHidden/>
              </w:rPr>
              <w:fldChar w:fldCharType="separate"/>
            </w:r>
            <w:r w:rsidR="00982115">
              <w:rPr>
                <w:b/>
                <w:noProof/>
                <w:webHidden/>
              </w:rPr>
              <w:t>14</w:t>
            </w:r>
            <w:r w:rsidR="00B03653" w:rsidRPr="00B03653">
              <w:rPr>
                <w:b/>
                <w:noProof/>
                <w:webHidden/>
              </w:rPr>
              <w:fldChar w:fldCharType="end"/>
            </w:r>
          </w:hyperlink>
        </w:p>
        <w:p w14:paraId="5762D8E2"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49" w:history="1">
            <w:r w:rsidR="00B03653" w:rsidRPr="005A4CE2">
              <w:rPr>
                <w:rStyle w:val="Hyperlink"/>
                <w:noProof/>
              </w:rPr>
              <w:t>2.1.</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 – Legislation</w:t>
            </w:r>
            <w:r w:rsidR="00B03653">
              <w:rPr>
                <w:noProof/>
                <w:webHidden/>
              </w:rPr>
              <w:tab/>
            </w:r>
            <w:r w:rsidR="00B03653">
              <w:rPr>
                <w:noProof/>
                <w:webHidden/>
              </w:rPr>
              <w:fldChar w:fldCharType="begin"/>
            </w:r>
            <w:r w:rsidR="00B03653">
              <w:rPr>
                <w:noProof/>
                <w:webHidden/>
              </w:rPr>
              <w:instrText xml:space="preserve"> PAGEREF _Toc413139549 \h </w:instrText>
            </w:r>
            <w:r w:rsidR="00B03653">
              <w:rPr>
                <w:noProof/>
                <w:webHidden/>
              </w:rPr>
            </w:r>
            <w:r w:rsidR="00B03653">
              <w:rPr>
                <w:noProof/>
                <w:webHidden/>
              </w:rPr>
              <w:fldChar w:fldCharType="separate"/>
            </w:r>
            <w:r w:rsidR="00982115">
              <w:rPr>
                <w:noProof/>
                <w:webHidden/>
              </w:rPr>
              <w:t>14</w:t>
            </w:r>
            <w:r w:rsidR="00B03653">
              <w:rPr>
                <w:noProof/>
                <w:webHidden/>
              </w:rPr>
              <w:fldChar w:fldCharType="end"/>
            </w:r>
          </w:hyperlink>
        </w:p>
        <w:p w14:paraId="06274347"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52" w:history="1">
            <w:r w:rsidR="00B03653" w:rsidRPr="005A4CE2">
              <w:rPr>
                <w:rStyle w:val="Hyperlink"/>
                <w:noProof/>
              </w:rPr>
              <w:t>2.2.</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1(a) – Single licensing system</w:t>
            </w:r>
            <w:r w:rsidR="00B03653">
              <w:rPr>
                <w:noProof/>
                <w:webHidden/>
              </w:rPr>
              <w:tab/>
            </w:r>
            <w:r w:rsidR="00B03653">
              <w:rPr>
                <w:noProof/>
                <w:webHidden/>
              </w:rPr>
              <w:fldChar w:fldCharType="begin"/>
            </w:r>
            <w:r w:rsidR="00B03653">
              <w:rPr>
                <w:noProof/>
                <w:webHidden/>
              </w:rPr>
              <w:instrText xml:space="preserve"> PAGEREF _Toc413139552 \h </w:instrText>
            </w:r>
            <w:r w:rsidR="00B03653">
              <w:rPr>
                <w:noProof/>
                <w:webHidden/>
              </w:rPr>
            </w:r>
            <w:r w:rsidR="00B03653">
              <w:rPr>
                <w:noProof/>
                <w:webHidden/>
              </w:rPr>
              <w:fldChar w:fldCharType="separate"/>
            </w:r>
            <w:r w:rsidR="00982115">
              <w:rPr>
                <w:noProof/>
                <w:webHidden/>
              </w:rPr>
              <w:t>16</w:t>
            </w:r>
            <w:r w:rsidR="00B03653">
              <w:rPr>
                <w:noProof/>
                <w:webHidden/>
              </w:rPr>
              <w:fldChar w:fldCharType="end"/>
            </w:r>
          </w:hyperlink>
        </w:p>
        <w:p w14:paraId="2B4CA0DC"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55" w:history="1">
            <w:r w:rsidR="00B03653" w:rsidRPr="005A4CE2">
              <w:rPr>
                <w:rStyle w:val="Hyperlink"/>
                <w:noProof/>
              </w:rPr>
              <w:t>2.3.</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1(b) – Integrating management of broadcasting spectrum</w:t>
            </w:r>
            <w:r w:rsidR="00B03653">
              <w:rPr>
                <w:noProof/>
                <w:webHidden/>
              </w:rPr>
              <w:tab/>
            </w:r>
            <w:r w:rsidR="00B03653">
              <w:rPr>
                <w:noProof/>
                <w:webHidden/>
              </w:rPr>
              <w:fldChar w:fldCharType="begin"/>
            </w:r>
            <w:r w:rsidR="00B03653">
              <w:rPr>
                <w:noProof/>
                <w:webHidden/>
              </w:rPr>
              <w:instrText xml:space="preserve"> PAGEREF _Toc413139555 \h </w:instrText>
            </w:r>
            <w:r w:rsidR="00B03653">
              <w:rPr>
                <w:noProof/>
                <w:webHidden/>
              </w:rPr>
            </w:r>
            <w:r w:rsidR="00B03653">
              <w:rPr>
                <w:noProof/>
                <w:webHidden/>
              </w:rPr>
              <w:fldChar w:fldCharType="separate"/>
            </w:r>
            <w:r w:rsidR="00982115">
              <w:rPr>
                <w:noProof/>
                <w:webHidden/>
              </w:rPr>
              <w:t>19</w:t>
            </w:r>
            <w:r w:rsidR="00B03653">
              <w:rPr>
                <w:noProof/>
                <w:webHidden/>
              </w:rPr>
              <w:fldChar w:fldCharType="end"/>
            </w:r>
          </w:hyperlink>
        </w:p>
        <w:p w14:paraId="35C3D5E3"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58" w:history="1">
            <w:r w:rsidR="00B03653" w:rsidRPr="005A4CE2">
              <w:rPr>
                <w:rStyle w:val="Hyperlink"/>
                <w:noProof/>
              </w:rPr>
              <w:t>2.4.</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1(c) – Clarified roles and responsibilities</w:t>
            </w:r>
            <w:r w:rsidR="00B03653">
              <w:rPr>
                <w:noProof/>
                <w:webHidden/>
              </w:rPr>
              <w:tab/>
            </w:r>
            <w:r w:rsidR="00B03653">
              <w:rPr>
                <w:noProof/>
                <w:webHidden/>
              </w:rPr>
              <w:fldChar w:fldCharType="begin"/>
            </w:r>
            <w:r w:rsidR="00B03653">
              <w:rPr>
                <w:noProof/>
                <w:webHidden/>
              </w:rPr>
              <w:instrText xml:space="preserve"> PAGEREF _Toc413139558 \h </w:instrText>
            </w:r>
            <w:r w:rsidR="00B03653">
              <w:rPr>
                <w:noProof/>
                <w:webHidden/>
              </w:rPr>
            </w:r>
            <w:r w:rsidR="00B03653">
              <w:rPr>
                <w:noProof/>
                <w:webHidden/>
              </w:rPr>
              <w:fldChar w:fldCharType="separate"/>
            </w:r>
            <w:r w:rsidR="00982115">
              <w:rPr>
                <w:noProof/>
                <w:webHidden/>
              </w:rPr>
              <w:t>21</w:t>
            </w:r>
            <w:r w:rsidR="00B03653">
              <w:rPr>
                <w:noProof/>
                <w:webHidden/>
              </w:rPr>
              <w:fldChar w:fldCharType="end"/>
            </w:r>
          </w:hyperlink>
        </w:p>
        <w:p w14:paraId="34F1479F"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61" w:history="1">
            <w:r w:rsidR="00B03653" w:rsidRPr="005A4CE2">
              <w:rPr>
                <w:rStyle w:val="Hyperlink"/>
                <w:noProof/>
              </w:rPr>
              <w:t>2.5.</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1(d) – Transparent and timely allocation processes</w:t>
            </w:r>
            <w:r w:rsidR="00B03653">
              <w:rPr>
                <w:noProof/>
                <w:webHidden/>
              </w:rPr>
              <w:tab/>
            </w:r>
            <w:r w:rsidR="00B03653">
              <w:rPr>
                <w:noProof/>
                <w:webHidden/>
              </w:rPr>
              <w:fldChar w:fldCharType="begin"/>
            </w:r>
            <w:r w:rsidR="00B03653">
              <w:rPr>
                <w:noProof/>
                <w:webHidden/>
              </w:rPr>
              <w:instrText xml:space="preserve"> PAGEREF _Toc413139561 \h </w:instrText>
            </w:r>
            <w:r w:rsidR="00B03653">
              <w:rPr>
                <w:noProof/>
                <w:webHidden/>
              </w:rPr>
            </w:r>
            <w:r w:rsidR="00B03653">
              <w:rPr>
                <w:noProof/>
                <w:webHidden/>
              </w:rPr>
              <w:fldChar w:fldCharType="separate"/>
            </w:r>
            <w:r w:rsidR="00982115">
              <w:rPr>
                <w:noProof/>
                <w:webHidden/>
              </w:rPr>
              <w:t>24</w:t>
            </w:r>
            <w:r w:rsidR="00B03653">
              <w:rPr>
                <w:noProof/>
                <w:webHidden/>
              </w:rPr>
              <w:fldChar w:fldCharType="end"/>
            </w:r>
          </w:hyperlink>
        </w:p>
        <w:p w14:paraId="275576A8"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64" w:history="1">
            <w:r w:rsidR="00B03653" w:rsidRPr="005A4CE2">
              <w:rPr>
                <w:rStyle w:val="Hyperlink"/>
                <w:noProof/>
              </w:rPr>
              <w:t>2.6.</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1(e) – User involvement in spectrum management</w:t>
            </w:r>
            <w:r w:rsidR="00B03653">
              <w:rPr>
                <w:noProof/>
                <w:webHidden/>
              </w:rPr>
              <w:tab/>
            </w:r>
            <w:r w:rsidR="00B03653">
              <w:rPr>
                <w:noProof/>
                <w:webHidden/>
              </w:rPr>
              <w:fldChar w:fldCharType="begin"/>
            </w:r>
            <w:r w:rsidR="00B03653">
              <w:rPr>
                <w:noProof/>
                <w:webHidden/>
              </w:rPr>
              <w:instrText xml:space="preserve"> PAGEREF _Toc413139564 \h </w:instrText>
            </w:r>
            <w:r w:rsidR="00B03653">
              <w:rPr>
                <w:noProof/>
                <w:webHidden/>
              </w:rPr>
            </w:r>
            <w:r w:rsidR="00B03653">
              <w:rPr>
                <w:noProof/>
                <w:webHidden/>
              </w:rPr>
              <w:fldChar w:fldCharType="separate"/>
            </w:r>
            <w:r w:rsidR="00982115">
              <w:rPr>
                <w:noProof/>
                <w:webHidden/>
              </w:rPr>
              <w:t>26</w:t>
            </w:r>
            <w:r w:rsidR="00B03653">
              <w:rPr>
                <w:noProof/>
                <w:webHidden/>
              </w:rPr>
              <w:fldChar w:fldCharType="end"/>
            </w:r>
          </w:hyperlink>
        </w:p>
        <w:p w14:paraId="14B5C0FC"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67" w:history="1">
            <w:r w:rsidR="00B03653" w:rsidRPr="005A4CE2">
              <w:rPr>
                <w:rStyle w:val="Hyperlink"/>
                <w:noProof/>
              </w:rPr>
              <w:t>2.7.</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1(f) – Streamlined device supply schemes</w:t>
            </w:r>
            <w:r w:rsidR="00B03653">
              <w:rPr>
                <w:noProof/>
                <w:webHidden/>
              </w:rPr>
              <w:tab/>
            </w:r>
            <w:r w:rsidR="00B03653">
              <w:rPr>
                <w:noProof/>
                <w:webHidden/>
              </w:rPr>
              <w:fldChar w:fldCharType="begin"/>
            </w:r>
            <w:r w:rsidR="00B03653">
              <w:rPr>
                <w:noProof/>
                <w:webHidden/>
              </w:rPr>
              <w:instrText xml:space="preserve"> PAGEREF _Toc413139567 \h </w:instrText>
            </w:r>
            <w:r w:rsidR="00B03653">
              <w:rPr>
                <w:noProof/>
                <w:webHidden/>
              </w:rPr>
            </w:r>
            <w:r w:rsidR="00B03653">
              <w:rPr>
                <w:noProof/>
                <w:webHidden/>
              </w:rPr>
              <w:fldChar w:fldCharType="separate"/>
            </w:r>
            <w:r w:rsidR="00982115">
              <w:rPr>
                <w:noProof/>
                <w:webHidden/>
              </w:rPr>
              <w:t>28</w:t>
            </w:r>
            <w:r w:rsidR="00B03653">
              <w:rPr>
                <w:noProof/>
                <w:webHidden/>
              </w:rPr>
              <w:fldChar w:fldCharType="end"/>
            </w:r>
          </w:hyperlink>
        </w:p>
        <w:p w14:paraId="1BB92EA2"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70" w:history="1">
            <w:r w:rsidR="00B03653" w:rsidRPr="005A4CE2">
              <w:rPr>
                <w:rStyle w:val="Hyperlink"/>
                <w:noProof/>
              </w:rPr>
              <w:t>2.8.</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1(g) – Improved compliance and enforcement</w:t>
            </w:r>
            <w:r w:rsidR="00B03653">
              <w:rPr>
                <w:noProof/>
                <w:webHidden/>
              </w:rPr>
              <w:tab/>
            </w:r>
            <w:r w:rsidR="00B03653">
              <w:rPr>
                <w:noProof/>
                <w:webHidden/>
              </w:rPr>
              <w:fldChar w:fldCharType="begin"/>
            </w:r>
            <w:r w:rsidR="00B03653">
              <w:rPr>
                <w:noProof/>
                <w:webHidden/>
              </w:rPr>
              <w:instrText xml:space="preserve"> PAGEREF _Toc413139570 \h </w:instrText>
            </w:r>
            <w:r w:rsidR="00B03653">
              <w:rPr>
                <w:noProof/>
                <w:webHidden/>
              </w:rPr>
            </w:r>
            <w:r w:rsidR="00B03653">
              <w:rPr>
                <w:noProof/>
                <w:webHidden/>
              </w:rPr>
              <w:fldChar w:fldCharType="separate"/>
            </w:r>
            <w:r w:rsidR="00982115">
              <w:rPr>
                <w:noProof/>
                <w:webHidden/>
              </w:rPr>
              <w:t>30</w:t>
            </w:r>
            <w:r w:rsidR="00B03653">
              <w:rPr>
                <w:noProof/>
                <w:webHidden/>
              </w:rPr>
              <w:fldChar w:fldCharType="end"/>
            </w:r>
          </w:hyperlink>
        </w:p>
        <w:p w14:paraId="2A3EC156"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73" w:history="1">
            <w:r w:rsidR="00B03653" w:rsidRPr="005A4CE2">
              <w:rPr>
                <w:rStyle w:val="Hyperlink"/>
                <w:noProof/>
              </w:rPr>
              <w:t>2.9.</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1(h) – Transitional arrangements</w:t>
            </w:r>
            <w:r w:rsidR="00B03653">
              <w:rPr>
                <w:noProof/>
                <w:webHidden/>
              </w:rPr>
              <w:tab/>
            </w:r>
            <w:r w:rsidR="00B03653">
              <w:rPr>
                <w:noProof/>
                <w:webHidden/>
              </w:rPr>
              <w:fldChar w:fldCharType="begin"/>
            </w:r>
            <w:r w:rsidR="00B03653">
              <w:rPr>
                <w:noProof/>
                <w:webHidden/>
              </w:rPr>
              <w:instrText xml:space="preserve"> PAGEREF _Toc413139573 \h </w:instrText>
            </w:r>
            <w:r w:rsidR="00B03653">
              <w:rPr>
                <w:noProof/>
                <w:webHidden/>
              </w:rPr>
            </w:r>
            <w:r w:rsidR="00B03653">
              <w:rPr>
                <w:noProof/>
                <w:webHidden/>
              </w:rPr>
              <w:fldChar w:fldCharType="separate"/>
            </w:r>
            <w:r w:rsidR="00982115">
              <w:rPr>
                <w:noProof/>
                <w:webHidden/>
              </w:rPr>
              <w:t>32</w:t>
            </w:r>
            <w:r w:rsidR="00B03653">
              <w:rPr>
                <w:noProof/>
                <w:webHidden/>
              </w:rPr>
              <w:fldChar w:fldCharType="end"/>
            </w:r>
          </w:hyperlink>
        </w:p>
        <w:p w14:paraId="448BDAD5" w14:textId="77777777" w:rsidR="00B03653" w:rsidRDefault="001967FE">
          <w:pPr>
            <w:pStyle w:val="TOC2"/>
            <w:tabs>
              <w:tab w:val="left" w:pos="1100"/>
              <w:tab w:val="right" w:leader="dot" w:pos="8681"/>
            </w:tabs>
            <w:rPr>
              <w:rFonts w:asciiTheme="minorHAnsi" w:eastAsiaTheme="minorEastAsia" w:hAnsiTheme="minorHAnsi" w:cstheme="minorBidi"/>
              <w:noProof/>
              <w:color w:val="auto"/>
              <w:sz w:val="22"/>
              <w:szCs w:val="22"/>
              <w:lang w:eastAsia="en-AU"/>
            </w:rPr>
          </w:pPr>
          <w:hyperlink w:anchor="_Toc413139576" w:history="1">
            <w:r w:rsidR="00B03653" w:rsidRPr="005A4CE2">
              <w:rPr>
                <w:rStyle w:val="Hyperlink"/>
                <w:noProof/>
              </w:rPr>
              <w:t>2.10.</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2 – Government spectrum use</w:t>
            </w:r>
            <w:r w:rsidR="00B03653">
              <w:rPr>
                <w:noProof/>
                <w:webHidden/>
              </w:rPr>
              <w:tab/>
            </w:r>
            <w:r w:rsidR="00B03653">
              <w:rPr>
                <w:noProof/>
                <w:webHidden/>
              </w:rPr>
              <w:fldChar w:fldCharType="begin"/>
            </w:r>
            <w:r w:rsidR="00B03653">
              <w:rPr>
                <w:noProof/>
                <w:webHidden/>
              </w:rPr>
              <w:instrText xml:space="preserve"> PAGEREF _Toc413139576 \h </w:instrText>
            </w:r>
            <w:r w:rsidR="00B03653">
              <w:rPr>
                <w:noProof/>
                <w:webHidden/>
              </w:rPr>
            </w:r>
            <w:r w:rsidR="00B03653">
              <w:rPr>
                <w:noProof/>
                <w:webHidden/>
              </w:rPr>
              <w:fldChar w:fldCharType="separate"/>
            </w:r>
            <w:r w:rsidR="00982115">
              <w:rPr>
                <w:noProof/>
                <w:webHidden/>
              </w:rPr>
              <w:t>34</w:t>
            </w:r>
            <w:r w:rsidR="00B03653">
              <w:rPr>
                <w:noProof/>
                <w:webHidden/>
              </w:rPr>
              <w:fldChar w:fldCharType="end"/>
            </w:r>
          </w:hyperlink>
        </w:p>
        <w:p w14:paraId="4456E802" w14:textId="77777777" w:rsidR="00B03653" w:rsidRDefault="001967FE">
          <w:pPr>
            <w:pStyle w:val="TOC2"/>
            <w:tabs>
              <w:tab w:val="left" w:pos="1100"/>
              <w:tab w:val="right" w:leader="dot" w:pos="8681"/>
            </w:tabs>
            <w:rPr>
              <w:rFonts w:asciiTheme="minorHAnsi" w:eastAsiaTheme="minorEastAsia" w:hAnsiTheme="minorHAnsi" w:cstheme="minorBidi"/>
              <w:noProof/>
              <w:color w:val="auto"/>
              <w:sz w:val="22"/>
              <w:szCs w:val="22"/>
              <w:lang w:eastAsia="en-AU"/>
            </w:rPr>
          </w:pPr>
          <w:hyperlink w:anchor="_Toc413139579" w:history="1">
            <w:r w:rsidR="00B03653" w:rsidRPr="005A4CE2">
              <w:rPr>
                <w:rStyle w:val="Hyperlink"/>
                <w:noProof/>
              </w:rPr>
              <w:t>2.11.</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Recommendation 3 – Spectrum pricing</w:t>
            </w:r>
            <w:r w:rsidR="00B03653">
              <w:rPr>
                <w:noProof/>
                <w:webHidden/>
              </w:rPr>
              <w:tab/>
            </w:r>
            <w:r w:rsidR="00B03653">
              <w:rPr>
                <w:noProof/>
                <w:webHidden/>
              </w:rPr>
              <w:fldChar w:fldCharType="begin"/>
            </w:r>
            <w:r w:rsidR="00B03653">
              <w:rPr>
                <w:noProof/>
                <w:webHidden/>
              </w:rPr>
              <w:instrText xml:space="preserve"> PAGEREF _Toc413139579 \h </w:instrText>
            </w:r>
            <w:r w:rsidR="00B03653">
              <w:rPr>
                <w:noProof/>
                <w:webHidden/>
              </w:rPr>
            </w:r>
            <w:r w:rsidR="00B03653">
              <w:rPr>
                <w:noProof/>
                <w:webHidden/>
              </w:rPr>
              <w:fldChar w:fldCharType="separate"/>
            </w:r>
            <w:r w:rsidR="00982115">
              <w:rPr>
                <w:noProof/>
                <w:webHidden/>
              </w:rPr>
              <w:t>35</w:t>
            </w:r>
            <w:r w:rsidR="00B03653">
              <w:rPr>
                <w:noProof/>
                <w:webHidden/>
              </w:rPr>
              <w:fldChar w:fldCharType="end"/>
            </w:r>
          </w:hyperlink>
        </w:p>
        <w:p w14:paraId="550F6B45" w14:textId="77777777" w:rsidR="00B03653" w:rsidRDefault="00B03653">
          <w:pPr>
            <w:pStyle w:val="TOC2"/>
            <w:tabs>
              <w:tab w:val="left" w:pos="660"/>
              <w:tab w:val="right" w:leader="dot" w:pos="8681"/>
            </w:tabs>
            <w:rPr>
              <w:rStyle w:val="Hyperlink"/>
              <w:noProof/>
            </w:rPr>
          </w:pPr>
        </w:p>
        <w:p w14:paraId="4B93080A" w14:textId="77777777" w:rsidR="00B03653" w:rsidRPr="00B03653" w:rsidRDefault="001967FE">
          <w:pPr>
            <w:pStyle w:val="TOC2"/>
            <w:tabs>
              <w:tab w:val="left" w:pos="660"/>
              <w:tab w:val="right" w:leader="dot" w:pos="8681"/>
            </w:tabs>
            <w:rPr>
              <w:rFonts w:asciiTheme="minorHAnsi" w:eastAsiaTheme="minorEastAsia" w:hAnsiTheme="minorHAnsi" w:cstheme="minorBidi"/>
              <w:b/>
              <w:noProof/>
              <w:color w:val="auto"/>
              <w:sz w:val="22"/>
              <w:szCs w:val="22"/>
              <w:lang w:eastAsia="en-AU"/>
            </w:rPr>
          </w:pPr>
          <w:hyperlink w:anchor="_Toc413139582" w:history="1">
            <w:r w:rsidR="00B03653" w:rsidRPr="00B03653">
              <w:rPr>
                <w:rStyle w:val="Hyperlink"/>
                <w:b/>
                <w:noProof/>
              </w:rPr>
              <w:t>3.</w:t>
            </w:r>
            <w:r w:rsidR="00B03653" w:rsidRPr="00B03653">
              <w:rPr>
                <w:rFonts w:asciiTheme="minorHAnsi" w:eastAsiaTheme="minorEastAsia" w:hAnsiTheme="minorHAnsi" w:cstheme="minorBidi"/>
                <w:b/>
                <w:noProof/>
                <w:color w:val="auto"/>
                <w:sz w:val="22"/>
                <w:szCs w:val="22"/>
                <w:lang w:eastAsia="en-AU"/>
              </w:rPr>
              <w:tab/>
            </w:r>
            <w:r w:rsidR="00B03653" w:rsidRPr="00B03653">
              <w:rPr>
                <w:rStyle w:val="Hyperlink"/>
                <w:b/>
                <w:noProof/>
              </w:rPr>
              <w:t>Financial implications</w:t>
            </w:r>
            <w:r w:rsidR="00B03653" w:rsidRPr="00B03653">
              <w:rPr>
                <w:b/>
                <w:noProof/>
                <w:webHidden/>
              </w:rPr>
              <w:tab/>
            </w:r>
            <w:r w:rsidR="00B03653" w:rsidRPr="00B03653">
              <w:rPr>
                <w:b/>
                <w:noProof/>
                <w:webHidden/>
              </w:rPr>
              <w:fldChar w:fldCharType="begin"/>
            </w:r>
            <w:r w:rsidR="00B03653" w:rsidRPr="00B03653">
              <w:rPr>
                <w:b/>
                <w:noProof/>
                <w:webHidden/>
              </w:rPr>
              <w:instrText xml:space="preserve"> PAGEREF _Toc413139582 \h </w:instrText>
            </w:r>
            <w:r w:rsidR="00B03653" w:rsidRPr="00B03653">
              <w:rPr>
                <w:b/>
                <w:noProof/>
                <w:webHidden/>
              </w:rPr>
            </w:r>
            <w:r w:rsidR="00B03653" w:rsidRPr="00B03653">
              <w:rPr>
                <w:b/>
                <w:noProof/>
                <w:webHidden/>
              </w:rPr>
              <w:fldChar w:fldCharType="separate"/>
            </w:r>
            <w:r w:rsidR="00982115">
              <w:rPr>
                <w:b/>
                <w:noProof/>
                <w:webHidden/>
              </w:rPr>
              <w:t>36</w:t>
            </w:r>
            <w:r w:rsidR="00B03653" w:rsidRPr="00B03653">
              <w:rPr>
                <w:b/>
                <w:noProof/>
                <w:webHidden/>
              </w:rPr>
              <w:fldChar w:fldCharType="end"/>
            </w:r>
          </w:hyperlink>
        </w:p>
        <w:p w14:paraId="62A83688"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83" w:history="1">
            <w:r w:rsidR="00B03653" w:rsidRPr="005A4CE2">
              <w:rPr>
                <w:rStyle w:val="Hyperlink"/>
                <w:noProof/>
              </w:rPr>
              <w:t>3.1.</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Single licensing system – implications for charging and revenues</w:t>
            </w:r>
            <w:r w:rsidR="00B03653">
              <w:rPr>
                <w:noProof/>
                <w:webHidden/>
              </w:rPr>
              <w:tab/>
            </w:r>
            <w:r w:rsidR="00B03653">
              <w:rPr>
                <w:noProof/>
                <w:webHidden/>
              </w:rPr>
              <w:fldChar w:fldCharType="begin"/>
            </w:r>
            <w:r w:rsidR="00B03653">
              <w:rPr>
                <w:noProof/>
                <w:webHidden/>
              </w:rPr>
              <w:instrText xml:space="preserve"> PAGEREF _Toc413139583 \h </w:instrText>
            </w:r>
            <w:r w:rsidR="00B03653">
              <w:rPr>
                <w:noProof/>
                <w:webHidden/>
              </w:rPr>
            </w:r>
            <w:r w:rsidR="00B03653">
              <w:rPr>
                <w:noProof/>
                <w:webHidden/>
              </w:rPr>
              <w:fldChar w:fldCharType="separate"/>
            </w:r>
            <w:r w:rsidR="00982115">
              <w:rPr>
                <w:noProof/>
                <w:webHidden/>
              </w:rPr>
              <w:t>36</w:t>
            </w:r>
            <w:r w:rsidR="00B03653">
              <w:rPr>
                <w:noProof/>
                <w:webHidden/>
              </w:rPr>
              <w:fldChar w:fldCharType="end"/>
            </w:r>
          </w:hyperlink>
        </w:p>
        <w:p w14:paraId="6A40E382" w14:textId="77777777" w:rsidR="00B03653" w:rsidRDefault="001967FE">
          <w:pPr>
            <w:pStyle w:val="TOC2"/>
            <w:tabs>
              <w:tab w:val="left" w:pos="880"/>
              <w:tab w:val="right" w:leader="dot" w:pos="8681"/>
            </w:tabs>
            <w:rPr>
              <w:rFonts w:asciiTheme="minorHAnsi" w:eastAsiaTheme="minorEastAsia" w:hAnsiTheme="minorHAnsi" w:cstheme="minorBidi"/>
              <w:noProof/>
              <w:color w:val="auto"/>
              <w:sz w:val="22"/>
              <w:szCs w:val="22"/>
              <w:lang w:eastAsia="en-AU"/>
            </w:rPr>
          </w:pPr>
          <w:hyperlink w:anchor="_Toc413139584" w:history="1">
            <w:r w:rsidR="00B03653" w:rsidRPr="005A4CE2">
              <w:rPr>
                <w:rStyle w:val="Hyperlink"/>
                <w:noProof/>
              </w:rPr>
              <w:t>3.2.</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Compensation</w:t>
            </w:r>
            <w:r w:rsidR="00B03653">
              <w:rPr>
                <w:noProof/>
                <w:webHidden/>
              </w:rPr>
              <w:tab/>
            </w:r>
            <w:r w:rsidR="00B03653">
              <w:rPr>
                <w:noProof/>
                <w:webHidden/>
              </w:rPr>
              <w:fldChar w:fldCharType="begin"/>
            </w:r>
            <w:r w:rsidR="00B03653">
              <w:rPr>
                <w:noProof/>
                <w:webHidden/>
              </w:rPr>
              <w:instrText xml:space="preserve"> PAGEREF _Toc413139584 \h </w:instrText>
            </w:r>
            <w:r w:rsidR="00B03653">
              <w:rPr>
                <w:noProof/>
                <w:webHidden/>
              </w:rPr>
            </w:r>
            <w:r w:rsidR="00B03653">
              <w:rPr>
                <w:noProof/>
                <w:webHidden/>
              </w:rPr>
              <w:fldChar w:fldCharType="separate"/>
            </w:r>
            <w:r w:rsidR="00982115">
              <w:rPr>
                <w:noProof/>
                <w:webHidden/>
              </w:rPr>
              <w:t>36</w:t>
            </w:r>
            <w:r w:rsidR="00B03653">
              <w:rPr>
                <w:noProof/>
                <w:webHidden/>
              </w:rPr>
              <w:fldChar w:fldCharType="end"/>
            </w:r>
          </w:hyperlink>
        </w:p>
        <w:p w14:paraId="5664E5D7" w14:textId="77777777" w:rsidR="00B03653" w:rsidRDefault="001967FE">
          <w:pPr>
            <w:pStyle w:val="TOC2"/>
            <w:tabs>
              <w:tab w:val="left" w:pos="880"/>
              <w:tab w:val="right" w:leader="dot" w:pos="8681"/>
            </w:tabs>
            <w:rPr>
              <w:rStyle w:val="Hyperlink"/>
              <w:noProof/>
            </w:rPr>
          </w:pPr>
          <w:hyperlink w:anchor="_Toc413139585" w:history="1">
            <w:r w:rsidR="00B03653" w:rsidRPr="005A4CE2">
              <w:rPr>
                <w:rStyle w:val="Hyperlink"/>
                <w:noProof/>
              </w:rPr>
              <w:t>3.3.</w:t>
            </w:r>
            <w:r w:rsidR="00B03653">
              <w:rPr>
                <w:rFonts w:asciiTheme="minorHAnsi" w:eastAsiaTheme="minorEastAsia" w:hAnsiTheme="minorHAnsi" w:cstheme="minorBidi"/>
                <w:noProof/>
                <w:color w:val="auto"/>
                <w:sz w:val="22"/>
                <w:szCs w:val="22"/>
                <w:lang w:eastAsia="en-AU"/>
              </w:rPr>
              <w:tab/>
            </w:r>
            <w:r w:rsidR="00B03653" w:rsidRPr="005A4CE2">
              <w:rPr>
                <w:rStyle w:val="Hyperlink"/>
                <w:noProof/>
              </w:rPr>
              <w:t>Costs of implementation</w:t>
            </w:r>
            <w:r w:rsidR="00B03653">
              <w:rPr>
                <w:noProof/>
                <w:webHidden/>
              </w:rPr>
              <w:tab/>
            </w:r>
            <w:r w:rsidR="00B03653">
              <w:rPr>
                <w:noProof/>
                <w:webHidden/>
              </w:rPr>
              <w:fldChar w:fldCharType="begin"/>
            </w:r>
            <w:r w:rsidR="00B03653">
              <w:rPr>
                <w:noProof/>
                <w:webHidden/>
              </w:rPr>
              <w:instrText xml:space="preserve"> PAGEREF _Toc413139585 \h </w:instrText>
            </w:r>
            <w:r w:rsidR="00B03653">
              <w:rPr>
                <w:noProof/>
                <w:webHidden/>
              </w:rPr>
            </w:r>
            <w:r w:rsidR="00B03653">
              <w:rPr>
                <w:noProof/>
                <w:webHidden/>
              </w:rPr>
              <w:fldChar w:fldCharType="separate"/>
            </w:r>
            <w:r w:rsidR="00982115">
              <w:rPr>
                <w:noProof/>
                <w:webHidden/>
              </w:rPr>
              <w:t>36</w:t>
            </w:r>
            <w:r w:rsidR="00B03653">
              <w:rPr>
                <w:noProof/>
                <w:webHidden/>
              </w:rPr>
              <w:fldChar w:fldCharType="end"/>
            </w:r>
          </w:hyperlink>
        </w:p>
        <w:p w14:paraId="77D24D5B" w14:textId="77777777" w:rsidR="00B03653" w:rsidRPr="00B03653" w:rsidRDefault="00B03653" w:rsidP="00B03653">
          <w:pPr>
            <w:rPr>
              <w:noProof/>
            </w:rPr>
          </w:pPr>
        </w:p>
        <w:p w14:paraId="59EE9D9C" w14:textId="77777777" w:rsidR="00B03653" w:rsidRPr="00B03653" w:rsidRDefault="001967FE">
          <w:pPr>
            <w:pStyle w:val="TOC2"/>
            <w:tabs>
              <w:tab w:val="left" w:pos="660"/>
              <w:tab w:val="right" w:leader="dot" w:pos="8681"/>
            </w:tabs>
            <w:rPr>
              <w:rFonts w:asciiTheme="minorHAnsi" w:eastAsiaTheme="minorEastAsia" w:hAnsiTheme="minorHAnsi" w:cstheme="minorBidi"/>
              <w:b/>
              <w:noProof/>
              <w:color w:val="auto"/>
              <w:sz w:val="22"/>
              <w:szCs w:val="22"/>
              <w:lang w:eastAsia="en-AU"/>
            </w:rPr>
          </w:pPr>
          <w:hyperlink w:anchor="_Toc413139586" w:history="1">
            <w:r w:rsidR="00B03653" w:rsidRPr="00B03653">
              <w:rPr>
                <w:rStyle w:val="Hyperlink"/>
                <w:b/>
                <w:noProof/>
              </w:rPr>
              <w:t>4.</w:t>
            </w:r>
            <w:r w:rsidR="00B03653" w:rsidRPr="00B03653">
              <w:rPr>
                <w:rFonts w:asciiTheme="minorHAnsi" w:eastAsiaTheme="minorEastAsia" w:hAnsiTheme="minorHAnsi" w:cstheme="minorBidi"/>
                <w:b/>
                <w:noProof/>
                <w:color w:val="auto"/>
                <w:sz w:val="22"/>
                <w:szCs w:val="22"/>
                <w:lang w:eastAsia="en-AU"/>
              </w:rPr>
              <w:tab/>
            </w:r>
            <w:r w:rsidR="00B03653" w:rsidRPr="00B03653">
              <w:rPr>
                <w:rStyle w:val="Hyperlink"/>
                <w:b/>
                <w:noProof/>
              </w:rPr>
              <w:t>Implementation</w:t>
            </w:r>
            <w:r w:rsidR="00B03653" w:rsidRPr="00B03653">
              <w:rPr>
                <w:b/>
                <w:noProof/>
                <w:webHidden/>
              </w:rPr>
              <w:tab/>
            </w:r>
            <w:r w:rsidR="00B03653" w:rsidRPr="00B03653">
              <w:rPr>
                <w:b/>
                <w:noProof/>
                <w:webHidden/>
              </w:rPr>
              <w:fldChar w:fldCharType="begin"/>
            </w:r>
            <w:r w:rsidR="00B03653" w:rsidRPr="00B03653">
              <w:rPr>
                <w:b/>
                <w:noProof/>
                <w:webHidden/>
              </w:rPr>
              <w:instrText xml:space="preserve"> PAGEREF _Toc413139586 \h </w:instrText>
            </w:r>
            <w:r w:rsidR="00B03653" w:rsidRPr="00B03653">
              <w:rPr>
                <w:b/>
                <w:noProof/>
                <w:webHidden/>
              </w:rPr>
            </w:r>
            <w:r w:rsidR="00B03653" w:rsidRPr="00B03653">
              <w:rPr>
                <w:b/>
                <w:noProof/>
                <w:webHidden/>
              </w:rPr>
              <w:fldChar w:fldCharType="separate"/>
            </w:r>
            <w:r w:rsidR="00982115">
              <w:rPr>
                <w:b/>
                <w:noProof/>
                <w:webHidden/>
              </w:rPr>
              <w:t>37</w:t>
            </w:r>
            <w:r w:rsidR="00B03653" w:rsidRPr="00B03653">
              <w:rPr>
                <w:b/>
                <w:noProof/>
                <w:webHidden/>
              </w:rPr>
              <w:fldChar w:fldCharType="end"/>
            </w:r>
          </w:hyperlink>
        </w:p>
        <w:p w14:paraId="322145C3" w14:textId="77777777" w:rsidR="00B03653" w:rsidRDefault="00B03653" w:rsidP="00B03653">
          <w:pPr>
            <w:pStyle w:val="TOC2"/>
            <w:tabs>
              <w:tab w:val="right" w:leader="dot" w:pos="8681"/>
            </w:tabs>
            <w:ind w:left="0"/>
            <w:rPr>
              <w:rStyle w:val="Hyperlink"/>
              <w:noProof/>
            </w:rPr>
          </w:pPr>
        </w:p>
        <w:p w14:paraId="417E0662" w14:textId="77777777" w:rsidR="00B03653" w:rsidRDefault="001967FE">
          <w:pPr>
            <w:pStyle w:val="TOC1"/>
            <w:rPr>
              <w:rFonts w:asciiTheme="minorHAnsi" w:eastAsiaTheme="minorEastAsia" w:hAnsiTheme="minorHAnsi" w:cstheme="minorBidi"/>
              <w:b w:val="0"/>
              <w:color w:val="auto"/>
              <w:sz w:val="22"/>
              <w:szCs w:val="22"/>
              <w:lang w:eastAsia="en-AU"/>
            </w:rPr>
          </w:pPr>
          <w:hyperlink w:anchor="_Toc413139588" w:history="1">
            <w:r w:rsidR="00B03653" w:rsidRPr="005A4CE2">
              <w:rPr>
                <w:rStyle w:val="Hyperlink"/>
              </w:rPr>
              <w:t>Attachment A</w:t>
            </w:r>
            <w:r w:rsidR="00B03653">
              <w:rPr>
                <w:webHidden/>
              </w:rPr>
              <w:tab/>
            </w:r>
            <w:r w:rsidR="00B03653">
              <w:rPr>
                <w:webHidden/>
              </w:rPr>
              <w:fldChar w:fldCharType="begin"/>
            </w:r>
            <w:r w:rsidR="00B03653">
              <w:rPr>
                <w:webHidden/>
              </w:rPr>
              <w:instrText xml:space="preserve"> PAGEREF _Toc413139588 \h </w:instrText>
            </w:r>
            <w:r w:rsidR="00B03653">
              <w:rPr>
                <w:webHidden/>
              </w:rPr>
            </w:r>
            <w:r w:rsidR="00B03653">
              <w:rPr>
                <w:webHidden/>
              </w:rPr>
              <w:fldChar w:fldCharType="separate"/>
            </w:r>
            <w:r w:rsidR="00982115">
              <w:rPr>
                <w:webHidden/>
              </w:rPr>
              <w:t>39</w:t>
            </w:r>
            <w:r w:rsidR="00B03653">
              <w:rPr>
                <w:webHidden/>
              </w:rPr>
              <w:fldChar w:fldCharType="end"/>
            </w:r>
          </w:hyperlink>
        </w:p>
        <w:p w14:paraId="1AC7AE74" w14:textId="77777777" w:rsidR="00B03653" w:rsidRDefault="001967FE">
          <w:pPr>
            <w:pStyle w:val="TOC2"/>
            <w:tabs>
              <w:tab w:val="right" w:leader="dot" w:pos="8681"/>
            </w:tabs>
            <w:rPr>
              <w:rFonts w:asciiTheme="minorHAnsi" w:eastAsiaTheme="minorEastAsia" w:hAnsiTheme="minorHAnsi" w:cstheme="minorBidi"/>
              <w:noProof/>
              <w:color w:val="auto"/>
              <w:sz w:val="22"/>
              <w:szCs w:val="22"/>
              <w:lang w:eastAsia="en-AU"/>
            </w:rPr>
          </w:pPr>
          <w:hyperlink w:anchor="_Toc413139589" w:history="1">
            <w:r w:rsidR="00B03653" w:rsidRPr="005A4CE2">
              <w:rPr>
                <w:rStyle w:val="Hyperlink"/>
                <w:noProof/>
              </w:rPr>
              <w:t>Spectrum review process</w:t>
            </w:r>
            <w:r w:rsidR="00B03653">
              <w:rPr>
                <w:noProof/>
                <w:webHidden/>
              </w:rPr>
              <w:tab/>
            </w:r>
            <w:r w:rsidR="00B03653">
              <w:rPr>
                <w:noProof/>
                <w:webHidden/>
              </w:rPr>
              <w:fldChar w:fldCharType="begin"/>
            </w:r>
            <w:r w:rsidR="00B03653">
              <w:rPr>
                <w:noProof/>
                <w:webHidden/>
              </w:rPr>
              <w:instrText xml:space="preserve"> PAGEREF _Toc413139589 \h </w:instrText>
            </w:r>
            <w:r w:rsidR="00B03653">
              <w:rPr>
                <w:noProof/>
                <w:webHidden/>
              </w:rPr>
            </w:r>
            <w:r w:rsidR="00B03653">
              <w:rPr>
                <w:noProof/>
                <w:webHidden/>
              </w:rPr>
              <w:fldChar w:fldCharType="separate"/>
            </w:r>
            <w:r w:rsidR="00982115">
              <w:rPr>
                <w:noProof/>
                <w:webHidden/>
              </w:rPr>
              <w:t>39</w:t>
            </w:r>
            <w:r w:rsidR="00B03653">
              <w:rPr>
                <w:noProof/>
                <w:webHidden/>
              </w:rPr>
              <w:fldChar w:fldCharType="end"/>
            </w:r>
          </w:hyperlink>
        </w:p>
        <w:p w14:paraId="797C4B3D" w14:textId="77777777" w:rsidR="00B03653" w:rsidRDefault="001967FE">
          <w:pPr>
            <w:pStyle w:val="TOC1"/>
            <w:rPr>
              <w:rFonts w:asciiTheme="minorHAnsi" w:eastAsiaTheme="minorEastAsia" w:hAnsiTheme="minorHAnsi" w:cstheme="minorBidi"/>
              <w:b w:val="0"/>
              <w:color w:val="auto"/>
              <w:sz w:val="22"/>
              <w:szCs w:val="22"/>
              <w:lang w:eastAsia="en-AU"/>
            </w:rPr>
          </w:pPr>
          <w:hyperlink w:anchor="_Toc413139594" w:history="1">
            <w:r w:rsidR="00B03653" w:rsidRPr="005A4CE2">
              <w:rPr>
                <w:rStyle w:val="Hyperlink"/>
              </w:rPr>
              <w:t>Attachment B</w:t>
            </w:r>
            <w:r w:rsidR="00B03653">
              <w:rPr>
                <w:webHidden/>
              </w:rPr>
              <w:tab/>
            </w:r>
            <w:r w:rsidR="00B03653">
              <w:rPr>
                <w:webHidden/>
              </w:rPr>
              <w:fldChar w:fldCharType="begin"/>
            </w:r>
            <w:r w:rsidR="00B03653">
              <w:rPr>
                <w:webHidden/>
              </w:rPr>
              <w:instrText xml:space="preserve"> PAGEREF _Toc413139594 \h </w:instrText>
            </w:r>
            <w:r w:rsidR="00B03653">
              <w:rPr>
                <w:webHidden/>
              </w:rPr>
            </w:r>
            <w:r w:rsidR="00B03653">
              <w:rPr>
                <w:webHidden/>
              </w:rPr>
              <w:fldChar w:fldCharType="separate"/>
            </w:r>
            <w:r w:rsidR="00982115">
              <w:rPr>
                <w:webHidden/>
              </w:rPr>
              <w:t>42</w:t>
            </w:r>
            <w:r w:rsidR="00B03653">
              <w:rPr>
                <w:webHidden/>
              </w:rPr>
              <w:fldChar w:fldCharType="end"/>
            </w:r>
          </w:hyperlink>
        </w:p>
        <w:p w14:paraId="305F5EB8" w14:textId="77777777" w:rsidR="00B03653" w:rsidRDefault="001967FE">
          <w:pPr>
            <w:pStyle w:val="TOC2"/>
            <w:tabs>
              <w:tab w:val="right" w:leader="dot" w:pos="8681"/>
            </w:tabs>
            <w:rPr>
              <w:rFonts w:asciiTheme="minorHAnsi" w:eastAsiaTheme="minorEastAsia" w:hAnsiTheme="minorHAnsi" w:cstheme="minorBidi"/>
              <w:noProof/>
              <w:color w:val="auto"/>
              <w:sz w:val="22"/>
              <w:szCs w:val="22"/>
              <w:lang w:eastAsia="en-AU"/>
            </w:rPr>
          </w:pPr>
          <w:hyperlink w:anchor="_Toc413139595" w:history="1">
            <w:r w:rsidR="00B03653" w:rsidRPr="005A4CE2">
              <w:rPr>
                <w:rStyle w:val="Hyperlink"/>
                <w:noProof/>
              </w:rPr>
              <w:t>Current spectrum management framework</w:t>
            </w:r>
            <w:r w:rsidR="00B03653">
              <w:rPr>
                <w:noProof/>
                <w:webHidden/>
              </w:rPr>
              <w:tab/>
            </w:r>
            <w:r w:rsidR="00B03653">
              <w:rPr>
                <w:noProof/>
                <w:webHidden/>
              </w:rPr>
              <w:fldChar w:fldCharType="begin"/>
            </w:r>
            <w:r w:rsidR="00B03653">
              <w:rPr>
                <w:noProof/>
                <w:webHidden/>
              </w:rPr>
              <w:instrText xml:space="preserve"> PAGEREF _Toc413139595 \h </w:instrText>
            </w:r>
            <w:r w:rsidR="00B03653">
              <w:rPr>
                <w:noProof/>
                <w:webHidden/>
              </w:rPr>
            </w:r>
            <w:r w:rsidR="00B03653">
              <w:rPr>
                <w:noProof/>
                <w:webHidden/>
              </w:rPr>
              <w:fldChar w:fldCharType="separate"/>
            </w:r>
            <w:r w:rsidR="00982115">
              <w:rPr>
                <w:noProof/>
                <w:webHidden/>
              </w:rPr>
              <w:t>42</w:t>
            </w:r>
            <w:r w:rsidR="00B03653">
              <w:rPr>
                <w:noProof/>
                <w:webHidden/>
              </w:rPr>
              <w:fldChar w:fldCharType="end"/>
            </w:r>
          </w:hyperlink>
        </w:p>
        <w:p w14:paraId="55C1808D" w14:textId="77777777" w:rsidR="00B03653" w:rsidRDefault="001967FE">
          <w:pPr>
            <w:pStyle w:val="TOC1"/>
            <w:rPr>
              <w:rFonts w:asciiTheme="minorHAnsi" w:eastAsiaTheme="minorEastAsia" w:hAnsiTheme="minorHAnsi" w:cstheme="minorBidi"/>
              <w:b w:val="0"/>
              <w:color w:val="auto"/>
              <w:sz w:val="22"/>
              <w:szCs w:val="22"/>
              <w:lang w:eastAsia="en-AU"/>
            </w:rPr>
          </w:pPr>
          <w:hyperlink w:anchor="_Toc413139596" w:history="1">
            <w:r w:rsidR="00B03653" w:rsidRPr="005A4CE2">
              <w:rPr>
                <w:rStyle w:val="Hyperlink"/>
              </w:rPr>
              <w:t>Attachment C</w:t>
            </w:r>
            <w:r w:rsidR="00B03653">
              <w:rPr>
                <w:webHidden/>
              </w:rPr>
              <w:tab/>
            </w:r>
            <w:r w:rsidR="00B03653">
              <w:rPr>
                <w:webHidden/>
              </w:rPr>
              <w:fldChar w:fldCharType="begin"/>
            </w:r>
            <w:r w:rsidR="00B03653">
              <w:rPr>
                <w:webHidden/>
              </w:rPr>
              <w:instrText xml:space="preserve"> PAGEREF _Toc413139596 \h </w:instrText>
            </w:r>
            <w:r w:rsidR="00B03653">
              <w:rPr>
                <w:webHidden/>
              </w:rPr>
            </w:r>
            <w:r w:rsidR="00B03653">
              <w:rPr>
                <w:webHidden/>
              </w:rPr>
              <w:fldChar w:fldCharType="separate"/>
            </w:r>
            <w:r w:rsidR="00982115">
              <w:rPr>
                <w:webHidden/>
              </w:rPr>
              <w:t>44</w:t>
            </w:r>
            <w:r w:rsidR="00B03653">
              <w:rPr>
                <w:webHidden/>
              </w:rPr>
              <w:fldChar w:fldCharType="end"/>
            </w:r>
          </w:hyperlink>
        </w:p>
        <w:p w14:paraId="7B6D748A" w14:textId="77777777" w:rsidR="00B03653" w:rsidRDefault="001967FE">
          <w:pPr>
            <w:pStyle w:val="TOC2"/>
            <w:tabs>
              <w:tab w:val="right" w:leader="dot" w:pos="8681"/>
            </w:tabs>
            <w:rPr>
              <w:rFonts w:asciiTheme="minorHAnsi" w:eastAsiaTheme="minorEastAsia" w:hAnsiTheme="minorHAnsi" w:cstheme="minorBidi"/>
              <w:noProof/>
              <w:color w:val="auto"/>
              <w:sz w:val="22"/>
              <w:szCs w:val="22"/>
              <w:lang w:eastAsia="en-AU"/>
            </w:rPr>
          </w:pPr>
          <w:hyperlink w:anchor="_Toc413139597" w:history="1">
            <w:r w:rsidR="00B03653" w:rsidRPr="005A4CE2">
              <w:rPr>
                <w:rStyle w:val="Hyperlink"/>
                <w:noProof/>
              </w:rPr>
              <w:t>Current spectrum reallocation process</w:t>
            </w:r>
            <w:r w:rsidR="00B03653">
              <w:rPr>
                <w:noProof/>
                <w:webHidden/>
              </w:rPr>
              <w:tab/>
            </w:r>
            <w:r w:rsidR="00B03653">
              <w:rPr>
                <w:noProof/>
                <w:webHidden/>
              </w:rPr>
              <w:fldChar w:fldCharType="begin"/>
            </w:r>
            <w:r w:rsidR="00B03653">
              <w:rPr>
                <w:noProof/>
                <w:webHidden/>
              </w:rPr>
              <w:instrText xml:space="preserve"> PAGEREF _Toc413139597 \h </w:instrText>
            </w:r>
            <w:r w:rsidR="00B03653">
              <w:rPr>
                <w:noProof/>
                <w:webHidden/>
              </w:rPr>
            </w:r>
            <w:r w:rsidR="00B03653">
              <w:rPr>
                <w:noProof/>
                <w:webHidden/>
              </w:rPr>
              <w:fldChar w:fldCharType="separate"/>
            </w:r>
            <w:r w:rsidR="00982115">
              <w:rPr>
                <w:noProof/>
                <w:webHidden/>
              </w:rPr>
              <w:t>44</w:t>
            </w:r>
            <w:r w:rsidR="00B03653">
              <w:rPr>
                <w:noProof/>
                <w:webHidden/>
              </w:rPr>
              <w:fldChar w:fldCharType="end"/>
            </w:r>
          </w:hyperlink>
        </w:p>
        <w:p w14:paraId="311CD1BD" w14:textId="77777777" w:rsidR="00E74BED" w:rsidRDefault="00E74BED">
          <w:r>
            <w:fldChar w:fldCharType="end"/>
          </w:r>
        </w:p>
      </w:sdtContent>
    </w:sdt>
    <w:p w14:paraId="39A70006" w14:textId="77777777" w:rsidR="00DE16DE" w:rsidRDefault="00DE16DE" w:rsidP="00A62C68">
      <w:pPr>
        <w:pStyle w:val="DeptHeading1"/>
      </w:pPr>
    </w:p>
    <w:p w14:paraId="56B8C124" w14:textId="77777777" w:rsidR="00C459F4" w:rsidRDefault="002C3642" w:rsidP="00C459F4">
      <w:pPr>
        <w:pStyle w:val="DeptHeading1"/>
      </w:pPr>
      <w:r>
        <w:br w:type="column"/>
      </w:r>
      <w:bookmarkStart w:id="18" w:name="_Toc413139540"/>
      <w:r w:rsidR="00C459F4">
        <w:lastRenderedPageBreak/>
        <w:t>Background</w:t>
      </w:r>
      <w:bookmarkEnd w:id="18"/>
    </w:p>
    <w:p w14:paraId="08D66F8D" w14:textId="77777777" w:rsidR="00C459F4" w:rsidRDefault="00C459F4" w:rsidP="00F8656F">
      <w:pPr>
        <w:pStyle w:val="DeptBodytext"/>
      </w:pPr>
      <w:r>
        <w:t>In May 2014 the Minister for Communications, the Hon Malcolm Turnbull MP</w:t>
      </w:r>
      <w:r w:rsidR="00BA00A3">
        <w:t xml:space="preserve"> (the Minister)</w:t>
      </w:r>
      <w:r>
        <w:t>, announced a review of Australia’s spectrum policy and management frame</w:t>
      </w:r>
      <w:r w:rsidR="0042259C">
        <w:t>w</w:t>
      </w:r>
      <w:r>
        <w:t xml:space="preserve">ork. The Department of Communications (the Department), in conjunction with the Australian Communications and Media Authority (the ACMA), was tasked with undertaking the review. A description of the process that was undertaken, including stakeholder consultation, is at </w:t>
      </w:r>
      <w:r w:rsidRPr="00151C7D">
        <w:rPr>
          <w:b/>
        </w:rPr>
        <w:t>Attachment A</w:t>
      </w:r>
      <w:r>
        <w:t>.</w:t>
      </w:r>
    </w:p>
    <w:p w14:paraId="25823629" w14:textId="77777777" w:rsidR="00C459F4" w:rsidRDefault="00C459F4" w:rsidP="00F8656F">
      <w:pPr>
        <w:pStyle w:val="DeptBodytext"/>
      </w:pPr>
      <w:r>
        <w:t>Under the Terms of Reference, the review was to consider ways to:</w:t>
      </w:r>
    </w:p>
    <w:p w14:paraId="0F6496BE" w14:textId="77777777" w:rsidR="00C459F4" w:rsidRPr="00D23C0F" w:rsidRDefault="00C459F4" w:rsidP="005A39FF">
      <w:pPr>
        <w:pStyle w:val="DeptBodytext"/>
        <w:ind w:left="567" w:hanging="567"/>
      </w:pPr>
      <w:r>
        <w:t xml:space="preserve">1. </w:t>
      </w:r>
      <w:r>
        <w:tab/>
      </w:r>
      <w:r w:rsidRPr="00D23C0F">
        <w:t xml:space="preserve">simplify the framework to reduce its complexity and impact on spectrum users and administrators, and eliminate unnecessary and </w:t>
      </w:r>
      <w:r>
        <w:t>excessive regulatory provisions</w:t>
      </w:r>
    </w:p>
    <w:p w14:paraId="20F7B451" w14:textId="77777777" w:rsidR="00C459F4" w:rsidRPr="00D23C0F" w:rsidRDefault="00C459F4" w:rsidP="005A39FF">
      <w:pPr>
        <w:pStyle w:val="DeptBodytext"/>
        <w:ind w:left="567" w:hanging="567"/>
      </w:pPr>
      <w:r>
        <w:t xml:space="preserve">2. </w:t>
      </w:r>
      <w:r>
        <w:tab/>
      </w:r>
      <w:r w:rsidRPr="00D23C0F">
        <w:t xml:space="preserve">improve the flexibility of the framework and its ability to facilitate new and emerging services including advancements that offer greater potential for efficient spectrum use, while continuing to manage interference </w:t>
      </w:r>
      <w:r>
        <w:t>and providing certainty for incumbents</w:t>
      </w:r>
    </w:p>
    <w:p w14:paraId="59CD513B" w14:textId="77777777" w:rsidR="00C459F4" w:rsidRPr="00D23C0F" w:rsidRDefault="00C459F4" w:rsidP="005A39FF">
      <w:pPr>
        <w:pStyle w:val="DeptBodytext"/>
        <w:ind w:left="567" w:hanging="567"/>
      </w:pPr>
      <w:r>
        <w:t xml:space="preserve">3. </w:t>
      </w:r>
      <w:r>
        <w:tab/>
      </w:r>
      <w:r w:rsidRPr="00D23C0F">
        <w:t>ensure efficient allocation, ongoing use and management of spectrum, and incentivise its efficient use by all commercial, public and community spectrum users</w:t>
      </w:r>
    </w:p>
    <w:p w14:paraId="34B21B0D" w14:textId="77777777" w:rsidR="00C459F4" w:rsidRPr="00D23C0F" w:rsidRDefault="00C459F4" w:rsidP="005A39FF">
      <w:pPr>
        <w:pStyle w:val="DeptBodytext"/>
        <w:ind w:left="567" w:hanging="567"/>
      </w:pPr>
      <w:r>
        <w:t xml:space="preserve">4. </w:t>
      </w:r>
      <w:r>
        <w:tab/>
      </w:r>
      <w:r w:rsidRPr="00D23C0F">
        <w:t xml:space="preserve">consider institutional arrangements and ensure an appropriate level of Ministerial oversight of spectrum policy and management, by identifying appropriate roles for the Minister, </w:t>
      </w:r>
      <w:r>
        <w:t>the Australian Communications and Media Authority</w:t>
      </w:r>
      <w:r w:rsidRPr="00D23C0F">
        <w:t xml:space="preserve">, </w:t>
      </w:r>
      <w:r>
        <w:t xml:space="preserve">the </w:t>
      </w:r>
      <w:r w:rsidRPr="00D23C0F">
        <w:t xml:space="preserve">Department </w:t>
      </w:r>
      <w:r>
        <w:t xml:space="preserve">of Communications </w:t>
      </w:r>
      <w:r w:rsidRPr="00D23C0F">
        <w:t>and other</w:t>
      </w:r>
      <w:r>
        <w:t xml:space="preserve">s involved </w:t>
      </w:r>
      <w:r w:rsidR="00AF3ECD">
        <w:t>in spectrum management</w:t>
      </w:r>
    </w:p>
    <w:p w14:paraId="2FC49AAA" w14:textId="77777777" w:rsidR="00C459F4" w:rsidRPr="00D23C0F" w:rsidRDefault="00C459F4" w:rsidP="005A39FF">
      <w:pPr>
        <w:pStyle w:val="DeptBodytext"/>
        <w:ind w:left="567" w:hanging="567"/>
      </w:pPr>
      <w:r>
        <w:t xml:space="preserve">5. </w:t>
      </w:r>
      <w:r>
        <w:tab/>
      </w:r>
      <w:r w:rsidRPr="00D23C0F">
        <w:t xml:space="preserve">promote consistency across legislation and sectors, including in relation to compliance mechanisms, technical regulation and the planning and licensing of spectrum </w:t>
      </w:r>
    </w:p>
    <w:p w14:paraId="246E368A" w14:textId="77777777" w:rsidR="00C459F4" w:rsidRPr="00D23C0F" w:rsidRDefault="00C459F4" w:rsidP="005A39FF">
      <w:pPr>
        <w:pStyle w:val="DeptBodytext"/>
        <w:ind w:left="567" w:hanging="567"/>
      </w:pPr>
      <w:r>
        <w:t xml:space="preserve">6. </w:t>
      </w:r>
      <w:r>
        <w:tab/>
      </w:r>
      <w:r w:rsidRPr="00D23C0F">
        <w:t>develop an appropriate framework to consider public interest spectrum issues</w:t>
      </w:r>
    </w:p>
    <w:p w14:paraId="332F0A40" w14:textId="77777777" w:rsidR="00C459F4" w:rsidRDefault="00C459F4" w:rsidP="005A39FF">
      <w:pPr>
        <w:pStyle w:val="DeptBodytext"/>
        <w:ind w:left="567" w:hanging="567"/>
      </w:pPr>
      <w:r>
        <w:t xml:space="preserve">7. </w:t>
      </w:r>
      <w:r>
        <w:tab/>
        <w:t>develop a whole-of-</w:t>
      </w:r>
      <w:r w:rsidRPr="00D23C0F">
        <w:t xml:space="preserve">government </w:t>
      </w:r>
      <w:r>
        <w:t>approach to spectrum policy</w:t>
      </w:r>
    </w:p>
    <w:p w14:paraId="2EA902FB" w14:textId="77777777" w:rsidR="00C459F4" w:rsidRDefault="00C459F4" w:rsidP="005A39FF">
      <w:pPr>
        <w:pStyle w:val="DeptBodytext"/>
        <w:ind w:left="567" w:hanging="567"/>
      </w:pPr>
      <w:r>
        <w:t xml:space="preserve">8. </w:t>
      </w:r>
      <w:r>
        <w:tab/>
        <w:t>develop a whole-of-</w:t>
      </w:r>
      <w:r w:rsidRPr="00D23C0F">
        <w:t xml:space="preserve">economy approach to valuation of spectrum that includes consideration of the broader economic and </w:t>
      </w:r>
      <w:r>
        <w:t>social benefits</w:t>
      </w:r>
      <w:r w:rsidRPr="00D23C0F">
        <w:t>.</w:t>
      </w:r>
    </w:p>
    <w:p w14:paraId="24E426D6" w14:textId="77777777" w:rsidR="00C459F4" w:rsidRDefault="00C459F4">
      <w:r>
        <w:br w:type="page"/>
      </w:r>
    </w:p>
    <w:p w14:paraId="5FB29670" w14:textId="77777777" w:rsidR="002C3642" w:rsidRDefault="002C3642" w:rsidP="00A62C68">
      <w:pPr>
        <w:pStyle w:val="DeptHeading1"/>
      </w:pPr>
      <w:bookmarkStart w:id="19" w:name="_Toc413139541"/>
      <w:r>
        <w:lastRenderedPageBreak/>
        <w:t>Executive Summary</w:t>
      </w:r>
      <w:bookmarkEnd w:id="19"/>
    </w:p>
    <w:p w14:paraId="61423774" w14:textId="77777777" w:rsidR="005A0D48" w:rsidRDefault="00DC6888" w:rsidP="00F8656F">
      <w:pPr>
        <w:pStyle w:val="DeptBodytext"/>
      </w:pPr>
      <w:r w:rsidRPr="005171CC">
        <w:t xml:space="preserve">Spectrum is a critical input to a networked and digital economy and society. It supports a wide range of services that promote economic growth and enhance social wellbeing. Its role as an economic driver, and the value it returns to society, is increasing. A broad projection of the economic value of spectrum in Australia </w:t>
      </w:r>
      <w:r w:rsidR="00C459F4">
        <w:t xml:space="preserve">undertaken by the Centre for International Economics </w:t>
      </w:r>
      <w:r w:rsidR="00BA00A3">
        <w:t xml:space="preserve">(CIE) </w:t>
      </w:r>
      <w:r w:rsidRPr="005171CC">
        <w:t>suggests national benefits could be as high as $177</w:t>
      </w:r>
      <w:r w:rsidR="00C459F4">
        <w:t> billion over a 15 year period</w:t>
      </w:r>
      <w:r w:rsidR="0023364B">
        <w:t>.</w:t>
      </w:r>
      <w:r w:rsidR="00C459F4" w:rsidRPr="0042259C">
        <w:rPr>
          <w:vertAlign w:val="superscript"/>
        </w:rPr>
        <w:footnoteReference w:id="2"/>
      </w:r>
    </w:p>
    <w:p w14:paraId="44564524" w14:textId="77777777" w:rsidR="005A0D48" w:rsidRPr="0042259C" w:rsidRDefault="00E14857" w:rsidP="00F8656F">
      <w:pPr>
        <w:pStyle w:val="DeptBodytext"/>
      </w:pPr>
      <w:r w:rsidRPr="0042259C">
        <w:t xml:space="preserve">The </w:t>
      </w:r>
      <w:r w:rsidR="005A0D48" w:rsidRPr="0042259C">
        <w:t xml:space="preserve">current </w:t>
      </w:r>
      <w:r w:rsidRPr="0042259C">
        <w:t>legislative framework</w:t>
      </w:r>
      <w:r w:rsidR="005A0D48" w:rsidRPr="0042259C">
        <w:t xml:space="preserve"> for the management of spectrum</w:t>
      </w:r>
      <w:r w:rsidRPr="0042259C">
        <w:t xml:space="preserve"> is over 20 years old. When it was introduced, the framework was progressive by international standards in its use of market mechanisms, administrative and commons approaches. </w:t>
      </w:r>
      <w:r w:rsidR="005A0D48" w:rsidRPr="0042259C">
        <w:t xml:space="preserve">However, since its introduction there has been a proliferation of new digital technologies and communications services resulting in significant changes in market structures. </w:t>
      </w:r>
    </w:p>
    <w:p w14:paraId="3CA7546A" w14:textId="77777777" w:rsidR="005A0D48" w:rsidRDefault="005A0D48" w:rsidP="00F8656F">
      <w:pPr>
        <w:pStyle w:val="DeptBodytext"/>
      </w:pPr>
      <w:r w:rsidRPr="0042259C">
        <w:t>With the benefit of a strong s</w:t>
      </w:r>
      <w:r w:rsidR="00E14857" w:rsidRPr="0042259C">
        <w:t>takeholder</w:t>
      </w:r>
      <w:r w:rsidRPr="0042259C">
        <w:t xml:space="preserve"> contribution </w:t>
      </w:r>
      <w:r w:rsidR="00E14857" w:rsidRPr="0042259C">
        <w:t>the Department ha</w:t>
      </w:r>
      <w:r w:rsidRPr="0042259C">
        <w:t>s</w:t>
      </w:r>
      <w:r w:rsidR="00E14857" w:rsidRPr="0042259C">
        <w:t xml:space="preserve"> identified </w:t>
      </w:r>
      <w:r w:rsidRPr="0042259C">
        <w:t>substantial deficiencies with the current legislative</w:t>
      </w:r>
      <w:r w:rsidR="00E14857" w:rsidRPr="0042259C">
        <w:t xml:space="preserve"> </w:t>
      </w:r>
      <w:r w:rsidRPr="0042259C">
        <w:t xml:space="preserve">framework. </w:t>
      </w:r>
      <w:r w:rsidR="0045750C" w:rsidRPr="0042259C">
        <w:t xml:space="preserve">The review has found that current spectrum management arrangements are slow, rigid and administratively cumbersome. </w:t>
      </w:r>
      <w:r w:rsidR="00C459F4">
        <w:t xml:space="preserve">For example, reallocating the digital dividend (694-820MHz) took approximately </w:t>
      </w:r>
      <w:r w:rsidR="0042259C">
        <w:t xml:space="preserve">three </w:t>
      </w:r>
      <w:r w:rsidR="00C459F4">
        <w:t xml:space="preserve">years with 16 legislative instruments being issued by the Minister or the ACMA. </w:t>
      </w:r>
      <w:r w:rsidR="004A754A">
        <w:t xml:space="preserve">Spectrum not being allocated </w:t>
      </w:r>
      <w:r w:rsidR="004A754A" w:rsidRPr="000C161B">
        <w:t>quickly and easily imposes unnecessary costs on both industry and government.</w:t>
      </w:r>
      <w:r w:rsidR="004A754A">
        <w:rPr>
          <w:color w:val="auto"/>
        </w:rPr>
        <w:t xml:space="preserve"> </w:t>
      </w:r>
    </w:p>
    <w:p w14:paraId="7A5E3448" w14:textId="77777777" w:rsidR="00E14857" w:rsidRPr="005171CC" w:rsidRDefault="00C83689" w:rsidP="00F8656F">
      <w:pPr>
        <w:pStyle w:val="DeptBodytext"/>
      </w:pPr>
      <w:r>
        <w:t>The review</w:t>
      </w:r>
      <w:r w:rsidR="00E14857" w:rsidRPr="005171CC">
        <w:t xml:space="preserve"> </w:t>
      </w:r>
      <w:r>
        <w:t>makes</w:t>
      </w:r>
      <w:r w:rsidR="005A0D48">
        <w:t xml:space="preserve"> three recommendations, t</w:t>
      </w:r>
      <w:r w:rsidR="00E14857" w:rsidRPr="005171CC">
        <w:t>he core elements of the</w:t>
      </w:r>
      <w:r w:rsidR="0045750C">
        <w:t xml:space="preserve">se </w:t>
      </w:r>
      <w:r w:rsidR="005A0D48">
        <w:t>recommendations are:</w:t>
      </w:r>
    </w:p>
    <w:p w14:paraId="0B089CD4" w14:textId="77777777" w:rsidR="00E14857" w:rsidRPr="005171CC" w:rsidRDefault="005A0D48" w:rsidP="00D81B73">
      <w:pPr>
        <w:pStyle w:val="DeptBodytext"/>
        <w:numPr>
          <w:ilvl w:val="0"/>
          <w:numId w:val="23"/>
        </w:numPr>
      </w:pPr>
      <w:r w:rsidRPr="005171CC">
        <w:t>replac</w:t>
      </w:r>
      <w:r>
        <w:t>e</w:t>
      </w:r>
      <w:r w:rsidRPr="005171CC">
        <w:t xml:space="preserve"> </w:t>
      </w:r>
      <w:r>
        <w:t>the current legislative framework</w:t>
      </w:r>
      <w:r w:rsidR="00E14857" w:rsidRPr="005171CC">
        <w:t xml:space="preserve"> with outcomes focussed legislation</w:t>
      </w:r>
      <w:r>
        <w:t>, that facilitates timely allocations, greater flexibility of use</w:t>
      </w:r>
      <w:r w:rsidR="00E14857" w:rsidRPr="005171CC">
        <w:t>, including through sharing and trading of spectrum</w:t>
      </w:r>
      <w:r>
        <w:t>, and delivers improved certainty for market participants</w:t>
      </w:r>
    </w:p>
    <w:p w14:paraId="64752F6E" w14:textId="77777777" w:rsidR="00E14857" w:rsidRPr="005171CC" w:rsidRDefault="00DA6C87" w:rsidP="00D81B73">
      <w:pPr>
        <w:pStyle w:val="DeptBodytext"/>
        <w:numPr>
          <w:ilvl w:val="0"/>
          <w:numId w:val="23"/>
        </w:numPr>
      </w:pPr>
      <w:r>
        <w:t xml:space="preserve">improve the integrity and consistency of the framework by incorporating the management of broadcasting spectrum and better integrating </w:t>
      </w:r>
      <w:r w:rsidR="00E14857" w:rsidRPr="005171CC">
        <w:t xml:space="preserve">public </w:t>
      </w:r>
      <w:r>
        <w:t xml:space="preserve">sector </w:t>
      </w:r>
      <w:r w:rsidR="00E14857" w:rsidRPr="005171CC">
        <w:t xml:space="preserve">agencies </w:t>
      </w:r>
      <w:r>
        <w:t xml:space="preserve">through the </w:t>
      </w:r>
      <w:r w:rsidR="00E14857" w:rsidRPr="005171CC">
        <w:t>report</w:t>
      </w:r>
      <w:r>
        <w:t>ing of</w:t>
      </w:r>
      <w:r w:rsidR="00E14857" w:rsidRPr="005171CC">
        <w:t xml:space="preserve"> their spectrum holdings and </w:t>
      </w:r>
      <w:r>
        <w:t>allowing</w:t>
      </w:r>
      <w:r w:rsidR="00E14857" w:rsidRPr="005171CC">
        <w:t xml:space="preserve"> those agencies to lease, sell or share that spectrum for their own benefit</w:t>
      </w:r>
    </w:p>
    <w:p w14:paraId="7EA9748F" w14:textId="77777777" w:rsidR="00E14857" w:rsidRPr="005171CC" w:rsidRDefault="00E14857" w:rsidP="00D81B73">
      <w:pPr>
        <w:pStyle w:val="DeptBodytext"/>
        <w:numPr>
          <w:ilvl w:val="0"/>
          <w:numId w:val="23"/>
        </w:numPr>
      </w:pPr>
      <w:r w:rsidRPr="005171CC">
        <w:t>review spectrum pricing arrangements to make th</w:t>
      </w:r>
      <w:r w:rsidR="00B474C0">
        <w:t>ese</w:t>
      </w:r>
      <w:r w:rsidRPr="005171CC">
        <w:t xml:space="preserve"> consistent and transparent in order to support efficient use and to facilitate secondary markets.</w:t>
      </w:r>
    </w:p>
    <w:p w14:paraId="45E99DD7" w14:textId="77777777" w:rsidR="00E14857" w:rsidRPr="005171CC" w:rsidRDefault="00E14857" w:rsidP="00F8656F">
      <w:pPr>
        <w:pStyle w:val="DeptBodytext"/>
      </w:pPr>
      <w:r w:rsidRPr="005171CC">
        <w:t xml:space="preserve">The </w:t>
      </w:r>
      <w:r w:rsidR="0045750C">
        <w:t xml:space="preserve">recommended legislation would </w:t>
      </w:r>
      <w:r w:rsidRPr="005171CC">
        <w:t xml:space="preserve">simplify regulatory structures, streamline regulatory processes and clarify the role for </w:t>
      </w:r>
      <w:r w:rsidR="0042259C">
        <w:t>G</w:t>
      </w:r>
      <w:r w:rsidR="00AB2566" w:rsidRPr="005171CC">
        <w:t>overnment</w:t>
      </w:r>
      <w:r w:rsidR="0045750C">
        <w:t xml:space="preserve"> and the ACMA. It would</w:t>
      </w:r>
      <w:r w:rsidRPr="005171CC">
        <w:t xml:space="preserve"> also provide for greater use of market mechanisms</w:t>
      </w:r>
      <w:r w:rsidR="0045750C">
        <w:t xml:space="preserve"> and, c</w:t>
      </w:r>
      <w:r w:rsidRPr="005171CC">
        <w:t>onsistent with the Government’s deregulation agenda,</w:t>
      </w:r>
      <w:r w:rsidR="0045750C">
        <w:t xml:space="preserve"> r</w:t>
      </w:r>
      <w:r w:rsidRPr="005171CC">
        <w:t>ationalise the number of licence categories</w:t>
      </w:r>
      <w:r w:rsidR="0045750C">
        <w:t xml:space="preserve">, reform current </w:t>
      </w:r>
      <w:r w:rsidRPr="005171CC">
        <w:t>highly prescriptive</w:t>
      </w:r>
      <w:r w:rsidR="0045750C">
        <w:t xml:space="preserve"> /</w:t>
      </w:r>
      <w:r w:rsidRPr="005171CC">
        <w:t xml:space="preserve"> lengthy allocation processes and device supply regulation</w:t>
      </w:r>
      <w:r w:rsidR="0045750C">
        <w:t>s</w:t>
      </w:r>
      <w:r w:rsidRPr="005171CC">
        <w:t xml:space="preserve">. </w:t>
      </w:r>
    </w:p>
    <w:p w14:paraId="2E591FBE" w14:textId="77777777" w:rsidR="00E14857" w:rsidRPr="005171CC" w:rsidRDefault="004A754A" w:rsidP="00F8656F">
      <w:pPr>
        <w:pStyle w:val="DeptBodytext"/>
      </w:pPr>
      <w:r>
        <w:lastRenderedPageBreak/>
        <w:t xml:space="preserve">The </w:t>
      </w:r>
      <w:r w:rsidR="0045750C">
        <w:t xml:space="preserve">recommended new </w:t>
      </w:r>
      <w:r w:rsidR="005A0D48">
        <w:t xml:space="preserve">framework </w:t>
      </w:r>
      <w:r w:rsidR="003F4F7F">
        <w:t>would</w:t>
      </w:r>
      <w:r w:rsidR="003F4F7F" w:rsidRPr="005171CC">
        <w:t xml:space="preserve"> </w:t>
      </w:r>
      <w:r w:rsidR="00E14857" w:rsidRPr="005171CC">
        <w:t xml:space="preserve">maintain </w:t>
      </w:r>
      <w:r w:rsidR="0045750C">
        <w:t>the G</w:t>
      </w:r>
      <w:r w:rsidR="00E14857" w:rsidRPr="005171CC">
        <w:t xml:space="preserve">overnment’s role in </w:t>
      </w:r>
      <w:r w:rsidR="005A0D48">
        <w:t xml:space="preserve">ensuring the </w:t>
      </w:r>
      <w:r w:rsidR="00E14857" w:rsidRPr="005171CC">
        <w:t xml:space="preserve">adequate provision of spectrum for </w:t>
      </w:r>
      <w:r w:rsidR="003641F8">
        <w:t xml:space="preserve">key </w:t>
      </w:r>
      <w:r w:rsidR="00E14857" w:rsidRPr="005171CC">
        <w:t xml:space="preserve">public and community services. </w:t>
      </w:r>
      <w:r w:rsidR="00AB2566">
        <w:t>The Government</w:t>
      </w:r>
      <w:r w:rsidR="00E14857" w:rsidRPr="005171CC">
        <w:t xml:space="preserve"> would provide policy direction and guidance to the </w:t>
      </w:r>
      <w:r w:rsidR="0045750C">
        <w:t xml:space="preserve">ACMA as </w:t>
      </w:r>
      <w:r w:rsidR="00E14857" w:rsidRPr="005171CC">
        <w:t xml:space="preserve">regulator and </w:t>
      </w:r>
      <w:r w:rsidR="00667550">
        <w:t xml:space="preserve">continue to </w:t>
      </w:r>
      <w:r w:rsidR="00E14857" w:rsidRPr="005171CC">
        <w:t>manage Australia’s participation in international forums</w:t>
      </w:r>
      <w:r w:rsidR="00667550">
        <w:t>.</w:t>
      </w:r>
    </w:p>
    <w:p w14:paraId="2C237F50" w14:textId="77777777" w:rsidR="004A754A" w:rsidRDefault="004158B5" w:rsidP="00F8656F">
      <w:pPr>
        <w:pStyle w:val="DeptBodytext"/>
      </w:pPr>
      <w:r w:rsidRPr="009D323F">
        <w:t xml:space="preserve">If </w:t>
      </w:r>
      <w:r w:rsidR="00667550" w:rsidRPr="009D323F">
        <w:t xml:space="preserve">the review recommendations are agreed by the Government then </w:t>
      </w:r>
      <w:r w:rsidR="000F5DDB" w:rsidRPr="009D323F">
        <w:t xml:space="preserve">the next stage of the reform process is the development of detailed </w:t>
      </w:r>
      <w:r w:rsidR="00E14857" w:rsidRPr="009D323F">
        <w:t xml:space="preserve">legislative </w:t>
      </w:r>
      <w:r w:rsidR="00667550" w:rsidRPr="009D323F">
        <w:t>and</w:t>
      </w:r>
      <w:r w:rsidR="000F5DDB" w:rsidRPr="009D323F">
        <w:t xml:space="preserve"> regulatory measures, which would be undertaken in close consultation with stakeholders.</w:t>
      </w:r>
      <w:r w:rsidR="000F5DDB">
        <w:t xml:space="preserve"> </w:t>
      </w:r>
    </w:p>
    <w:p w14:paraId="68D7D7E2" w14:textId="77777777" w:rsidR="00E14857" w:rsidRPr="005171CC" w:rsidRDefault="000C0141" w:rsidP="00F8656F">
      <w:pPr>
        <w:pStyle w:val="DeptBodytext"/>
      </w:pPr>
      <w:r>
        <w:t>The</w:t>
      </w:r>
      <w:r w:rsidR="00667550">
        <w:t xml:space="preserve"> </w:t>
      </w:r>
      <w:r w:rsidR="004A754A">
        <w:t xml:space="preserve">legislative </w:t>
      </w:r>
      <w:r w:rsidR="00667550">
        <w:t>reforms would</w:t>
      </w:r>
      <w:r w:rsidR="00E14857" w:rsidRPr="005171CC">
        <w:t>:</w:t>
      </w:r>
    </w:p>
    <w:p w14:paraId="3B81DF4E" w14:textId="77777777" w:rsidR="00E14857" w:rsidRPr="005171CC" w:rsidRDefault="00E14857" w:rsidP="0042259C">
      <w:pPr>
        <w:pStyle w:val="Deptbulletlist1"/>
        <w:numPr>
          <w:ilvl w:val="0"/>
          <w:numId w:val="3"/>
        </w:numPr>
        <w:ind w:left="357" w:hanging="357"/>
      </w:pPr>
      <w:r>
        <w:t>e</w:t>
      </w:r>
      <w:r w:rsidRPr="005171CC">
        <w:t>stablish a single licensing system based on the parameters of the licence, including duration and renewal rights</w:t>
      </w:r>
    </w:p>
    <w:p w14:paraId="006083E3" w14:textId="77777777" w:rsidR="00E14857" w:rsidRPr="005171CC" w:rsidRDefault="00E14857" w:rsidP="0042259C">
      <w:pPr>
        <w:pStyle w:val="Deptbulletlist1"/>
        <w:numPr>
          <w:ilvl w:val="0"/>
          <w:numId w:val="3"/>
        </w:numPr>
        <w:ind w:left="357" w:hanging="357"/>
      </w:pPr>
      <w:r>
        <w:t>c</w:t>
      </w:r>
      <w:r w:rsidRPr="005171CC">
        <w:t>larify the roles and responsibilities of the Minister and the ACMA</w:t>
      </w:r>
    </w:p>
    <w:p w14:paraId="11B0590F" w14:textId="77777777" w:rsidR="00E14857" w:rsidRPr="005171CC" w:rsidRDefault="00E14857" w:rsidP="0042259C">
      <w:pPr>
        <w:pStyle w:val="Deptbulletlist1"/>
        <w:numPr>
          <w:ilvl w:val="0"/>
          <w:numId w:val="3"/>
        </w:numPr>
        <w:ind w:left="357" w:hanging="357"/>
      </w:pPr>
      <w:r>
        <w:t>p</w:t>
      </w:r>
      <w:r w:rsidRPr="005171CC">
        <w:t>rovide for transparent and timely spectrum allocation</w:t>
      </w:r>
      <w:r>
        <w:t xml:space="preserve"> and reallocation</w:t>
      </w:r>
      <w:r w:rsidRPr="005171CC">
        <w:t xml:space="preserve"> processes and methods, and </w:t>
      </w:r>
      <w:r w:rsidR="00AB2566">
        <w:t xml:space="preserve">allow for </w:t>
      </w:r>
      <w:r w:rsidRPr="005171CC">
        <w:t>allocation</w:t>
      </w:r>
      <w:r>
        <w:t xml:space="preserve"> and reallocation</w:t>
      </w:r>
      <w:r w:rsidRPr="005171CC">
        <w:t xml:space="preserve"> of encumbered spectrum</w:t>
      </w:r>
    </w:p>
    <w:p w14:paraId="355553C4" w14:textId="77777777" w:rsidR="00E14857" w:rsidRDefault="00E14857" w:rsidP="0042259C">
      <w:pPr>
        <w:pStyle w:val="Deptbulletlist1"/>
        <w:numPr>
          <w:ilvl w:val="0"/>
          <w:numId w:val="3"/>
        </w:numPr>
        <w:ind w:left="357" w:hanging="357"/>
      </w:pPr>
      <w:r>
        <w:t>p</w:t>
      </w:r>
      <w:r w:rsidRPr="005171CC">
        <w:t>rovide more opportunities for spectrum users to participate in spectrum management, through delegation of functions and user driven dispute resolution</w:t>
      </w:r>
    </w:p>
    <w:p w14:paraId="257B5AB5" w14:textId="091F19B3" w:rsidR="00667550" w:rsidRPr="005171CC" w:rsidRDefault="00667550" w:rsidP="0042259C">
      <w:pPr>
        <w:pStyle w:val="Deptbulletlist1"/>
        <w:numPr>
          <w:ilvl w:val="0"/>
          <w:numId w:val="3"/>
        </w:numPr>
        <w:ind w:left="357" w:hanging="357"/>
      </w:pPr>
      <w:r>
        <w:t>m</w:t>
      </w:r>
      <w:r w:rsidRPr="005171CC">
        <w:t>anage broadcasting spectrum in the same way as other spectrum while recognising that the holders of broadcasting licences</w:t>
      </w:r>
      <w:r w:rsidR="00444293">
        <w:t xml:space="preserve"> and </w:t>
      </w:r>
      <w:r w:rsidR="00A548C0">
        <w:t xml:space="preserve">the </w:t>
      </w:r>
      <w:r w:rsidR="00444293">
        <w:t>national broadcast</w:t>
      </w:r>
      <w:r w:rsidR="00A548C0">
        <w:t>ers</w:t>
      </w:r>
      <w:r w:rsidR="00444293">
        <w:t xml:space="preserve"> </w:t>
      </w:r>
      <w:r w:rsidR="003F4F7F">
        <w:t>would</w:t>
      </w:r>
      <w:r w:rsidR="003F4F7F" w:rsidRPr="005171CC">
        <w:t xml:space="preserve"> </w:t>
      </w:r>
      <w:r w:rsidRPr="005171CC">
        <w:t>be provided with certainty of access to spectrum</w:t>
      </w:r>
      <w:r w:rsidR="00203832">
        <w:t xml:space="preserve"> to deliver broadcasting services</w:t>
      </w:r>
    </w:p>
    <w:p w14:paraId="085388E8" w14:textId="77777777" w:rsidR="00E14857" w:rsidRPr="005171CC" w:rsidRDefault="00E14857" w:rsidP="0042259C">
      <w:pPr>
        <w:pStyle w:val="Deptbulletlist1"/>
        <w:numPr>
          <w:ilvl w:val="0"/>
          <w:numId w:val="3"/>
        </w:numPr>
        <w:ind w:left="357" w:hanging="357"/>
      </w:pPr>
      <w:r>
        <w:t>s</w:t>
      </w:r>
      <w:r w:rsidRPr="005171CC">
        <w:t>treamline device supply schemes</w:t>
      </w:r>
    </w:p>
    <w:p w14:paraId="07B7D3C6" w14:textId="77777777" w:rsidR="00E14857" w:rsidRPr="005171CC" w:rsidRDefault="00E14857" w:rsidP="0042259C">
      <w:pPr>
        <w:pStyle w:val="Deptbulletlist1"/>
        <w:numPr>
          <w:ilvl w:val="0"/>
          <w:numId w:val="3"/>
        </w:numPr>
        <w:ind w:left="357" w:hanging="357"/>
      </w:pPr>
      <w:r>
        <w:t>i</w:t>
      </w:r>
      <w:r w:rsidRPr="005171CC">
        <w:t>mprove compliance and enforcement by introducing proportionate and graduated enforcement mechanisms for breaches of eithe</w:t>
      </w:r>
      <w:r w:rsidR="00667550">
        <w:t>r the law or licence conditions</w:t>
      </w:r>
    </w:p>
    <w:p w14:paraId="3243FBD7" w14:textId="77777777" w:rsidR="00C83689" w:rsidRDefault="00E14857" w:rsidP="0042259C">
      <w:pPr>
        <w:pStyle w:val="Deptbulletlist1"/>
        <w:numPr>
          <w:ilvl w:val="0"/>
          <w:numId w:val="3"/>
        </w:numPr>
        <w:ind w:left="357" w:hanging="357"/>
      </w:pPr>
      <w:r>
        <w:t>e</w:t>
      </w:r>
      <w:r w:rsidRPr="005171CC">
        <w:t>nsure that the rights of existing licence holders are not diminished in the transition to the new framework.</w:t>
      </w:r>
    </w:p>
    <w:p w14:paraId="752147AF" w14:textId="77777777" w:rsidR="004A754A" w:rsidRDefault="004A754A" w:rsidP="005A39FF">
      <w:pPr>
        <w:pStyle w:val="DeptBodytext"/>
      </w:pPr>
      <w:r>
        <w:t>Implementation stages would commence following the passage of legislation. This would again include ongoing consultation with stakeholders and progress over a period of some years.</w:t>
      </w:r>
    </w:p>
    <w:p w14:paraId="18C809F3" w14:textId="77777777" w:rsidR="00476E94" w:rsidRDefault="00476E94" w:rsidP="009D323F"/>
    <w:p w14:paraId="4D326F0A" w14:textId="77777777" w:rsidR="00476E94" w:rsidRDefault="00476E94">
      <w:r>
        <w:br w:type="page"/>
      </w:r>
    </w:p>
    <w:p w14:paraId="22DAC294" w14:textId="77777777" w:rsidR="002C3642" w:rsidRDefault="002C3642" w:rsidP="005A39FF">
      <w:pPr>
        <w:pStyle w:val="DeptHeading2"/>
      </w:pPr>
      <w:bookmarkStart w:id="20" w:name="_Toc413139542"/>
      <w:r>
        <w:lastRenderedPageBreak/>
        <w:t>Recommendations</w:t>
      </w:r>
      <w:bookmarkEnd w:id="20"/>
    </w:p>
    <w:p w14:paraId="3D67697A" w14:textId="77777777" w:rsidR="00B27CEE" w:rsidRPr="004658F9" w:rsidRDefault="00B27CEE" w:rsidP="005A39FF">
      <w:pPr>
        <w:pStyle w:val="DeptBodytext"/>
        <w:ind w:left="426" w:hanging="426"/>
      </w:pPr>
      <w:bookmarkStart w:id="21" w:name="_Toc410651711"/>
      <w:r>
        <w:t xml:space="preserve">1. </w:t>
      </w:r>
      <w:r>
        <w:tab/>
      </w:r>
      <w:r w:rsidR="00931A54">
        <w:t>Given technological change and increasing demands for spectrum the current legislative framework (t</w:t>
      </w:r>
      <w:r w:rsidR="00336EAD">
        <w:t>he</w:t>
      </w:r>
      <w:r w:rsidR="00336EAD" w:rsidRPr="004658F9">
        <w:t xml:space="preserve"> </w:t>
      </w:r>
      <w:r w:rsidRPr="00347701">
        <w:rPr>
          <w:i/>
        </w:rPr>
        <w:t>Radiocommunications Act 1992</w:t>
      </w:r>
      <w:r w:rsidR="00931A54">
        <w:rPr>
          <w:i/>
        </w:rPr>
        <w:t>)</w:t>
      </w:r>
      <w:r w:rsidRPr="004658F9">
        <w:t xml:space="preserve"> </w:t>
      </w:r>
      <w:r w:rsidR="00336EAD">
        <w:t xml:space="preserve">should be replaced </w:t>
      </w:r>
      <w:r w:rsidR="00B817D2">
        <w:t>by</w:t>
      </w:r>
      <w:r w:rsidR="00B817D2" w:rsidRPr="004658F9">
        <w:t xml:space="preserve"> </w:t>
      </w:r>
      <w:r w:rsidRPr="004658F9">
        <w:t>a</w:t>
      </w:r>
      <w:r w:rsidR="00931A54">
        <w:t>rrangements that</w:t>
      </w:r>
      <w:r w:rsidRPr="004658F9">
        <w:t>:</w:t>
      </w:r>
    </w:p>
    <w:p w14:paraId="434652A0" w14:textId="77777777" w:rsidR="00781D61" w:rsidRPr="005A39FF" w:rsidRDefault="00781D61" w:rsidP="00781D61">
      <w:pPr>
        <w:pStyle w:val="Deptbulletlist1"/>
        <w:numPr>
          <w:ilvl w:val="0"/>
          <w:numId w:val="3"/>
        </w:numPr>
        <w:ind w:left="357" w:hanging="357"/>
      </w:pPr>
      <w:r w:rsidRPr="005A39FF">
        <w:t xml:space="preserve">provide for greater </w:t>
      </w:r>
      <w:r w:rsidR="00F8656F" w:rsidRPr="005A39FF">
        <w:t>market-based activity</w:t>
      </w:r>
      <w:r w:rsidRPr="005A39FF">
        <w:t>, including by increasing the opportunity for spectrum holders to share and trade spectrum</w:t>
      </w:r>
    </w:p>
    <w:p w14:paraId="7BDC8DC7" w14:textId="77777777" w:rsidR="00781D61" w:rsidRPr="005A39FF" w:rsidRDefault="00781D61" w:rsidP="00781D61">
      <w:pPr>
        <w:pStyle w:val="Deptbulletlist1"/>
        <w:numPr>
          <w:ilvl w:val="0"/>
          <w:numId w:val="3"/>
        </w:numPr>
        <w:ind w:left="357" w:hanging="357"/>
      </w:pPr>
      <w:r w:rsidRPr="005A39FF">
        <w:t xml:space="preserve">simplify regulatory structures, streamline regulatory processes and clarify the role </w:t>
      </w:r>
      <w:r w:rsidR="0042097C" w:rsidRPr="005A39FF">
        <w:t xml:space="preserve">of </w:t>
      </w:r>
      <w:r w:rsidRPr="005A39FF">
        <w:t>Government</w:t>
      </w:r>
      <w:r w:rsidR="00E930B0" w:rsidRPr="005A39FF">
        <w:t>.</w:t>
      </w:r>
      <w:r w:rsidRPr="005A39FF">
        <w:t xml:space="preserve"> </w:t>
      </w:r>
    </w:p>
    <w:p w14:paraId="5737FA56" w14:textId="77777777" w:rsidR="00B27CEE" w:rsidRPr="00347701" w:rsidRDefault="00B27CEE" w:rsidP="00F8656F">
      <w:pPr>
        <w:pStyle w:val="DeptBodytext"/>
      </w:pPr>
      <w:r w:rsidRPr="00347701">
        <w:t xml:space="preserve">The new legislative </w:t>
      </w:r>
      <w:r w:rsidR="007A5368" w:rsidRPr="00347701">
        <w:t>framework</w:t>
      </w:r>
      <w:r w:rsidR="00FB43DD">
        <w:t xml:space="preserve"> (including amendment</w:t>
      </w:r>
      <w:r w:rsidR="00801D4D">
        <w:t>s</w:t>
      </w:r>
      <w:r w:rsidR="00FB43DD">
        <w:t xml:space="preserve"> to related legislation)</w:t>
      </w:r>
      <w:r w:rsidR="00A0065A" w:rsidRPr="00347701">
        <w:t xml:space="preserve">, which </w:t>
      </w:r>
      <w:r w:rsidR="00336EAD" w:rsidRPr="00347701">
        <w:t>would</w:t>
      </w:r>
      <w:r w:rsidR="00A0065A" w:rsidRPr="00347701">
        <w:t xml:space="preserve"> be developed in close consultation with stakeholders,</w:t>
      </w:r>
      <w:r w:rsidRPr="00347701">
        <w:t xml:space="preserve"> </w:t>
      </w:r>
      <w:r w:rsidR="00336EAD" w:rsidRPr="00347701">
        <w:t xml:space="preserve">should </w:t>
      </w:r>
      <w:r w:rsidRPr="00347701">
        <w:t>achieve this by:</w:t>
      </w:r>
    </w:p>
    <w:p w14:paraId="198B9694" w14:textId="77777777" w:rsidR="00B27CEE" w:rsidRPr="00DA629B" w:rsidRDefault="00B27CEE" w:rsidP="000D57E8">
      <w:pPr>
        <w:pStyle w:val="Deptbulletlist1"/>
        <w:numPr>
          <w:ilvl w:val="0"/>
          <w:numId w:val="10"/>
        </w:numPr>
        <w:ind w:left="357" w:hanging="357"/>
      </w:pPr>
      <w:r w:rsidRPr="00DA629B">
        <w:t xml:space="preserve">Establishing </w:t>
      </w:r>
      <w:r w:rsidR="00783CCF">
        <w:t xml:space="preserve">a </w:t>
      </w:r>
      <w:r w:rsidRPr="00DA629B">
        <w:t xml:space="preserve">single licensing </w:t>
      </w:r>
      <w:r w:rsidR="00783CCF">
        <w:t>system</w:t>
      </w:r>
      <w:r w:rsidRPr="00DA629B">
        <w:t xml:space="preserve"> based around </w:t>
      </w:r>
      <w:r w:rsidR="005A0D48">
        <w:t>a limited number of</w:t>
      </w:r>
      <w:r w:rsidRPr="00DA629B">
        <w:t xml:space="preserve"> parameters of the licence (for example frequency band, geographic area, licence duration</w:t>
      </w:r>
      <w:r w:rsidR="003C33F2">
        <w:t xml:space="preserve"> and</w:t>
      </w:r>
      <w:r w:rsidRPr="00DA629B">
        <w:t xml:space="preserve"> renewal rights of the licence</w:t>
      </w:r>
      <w:r w:rsidR="00BC0EB2">
        <w:t>)</w:t>
      </w:r>
      <w:r w:rsidR="00576DB4">
        <w:t>.</w:t>
      </w:r>
    </w:p>
    <w:p w14:paraId="1B1C5D5F" w14:textId="368E1D4F" w:rsidR="009526B7" w:rsidRDefault="009526B7" w:rsidP="000D57E8">
      <w:pPr>
        <w:pStyle w:val="Deptbulletlist1"/>
        <w:numPr>
          <w:ilvl w:val="0"/>
          <w:numId w:val="10"/>
        </w:numPr>
        <w:ind w:left="357" w:hanging="357"/>
      </w:pPr>
      <w:r>
        <w:t>Integrat</w:t>
      </w:r>
      <w:r w:rsidR="00C96569">
        <w:t>ing</w:t>
      </w:r>
      <w:r>
        <w:t xml:space="preserve"> the management of broadcasting spectrum, including planning, licensing and pricing into the general spectrum management </w:t>
      </w:r>
      <w:r w:rsidR="007A5368">
        <w:t>framework</w:t>
      </w:r>
      <w:r w:rsidR="00D0454E">
        <w:t xml:space="preserve">, recognising that the </w:t>
      </w:r>
      <w:r w:rsidR="005A0D48">
        <w:t xml:space="preserve">current </w:t>
      </w:r>
      <w:r w:rsidR="00D0454E">
        <w:t>holders of broadcasting licences</w:t>
      </w:r>
      <w:r w:rsidR="00444293">
        <w:t xml:space="preserve"> and</w:t>
      </w:r>
      <w:r w:rsidR="00A548C0">
        <w:t xml:space="preserve"> the national broadcasters</w:t>
      </w:r>
      <w:r w:rsidR="00444293">
        <w:t xml:space="preserve"> </w:t>
      </w:r>
      <w:r w:rsidR="003F4F7F">
        <w:t xml:space="preserve">would </w:t>
      </w:r>
      <w:r w:rsidR="00D0454E">
        <w:t>be provided with certainty of access to spectrum</w:t>
      </w:r>
      <w:r w:rsidR="00203832">
        <w:t xml:space="preserve"> to deliver broadcasting services</w:t>
      </w:r>
      <w:r>
        <w:t>.</w:t>
      </w:r>
    </w:p>
    <w:p w14:paraId="2A36C26E" w14:textId="77777777" w:rsidR="00B27CEE" w:rsidRPr="004658F9" w:rsidRDefault="00B27CEE" w:rsidP="000D57E8">
      <w:pPr>
        <w:pStyle w:val="Deptbulletlist1"/>
        <w:numPr>
          <w:ilvl w:val="0"/>
          <w:numId w:val="10"/>
        </w:numPr>
        <w:ind w:left="357" w:hanging="357"/>
      </w:pPr>
      <w:r w:rsidRPr="00DA629B">
        <w:t>Clarifying</w:t>
      </w:r>
      <w:r w:rsidRPr="004658F9">
        <w:t xml:space="preserve"> the roles and responsibilities of the Minister and the ACMA under the </w:t>
      </w:r>
      <w:r w:rsidR="007A5368">
        <w:t>framework</w:t>
      </w:r>
      <w:r w:rsidRPr="004658F9">
        <w:t xml:space="preserve"> by:</w:t>
      </w:r>
    </w:p>
    <w:p w14:paraId="11CDC34A" w14:textId="77777777" w:rsidR="00B27CEE" w:rsidRDefault="00875E92" w:rsidP="000D57E8">
      <w:pPr>
        <w:pStyle w:val="Deptbulletlist2"/>
        <w:numPr>
          <w:ilvl w:val="0"/>
          <w:numId w:val="12"/>
        </w:numPr>
        <w:ind w:left="851" w:hanging="284"/>
      </w:pPr>
      <w:r>
        <w:t>h</w:t>
      </w:r>
      <w:r w:rsidR="00B27CEE">
        <w:t>aving</w:t>
      </w:r>
      <w:r w:rsidR="00B27CEE" w:rsidRPr="004658F9">
        <w:t xml:space="preserve"> the Minister issue policy statements on the Government’s strategy and priorities for spectrum</w:t>
      </w:r>
      <w:r w:rsidR="00B27CEE">
        <w:t xml:space="preserve"> </w:t>
      </w:r>
      <w:r w:rsidR="007342F2">
        <w:t xml:space="preserve">with </w:t>
      </w:r>
      <w:r w:rsidR="00B27CEE">
        <w:t>which t</w:t>
      </w:r>
      <w:r w:rsidR="00B27CEE" w:rsidRPr="004658F9">
        <w:t>he ACMA would be r</w:t>
      </w:r>
      <w:r w:rsidR="007342F2">
        <w:t>equired to act consistently</w:t>
      </w:r>
    </w:p>
    <w:p w14:paraId="1DC9B2BF" w14:textId="77777777" w:rsidR="00B27CEE" w:rsidRPr="002E014B" w:rsidRDefault="00875E92" w:rsidP="000D57E8">
      <w:pPr>
        <w:pStyle w:val="Deptbulletlist2"/>
        <w:numPr>
          <w:ilvl w:val="0"/>
          <w:numId w:val="12"/>
        </w:numPr>
        <w:ind w:left="851" w:hanging="284"/>
      </w:pPr>
      <w:r>
        <w:t>p</w:t>
      </w:r>
      <w:r w:rsidR="00B27CEE" w:rsidRPr="004658F9">
        <w:t>rovid</w:t>
      </w:r>
      <w:r w:rsidR="00B27CEE">
        <w:t>ing</w:t>
      </w:r>
      <w:r w:rsidR="00B27CEE" w:rsidRPr="004658F9">
        <w:t xml:space="preserve"> the Minister with powers to direct the ACMA on specific matters (such as planning, allocation</w:t>
      </w:r>
      <w:r w:rsidR="00700B28">
        <w:t xml:space="preserve"> and reallocation</w:t>
      </w:r>
      <w:r w:rsidR="00FB43DD">
        <w:t>, licensing</w:t>
      </w:r>
      <w:r w:rsidR="00B27CEE" w:rsidRPr="004658F9">
        <w:t xml:space="preserve"> and pricing), </w:t>
      </w:r>
      <w:r w:rsidR="00336EAD">
        <w:t>as well as a</w:t>
      </w:r>
      <w:r w:rsidR="00B27CEE" w:rsidRPr="004658F9">
        <w:t xml:space="preserve"> general directions</w:t>
      </w:r>
      <w:r w:rsidR="00BC0EB2">
        <w:t xml:space="preserve"> power</w:t>
      </w:r>
    </w:p>
    <w:p w14:paraId="5DDAFA17" w14:textId="77777777" w:rsidR="009526B7" w:rsidRDefault="00875E92" w:rsidP="000D57E8">
      <w:pPr>
        <w:pStyle w:val="Deptbulletlist2"/>
        <w:numPr>
          <w:ilvl w:val="0"/>
          <w:numId w:val="12"/>
        </w:numPr>
        <w:ind w:left="851" w:hanging="284"/>
      </w:pPr>
      <w:r>
        <w:t>r</w:t>
      </w:r>
      <w:r w:rsidR="00B27CEE" w:rsidRPr="004658F9">
        <w:t xml:space="preserve">equiring the ACMA to provide to the Minister an annual work </w:t>
      </w:r>
      <w:r w:rsidR="006420F9">
        <w:t>program</w:t>
      </w:r>
      <w:r w:rsidR="00B27CEE" w:rsidRPr="004658F9">
        <w:t>, prepared in</w:t>
      </w:r>
      <w:r w:rsidR="00B27CEE">
        <w:t xml:space="preserve"> consultation with stakeholders,</w:t>
      </w:r>
      <w:r w:rsidR="00B27CEE" w:rsidRPr="004658F9">
        <w:t xml:space="preserve"> including key priorities over a three to five year timeframe</w:t>
      </w:r>
    </w:p>
    <w:p w14:paraId="34B920BE" w14:textId="77777777" w:rsidR="00B27CEE" w:rsidRPr="004658F9" w:rsidRDefault="009526B7" w:rsidP="000D57E8">
      <w:pPr>
        <w:pStyle w:val="Deptbulletlist2"/>
        <w:numPr>
          <w:ilvl w:val="0"/>
          <w:numId w:val="12"/>
        </w:numPr>
        <w:ind w:left="851" w:hanging="284"/>
      </w:pPr>
      <w:r>
        <w:t>r</w:t>
      </w:r>
      <w:r w:rsidRPr="004658F9">
        <w:t>equir</w:t>
      </w:r>
      <w:r w:rsidR="00A0065A">
        <w:t>ing</w:t>
      </w:r>
      <w:r>
        <w:t xml:space="preserve"> the ACMA to </w:t>
      </w:r>
      <w:r w:rsidR="00B27CEE" w:rsidRPr="004658F9">
        <w:t xml:space="preserve">notify the Minister of </w:t>
      </w:r>
      <w:r>
        <w:t xml:space="preserve">intended </w:t>
      </w:r>
      <w:r w:rsidR="00B27CEE" w:rsidRPr="004658F9">
        <w:t xml:space="preserve">decisions </w:t>
      </w:r>
      <w:r>
        <w:t>on specifi</w:t>
      </w:r>
      <w:r w:rsidR="00A0065A">
        <w:t>ed</w:t>
      </w:r>
      <w:r>
        <w:t xml:space="preserve"> issues</w:t>
      </w:r>
    </w:p>
    <w:p w14:paraId="3D29F170" w14:textId="77777777" w:rsidR="00B27CEE" w:rsidRPr="003502E0" w:rsidRDefault="00875E92" w:rsidP="000D57E8">
      <w:pPr>
        <w:pStyle w:val="Deptbulletlist2"/>
        <w:numPr>
          <w:ilvl w:val="0"/>
          <w:numId w:val="12"/>
        </w:numPr>
        <w:ind w:left="851" w:hanging="284"/>
      </w:pPr>
      <w:r>
        <w:t>r</w:t>
      </w:r>
      <w:r w:rsidR="00B27CEE" w:rsidRPr="003502E0">
        <w:t xml:space="preserve">equiring the ACMA </w:t>
      </w:r>
      <w:r w:rsidR="0038673E">
        <w:t xml:space="preserve">to </w:t>
      </w:r>
      <w:r w:rsidR="00B27CEE" w:rsidRPr="003502E0">
        <w:t xml:space="preserve">improve and maintain the range, availability and quality of information </w:t>
      </w:r>
      <w:r w:rsidR="00B27CEE">
        <w:t>available to</w:t>
      </w:r>
      <w:r w:rsidR="00B27CEE" w:rsidRPr="003502E0">
        <w:t xml:space="preserve"> the market, supported by appropriate powers to collect information from industry</w:t>
      </w:r>
      <w:r w:rsidR="00B27CEE">
        <w:t>.</w:t>
      </w:r>
    </w:p>
    <w:p w14:paraId="0D203C6B" w14:textId="77777777" w:rsidR="00B27CEE" w:rsidRDefault="00B27CEE" w:rsidP="000D57E8">
      <w:pPr>
        <w:pStyle w:val="Deptbulletlist1"/>
        <w:numPr>
          <w:ilvl w:val="0"/>
          <w:numId w:val="10"/>
        </w:numPr>
        <w:ind w:left="357" w:hanging="357"/>
      </w:pPr>
      <w:r w:rsidRPr="00DA629B">
        <w:t>Providing</w:t>
      </w:r>
      <w:r w:rsidRPr="004658F9">
        <w:t xml:space="preserve"> for transparent and timely spectrum allocation</w:t>
      </w:r>
      <w:r w:rsidR="00FB43DD">
        <w:t xml:space="preserve"> and reallocation</w:t>
      </w:r>
      <w:r w:rsidRPr="004658F9">
        <w:t xml:space="preserve"> processes and methods by:</w:t>
      </w:r>
    </w:p>
    <w:p w14:paraId="28BA8979" w14:textId="77777777" w:rsidR="00B27CEE" w:rsidRPr="004658F9" w:rsidRDefault="00875E92" w:rsidP="000D57E8">
      <w:pPr>
        <w:pStyle w:val="Deptbulletlist2"/>
        <w:numPr>
          <w:ilvl w:val="0"/>
          <w:numId w:val="13"/>
        </w:numPr>
        <w:ind w:left="851" w:hanging="284"/>
      </w:pPr>
      <w:r>
        <w:t>r</w:t>
      </w:r>
      <w:r w:rsidR="00B27CEE">
        <w:t xml:space="preserve">emoving </w:t>
      </w:r>
      <w:r w:rsidR="008D31D6">
        <w:t xml:space="preserve">the </w:t>
      </w:r>
      <w:r w:rsidR="00B27CEE">
        <w:t xml:space="preserve">Minister </w:t>
      </w:r>
      <w:r w:rsidR="00BA69EA">
        <w:t xml:space="preserve">from </w:t>
      </w:r>
      <w:r w:rsidR="002E2239">
        <w:t>mandated and routine involvement in</w:t>
      </w:r>
      <w:r w:rsidR="00BA69EA">
        <w:t xml:space="preserve"> allocation</w:t>
      </w:r>
      <w:r w:rsidR="00FB43DD">
        <w:t xml:space="preserve"> and reallocation</w:t>
      </w:r>
      <w:r w:rsidR="002E2239">
        <w:t xml:space="preserve"> processes</w:t>
      </w:r>
    </w:p>
    <w:p w14:paraId="1738AE11" w14:textId="77777777" w:rsidR="00B27CEE" w:rsidRPr="004658F9" w:rsidRDefault="00875E92" w:rsidP="000D57E8">
      <w:pPr>
        <w:pStyle w:val="Deptbulletlist2"/>
        <w:numPr>
          <w:ilvl w:val="0"/>
          <w:numId w:val="13"/>
        </w:numPr>
        <w:ind w:left="851" w:hanging="284"/>
      </w:pPr>
      <w:r>
        <w:t>a</w:t>
      </w:r>
      <w:r w:rsidR="00B27CEE">
        <w:t xml:space="preserve">uthorising </w:t>
      </w:r>
      <w:r w:rsidR="00B27CEE" w:rsidRPr="004658F9">
        <w:t xml:space="preserve">the ACMA to allocate </w:t>
      </w:r>
      <w:r w:rsidR="00FB43DD">
        <w:t xml:space="preserve">and reallocate </w:t>
      </w:r>
      <w:r w:rsidR="00B27CEE" w:rsidRPr="004658F9">
        <w:t xml:space="preserve">spectrum consistent with policy statements or </w:t>
      </w:r>
      <w:r w:rsidR="00B27CEE">
        <w:t xml:space="preserve">as </w:t>
      </w:r>
      <w:r w:rsidR="00B27CEE" w:rsidRPr="004658F9">
        <w:t xml:space="preserve">outlined in its published </w:t>
      </w:r>
      <w:r w:rsidR="00C64CD4">
        <w:t xml:space="preserve">work </w:t>
      </w:r>
      <w:r w:rsidR="006420F9">
        <w:t>program</w:t>
      </w:r>
    </w:p>
    <w:p w14:paraId="747A841C" w14:textId="77777777" w:rsidR="00B27CEE" w:rsidRPr="004658F9" w:rsidRDefault="00875E92" w:rsidP="000D57E8">
      <w:pPr>
        <w:pStyle w:val="Deptbulletlist2"/>
        <w:numPr>
          <w:ilvl w:val="0"/>
          <w:numId w:val="13"/>
        </w:numPr>
        <w:ind w:left="851" w:hanging="284"/>
      </w:pPr>
      <w:r>
        <w:t>a</w:t>
      </w:r>
      <w:r w:rsidR="00B27CEE">
        <w:t xml:space="preserve">uthorising </w:t>
      </w:r>
      <w:r w:rsidR="00B27CEE" w:rsidRPr="004658F9">
        <w:t xml:space="preserve">the ACMA to allocate </w:t>
      </w:r>
      <w:r w:rsidR="00FB43DD">
        <w:t xml:space="preserve">and reallocate </w:t>
      </w:r>
      <w:r w:rsidR="00B27CEE" w:rsidRPr="004658F9">
        <w:t>encumbered spectrum</w:t>
      </w:r>
      <w:r w:rsidR="00B27CEE">
        <w:t>.</w:t>
      </w:r>
    </w:p>
    <w:p w14:paraId="1B2B2062" w14:textId="77777777" w:rsidR="00B27CEE" w:rsidRPr="004658F9" w:rsidRDefault="00B27CEE" w:rsidP="000D57E8">
      <w:pPr>
        <w:pStyle w:val="Deptbulletlist1"/>
        <w:numPr>
          <w:ilvl w:val="0"/>
          <w:numId w:val="10"/>
        </w:numPr>
        <w:ind w:left="357" w:hanging="357"/>
      </w:pPr>
      <w:r w:rsidRPr="00DA629B">
        <w:lastRenderedPageBreak/>
        <w:t>Providing</w:t>
      </w:r>
      <w:r w:rsidRPr="004658F9">
        <w:t xml:space="preserve"> </w:t>
      </w:r>
      <w:r w:rsidR="00263C6A">
        <w:t xml:space="preserve">more </w:t>
      </w:r>
      <w:r w:rsidRPr="004658F9">
        <w:t xml:space="preserve">opportunities for spectrum users to </w:t>
      </w:r>
      <w:r>
        <w:t>participate</w:t>
      </w:r>
      <w:r w:rsidRPr="004658F9">
        <w:t xml:space="preserve"> in spectrum management by:</w:t>
      </w:r>
    </w:p>
    <w:p w14:paraId="60860CF7" w14:textId="77777777" w:rsidR="00B27CEE" w:rsidRPr="004658F9" w:rsidRDefault="002039EC" w:rsidP="000D57E8">
      <w:pPr>
        <w:pStyle w:val="Deptbulletlist2"/>
        <w:numPr>
          <w:ilvl w:val="0"/>
          <w:numId w:val="14"/>
        </w:numPr>
        <w:ind w:left="851" w:hanging="284"/>
      </w:pPr>
      <w:r>
        <w:t>e</w:t>
      </w:r>
      <w:r w:rsidR="00B27CEE" w:rsidRPr="004658F9">
        <w:t>nabling the ACMA to delegate spectrum management functions to other entities</w:t>
      </w:r>
      <w:r w:rsidR="00BC0EB2">
        <w:t xml:space="preserve"> where appropriate</w:t>
      </w:r>
    </w:p>
    <w:p w14:paraId="11AC56DF" w14:textId="77777777" w:rsidR="00B27CEE" w:rsidRPr="004658F9" w:rsidRDefault="002039EC" w:rsidP="000D57E8">
      <w:pPr>
        <w:pStyle w:val="Deptbulletlist2"/>
        <w:numPr>
          <w:ilvl w:val="0"/>
          <w:numId w:val="14"/>
        </w:numPr>
        <w:ind w:left="851" w:hanging="284"/>
      </w:pPr>
      <w:r>
        <w:t>a</w:t>
      </w:r>
      <w:r w:rsidR="00B27CEE" w:rsidRPr="004658F9">
        <w:t>llowing licensees to resolve interference and disputes</w:t>
      </w:r>
      <w:r w:rsidR="00B27CEE">
        <w:t>,</w:t>
      </w:r>
      <w:r w:rsidR="00B27CEE" w:rsidRPr="004658F9">
        <w:t xml:space="preserve"> including:</w:t>
      </w:r>
    </w:p>
    <w:p w14:paraId="1B8D5526" w14:textId="77777777" w:rsidR="00B27CEE" w:rsidRDefault="002039EC" w:rsidP="00347701">
      <w:pPr>
        <w:pStyle w:val="Deptlistbullet3"/>
        <w:tabs>
          <w:tab w:val="clear" w:pos="926"/>
          <w:tab w:val="num" w:pos="1276"/>
        </w:tabs>
        <w:ind w:left="1276" w:hanging="425"/>
      </w:pPr>
      <w:r>
        <w:t>e</w:t>
      </w:r>
      <w:r w:rsidR="00B27CEE">
        <w:t>ncouraging</w:t>
      </w:r>
      <w:r w:rsidR="00B27CEE" w:rsidRPr="004658F9">
        <w:t xml:space="preserve"> licensees to </w:t>
      </w:r>
      <w:r w:rsidR="00B27CEE">
        <w:t>access</w:t>
      </w:r>
      <w:r w:rsidR="00B27CEE" w:rsidRPr="004658F9">
        <w:t xml:space="preserve"> alternative dispute resolution</w:t>
      </w:r>
    </w:p>
    <w:p w14:paraId="180845C2" w14:textId="77777777" w:rsidR="00B27CEE" w:rsidRPr="004658F9" w:rsidRDefault="002039EC" w:rsidP="00347701">
      <w:pPr>
        <w:pStyle w:val="Deptlistbullet3"/>
        <w:tabs>
          <w:tab w:val="clear" w:pos="926"/>
          <w:tab w:val="num" w:pos="1276"/>
        </w:tabs>
        <w:ind w:left="1276" w:hanging="425"/>
      </w:pPr>
      <w:r>
        <w:t>r</w:t>
      </w:r>
      <w:r w:rsidR="00B27CEE">
        <w:t>equiring</w:t>
      </w:r>
      <w:r w:rsidR="00B27CEE" w:rsidRPr="004658F9">
        <w:t xml:space="preserve"> the ACMA to develop and publish guidelines on its dispute management process</w:t>
      </w:r>
      <w:r w:rsidR="00B27CEE">
        <w:t>es</w:t>
      </w:r>
    </w:p>
    <w:p w14:paraId="1068EABD" w14:textId="77777777" w:rsidR="00B27CEE" w:rsidRPr="004658F9" w:rsidRDefault="002039EC" w:rsidP="00347701">
      <w:pPr>
        <w:pStyle w:val="Deptlistbullet3"/>
        <w:tabs>
          <w:tab w:val="clear" w:pos="926"/>
          <w:tab w:val="num" w:pos="1276"/>
        </w:tabs>
        <w:ind w:left="1276" w:hanging="425"/>
      </w:pPr>
      <w:r>
        <w:t>e</w:t>
      </w:r>
      <w:r w:rsidR="00B27CEE" w:rsidRPr="004658F9">
        <w:t>xpand</w:t>
      </w:r>
      <w:r w:rsidR="00B27CEE">
        <w:t>ing</w:t>
      </w:r>
      <w:r w:rsidR="00B27CEE" w:rsidRPr="004658F9">
        <w:t xml:space="preserve"> rights of licensees to take civil proceeding</w:t>
      </w:r>
      <w:r w:rsidR="00B27CEE">
        <w:t>s.</w:t>
      </w:r>
    </w:p>
    <w:p w14:paraId="2401FE2C" w14:textId="77777777" w:rsidR="00B27CEE" w:rsidRDefault="00B27CEE" w:rsidP="000D57E8">
      <w:pPr>
        <w:pStyle w:val="Deptbulletlist1"/>
        <w:numPr>
          <w:ilvl w:val="0"/>
          <w:numId w:val="10"/>
        </w:numPr>
        <w:ind w:left="357" w:hanging="357"/>
      </w:pPr>
      <w:r>
        <w:t>Streamlining device supply schemes by:</w:t>
      </w:r>
    </w:p>
    <w:p w14:paraId="7B80A995" w14:textId="77777777" w:rsidR="00B27CEE" w:rsidRDefault="002039EC" w:rsidP="000D57E8">
      <w:pPr>
        <w:pStyle w:val="Deptbulletlist2"/>
        <w:numPr>
          <w:ilvl w:val="0"/>
          <w:numId w:val="15"/>
        </w:numPr>
        <w:ind w:left="851" w:hanging="284"/>
      </w:pPr>
      <w:r>
        <w:t>a</w:t>
      </w:r>
      <w:r w:rsidR="00B27CEE">
        <w:t xml:space="preserve">uthorising the ACMA to develop </w:t>
      </w:r>
      <w:r w:rsidR="00E458DF">
        <w:t xml:space="preserve">targeted </w:t>
      </w:r>
      <w:r w:rsidR="00B27CEE">
        <w:t>device supply schemes</w:t>
      </w:r>
      <w:r w:rsidR="00BC0EB2">
        <w:t xml:space="preserve"> commensurate with risk</w:t>
      </w:r>
    </w:p>
    <w:p w14:paraId="11F6C3E6" w14:textId="77777777" w:rsidR="00B27CEE" w:rsidRPr="004658F9" w:rsidRDefault="002039EC" w:rsidP="000D57E8">
      <w:pPr>
        <w:pStyle w:val="Deptbulletlist2"/>
        <w:numPr>
          <w:ilvl w:val="0"/>
          <w:numId w:val="15"/>
        </w:numPr>
        <w:ind w:left="851" w:hanging="284"/>
      </w:pPr>
      <w:r w:rsidRPr="006F4EA7">
        <w:t>a</w:t>
      </w:r>
      <w:r w:rsidR="00B27CEE" w:rsidRPr="006F4EA7">
        <w:t xml:space="preserve">llowing users </w:t>
      </w:r>
      <w:r w:rsidR="00E458DF" w:rsidRPr="006F4EA7">
        <w:t xml:space="preserve">of devices that are not subject to a specific scheme </w:t>
      </w:r>
      <w:r w:rsidR="00B27CEE" w:rsidRPr="006F4EA7">
        <w:t>to manage thei</w:t>
      </w:r>
      <w:r w:rsidR="00BC0EB2" w:rsidRPr="006F4EA7">
        <w:t xml:space="preserve">r </w:t>
      </w:r>
      <w:r w:rsidR="00812800" w:rsidRPr="006F4EA7">
        <w:t xml:space="preserve">compliance obligations </w:t>
      </w:r>
      <w:r w:rsidR="00E458DF" w:rsidRPr="006F4EA7">
        <w:t>consistent with general interference management principles</w:t>
      </w:r>
      <w:r>
        <w:t>.</w:t>
      </w:r>
    </w:p>
    <w:p w14:paraId="42C61151" w14:textId="77777777" w:rsidR="00B27CEE" w:rsidRPr="00DA629B" w:rsidRDefault="00B27CEE" w:rsidP="000D57E8">
      <w:pPr>
        <w:pStyle w:val="Deptbulletlist1"/>
        <w:numPr>
          <w:ilvl w:val="0"/>
          <w:numId w:val="10"/>
        </w:numPr>
        <w:ind w:left="357" w:hanging="357"/>
      </w:pPr>
      <w:r w:rsidRPr="00DA629B">
        <w:t>Improv</w:t>
      </w:r>
      <w:r w:rsidR="00336EAD">
        <w:t>ing</w:t>
      </w:r>
      <w:r w:rsidRPr="00DA629B">
        <w:t xml:space="preserve"> compliance and enforcement by introducing proportionate and graduated enforcement mechanisms </w:t>
      </w:r>
      <w:r w:rsidR="009526B7">
        <w:t xml:space="preserve">for breaches of the legislative </w:t>
      </w:r>
      <w:r w:rsidR="007A5368">
        <w:t>framework</w:t>
      </w:r>
      <w:r w:rsidRPr="00DA629B">
        <w:t>, including:</w:t>
      </w:r>
    </w:p>
    <w:p w14:paraId="43932432" w14:textId="77777777" w:rsidR="00B27CEE" w:rsidRPr="004658F9" w:rsidRDefault="002039EC" w:rsidP="000D57E8">
      <w:pPr>
        <w:pStyle w:val="Deptbulletlist2"/>
        <w:numPr>
          <w:ilvl w:val="0"/>
          <w:numId w:val="16"/>
        </w:numPr>
        <w:ind w:left="851" w:hanging="284"/>
      </w:pPr>
      <w:r>
        <w:t>e</w:t>
      </w:r>
      <w:r w:rsidR="00B27CEE" w:rsidRPr="004658F9">
        <w:t>nabl</w:t>
      </w:r>
      <w:r w:rsidR="00B27CEE">
        <w:t>ing</w:t>
      </w:r>
      <w:r w:rsidR="00B27CEE" w:rsidRPr="004658F9">
        <w:t xml:space="preserve"> the ACMA to impose civil penalties, issue recalls or interim bans and issue remedial directions and formal warnings</w:t>
      </w:r>
    </w:p>
    <w:p w14:paraId="7EE06ED9" w14:textId="77777777" w:rsidR="00B27CEE" w:rsidRDefault="002039EC" w:rsidP="000D57E8">
      <w:pPr>
        <w:pStyle w:val="Deptbulletlist2"/>
        <w:numPr>
          <w:ilvl w:val="0"/>
          <w:numId w:val="16"/>
        </w:numPr>
        <w:ind w:left="851" w:hanging="284"/>
      </w:pPr>
      <w:r>
        <w:t>a</w:t>
      </w:r>
      <w:r w:rsidR="00B27CEE" w:rsidRPr="004658F9">
        <w:t>ppl</w:t>
      </w:r>
      <w:r w:rsidR="00B27CEE">
        <w:t>ying</w:t>
      </w:r>
      <w:r w:rsidR="00B27CEE" w:rsidRPr="004658F9">
        <w:t xml:space="preserve"> strict liability provisions and infringement notices to a broader range of offences</w:t>
      </w:r>
      <w:r w:rsidR="00B27CEE">
        <w:t>.</w:t>
      </w:r>
    </w:p>
    <w:p w14:paraId="03096F20" w14:textId="77777777" w:rsidR="00B27CEE" w:rsidRPr="004658F9" w:rsidRDefault="00336EAD" w:rsidP="000D57E8">
      <w:pPr>
        <w:pStyle w:val="Deptbulletlist1"/>
        <w:numPr>
          <w:ilvl w:val="0"/>
          <w:numId w:val="10"/>
        </w:numPr>
        <w:ind w:left="357" w:hanging="357"/>
      </w:pPr>
      <w:r>
        <w:t>Ensuring</w:t>
      </w:r>
      <w:r w:rsidR="00B27CEE" w:rsidRPr="003502E0">
        <w:t xml:space="preserve"> that the rights of existing licence holders are not diminished </w:t>
      </w:r>
      <w:r w:rsidR="00B27CEE">
        <w:t>in the transition</w:t>
      </w:r>
      <w:r w:rsidR="00E458DF">
        <w:t xml:space="preserve"> to the new </w:t>
      </w:r>
      <w:r w:rsidR="007A5368">
        <w:t>framework</w:t>
      </w:r>
      <w:r w:rsidR="00B27CEE">
        <w:t xml:space="preserve"> </w:t>
      </w:r>
      <w:r w:rsidR="00B27CEE" w:rsidRPr="003502E0">
        <w:t>by:</w:t>
      </w:r>
    </w:p>
    <w:p w14:paraId="1BF8CE82" w14:textId="77777777" w:rsidR="00B27CEE" w:rsidRDefault="002039EC" w:rsidP="000D57E8">
      <w:pPr>
        <w:pStyle w:val="Deptbulletlist2"/>
        <w:numPr>
          <w:ilvl w:val="0"/>
          <w:numId w:val="17"/>
        </w:numPr>
        <w:ind w:left="851" w:hanging="284"/>
      </w:pPr>
      <w:r>
        <w:t>p</w:t>
      </w:r>
      <w:r w:rsidR="00B27CEE">
        <w:t xml:space="preserve">roviding that </w:t>
      </w:r>
      <w:r w:rsidR="00B27CEE" w:rsidRPr="003502E0">
        <w:t xml:space="preserve">allocation </w:t>
      </w:r>
      <w:r w:rsidR="007A2C6D">
        <w:t xml:space="preserve">and reallocation </w:t>
      </w:r>
      <w:r w:rsidR="00B27CEE" w:rsidRPr="003502E0">
        <w:t xml:space="preserve">processes underway at the time the new Act comes into effect </w:t>
      </w:r>
      <w:r w:rsidR="003F4F7F">
        <w:t>would</w:t>
      </w:r>
      <w:r w:rsidR="003F4F7F" w:rsidRPr="003502E0">
        <w:t xml:space="preserve"> </w:t>
      </w:r>
      <w:r w:rsidR="00B27CEE" w:rsidRPr="003502E0">
        <w:t>continue</w:t>
      </w:r>
      <w:r w:rsidR="00B27CEE">
        <w:t xml:space="preserve"> under the </w:t>
      </w:r>
      <w:r w:rsidR="004A754A">
        <w:t xml:space="preserve">existing </w:t>
      </w:r>
      <w:r w:rsidR="00336EAD">
        <w:t>arrangements</w:t>
      </w:r>
      <w:r w:rsidR="00BD05A7">
        <w:t xml:space="preserve"> </w:t>
      </w:r>
    </w:p>
    <w:p w14:paraId="33170754" w14:textId="77777777" w:rsidR="005A0D48" w:rsidRDefault="002039EC" w:rsidP="000D57E8">
      <w:pPr>
        <w:pStyle w:val="Deptbulletlist2"/>
        <w:numPr>
          <w:ilvl w:val="0"/>
          <w:numId w:val="17"/>
        </w:numPr>
        <w:ind w:left="851" w:hanging="284"/>
      </w:pPr>
      <w:r>
        <w:t>a</w:t>
      </w:r>
      <w:r w:rsidR="00B27CEE" w:rsidRPr="002E014B">
        <w:t>llowing existing licences to continue</w:t>
      </w:r>
      <w:r w:rsidR="00B27CEE">
        <w:t xml:space="preserve"> under the old </w:t>
      </w:r>
      <w:r w:rsidR="00BD05A7">
        <w:t xml:space="preserve">licensing </w:t>
      </w:r>
      <w:r w:rsidR="007A5368">
        <w:t>arran</w:t>
      </w:r>
      <w:r w:rsidR="00783CCF">
        <w:t>gements</w:t>
      </w:r>
      <w:r w:rsidR="00B27CEE" w:rsidRPr="002E014B">
        <w:t xml:space="preserve"> until expiry</w:t>
      </w:r>
      <w:r w:rsidR="00B27CEE">
        <w:t>,</w:t>
      </w:r>
      <w:r w:rsidR="00B27CEE" w:rsidRPr="002E014B">
        <w:t xml:space="preserve"> </w:t>
      </w:r>
      <w:r w:rsidR="00B27CEE">
        <w:t>while also allowing</w:t>
      </w:r>
      <w:r w:rsidR="00B27CEE" w:rsidRPr="002E014B">
        <w:t xml:space="preserve"> </w:t>
      </w:r>
      <w:r w:rsidR="00B27CEE">
        <w:t>these</w:t>
      </w:r>
      <w:r w:rsidR="00B27CEE" w:rsidRPr="002E014B">
        <w:t xml:space="preserve"> licences to </w:t>
      </w:r>
      <w:r w:rsidR="00B27CEE">
        <w:t>transition</w:t>
      </w:r>
      <w:r w:rsidR="00B27CEE" w:rsidRPr="002E014B">
        <w:t xml:space="preserve"> earlier at the licensee’s discretion</w:t>
      </w:r>
    </w:p>
    <w:p w14:paraId="1580F18B" w14:textId="050727C9" w:rsidR="00B27CEE" w:rsidRPr="00F9072A" w:rsidRDefault="005A0D48" w:rsidP="003B50F5">
      <w:pPr>
        <w:pStyle w:val="Deptbulletlist2"/>
        <w:numPr>
          <w:ilvl w:val="0"/>
          <w:numId w:val="17"/>
        </w:numPr>
        <w:ind w:left="851" w:right="-381" w:hanging="283"/>
      </w:pPr>
      <w:r>
        <w:t xml:space="preserve">providing certainty for current </w:t>
      </w:r>
      <w:r w:rsidRPr="005A0D48">
        <w:t>holders of broadcasting licences</w:t>
      </w:r>
      <w:r w:rsidR="001A0B27">
        <w:t xml:space="preserve"> and national broadcasters</w:t>
      </w:r>
      <w:r>
        <w:t xml:space="preserve"> that they </w:t>
      </w:r>
      <w:r w:rsidR="003F4F7F">
        <w:t xml:space="preserve">would </w:t>
      </w:r>
      <w:r>
        <w:t>have continued access to spectrum</w:t>
      </w:r>
      <w:r w:rsidR="001A0B27">
        <w:t xml:space="preserve"> to deliver broadcasting services</w:t>
      </w:r>
      <w:r w:rsidR="009526B7">
        <w:t>.</w:t>
      </w:r>
      <w:r w:rsidR="00B27CEE" w:rsidRPr="002E014B">
        <w:t xml:space="preserve"> </w:t>
      </w:r>
    </w:p>
    <w:p w14:paraId="0EBF14AD" w14:textId="77777777" w:rsidR="005A0D48" w:rsidRDefault="00B27CEE" w:rsidP="005A39FF">
      <w:pPr>
        <w:pStyle w:val="DeptBodytext"/>
        <w:spacing w:after="120"/>
        <w:ind w:left="425" w:hanging="425"/>
      </w:pPr>
      <w:r>
        <w:t xml:space="preserve">2. </w:t>
      </w:r>
      <w:r>
        <w:tab/>
      </w:r>
      <w:r w:rsidR="005A0D48">
        <w:t xml:space="preserve">Recognising that how public sector agencies account for and deal with assets is a separate policy matter for </w:t>
      </w:r>
      <w:r w:rsidR="00951094">
        <w:t>G</w:t>
      </w:r>
      <w:r w:rsidR="005A0D48">
        <w:t>overnment,</w:t>
      </w:r>
      <w:r w:rsidR="00A0065A">
        <w:t xml:space="preserve"> </w:t>
      </w:r>
      <w:r w:rsidR="005A0D48">
        <w:t xml:space="preserve">the </w:t>
      </w:r>
      <w:r w:rsidR="00CB3942">
        <w:t>following approaches could be considered</w:t>
      </w:r>
      <w:r w:rsidR="005A0D48">
        <w:t>:</w:t>
      </w:r>
    </w:p>
    <w:p w14:paraId="5388E6A5" w14:textId="77777777" w:rsidR="005A0D48" w:rsidRDefault="005A0D48" w:rsidP="00D81B73">
      <w:pPr>
        <w:pStyle w:val="Deptbulletlist2"/>
        <w:numPr>
          <w:ilvl w:val="0"/>
          <w:numId w:val="36"/>
        </w:numPr>
      </w:pPr>
      <w:r>
        <w:t xml:space="preserve">requiring </w:t>
      </w:r>
      <w:r w:rsidR="00A0065A">
        <w:t xml:space="preserve">public sector agencies </w:t>
      </w:r>
      <w:r>
        <w:t>that hold spectrum to regularly</w:t>
      </w:r>
      <w:r w:rsidR="00A0065A">
        <w:t xml:space="preserve"> report the value of their holdings</w:t>
      </w:r>
    </w:p>
    <w:p w14:paraId="460531D1" w14:textId="77777777" w:rsidR="00C96569" w:rsidRDefault="005A0D48" w:rsidP="00D81B73">
      <w:pPr>
        <w:pStyle w:val="Deptbulletlist2"/>
        <w:numPr>
          <w:ilvl w:val="0"/>
          <w:numId w:val="36"/>
        </w:numPr>
        <w:ind w:left="851" w:hanging="284"/>
      </w:pPr>
      <w:r>
        <w:t>permitting</w:t>
      </w:r>
      <w:r w:rsidR="00A0065A">
        <w:t xml:space="preserve"> agencies </w:t>
      </w:r>
      <w:r w:rsidR="00C96569">
        <w:t>to either lease or sell the spec</w:t>
      </w:r>
      <w:r w:rsidR="00CB3942">
        <w:t>trum and retain the benefit of doing so</w:t>
      </w:r>
      <w:r w:rsidR="0056448D">
        <w:t>.</w:t>
      </w:r>
    </w:p>
    <w:p w14:paraId="5054EBA7" w14:textId="77777777" w:rsidR="00A0065A" w:rsidRDefault="00C96569" w:rsidP="005A39FF">
      <w:pPr>
        <w:pStyle w:val="DeptBodytext"/>
        <w:spacing w:after="120"/>
        <w:ind w:left="425" w:hanging="425"/>
      </w:pPr>
      <w:r>
        <w:t xml:space="preserve">3. </w:t>
      </w:r>
      <w:r w:rsidR="00347701">
        <w:tab/>
      </w:r>
      <w:r w:rsidR="00336EAD" w:rsidRPr="005A39FF">
        <w:t xml:space="preserve">That the Department </w:t>
      </w:r>
      <w:r w:rsidR="005C6C20" w:rsidRPr="005A39FF">
        <w:t xml:space="preserve">review the arrangements for pricing of spectrum (including exemptions, concessions, administrative charges and taxes) so that these are consistent, transparent and support efficient use in secondary markets. </w:t>
      </w:r>
    </w:p>
    <w:p w14:paraId="64E13F81" w14:textId="77777777" w:rsidR="00B27CEE" w:rsidRPr="005C6C20" w:rsidRDefault="00B27CEE" w:rsidP="000D57E8">
      <w:pPr>
        <w:pStyle w:val="Deptbulletlist2"/>
        <w:numPr>
          <w:ilvl w:val="0"/>
          <w:numId w:val="18"/>
        </w:numPr>
        <w:ind w:left="851" w:hanging="284"/>
      </w:pPr>
      <w:r w:rsidRPr="005C6C20">
        <w:lastRenderedPageBreak/>
        <w:t xml:space="preserve">This review </w:t>
      </w:r>
      <w:r w:rsidR="005C6C20" w:rsidRPr="005C6C20">
        <w:t xml:space="preserve">will </w:t>
      </w:r>
      <w:r w:rsidR="00E31C0F" w:rsidRPr="005C6C20">
        <w:t xml:space="preserve">take into account </w:t>
      </w:r>
      <w:r w:rsidR="005C6C20" w:rsidRPr="005C6C20">
        <w:t xml:space="preserve">any relevant </w:t>
      </w:r>
      <w:r w:rsidR="00646345" w:rsidRPr="005C6C20">
        <w:t>outcomes of the</w:t>
      </w:r>
      <w:r w:rsidR="00E31C0F" w:rsidRPr="005C6C20">
        <w:t xml:space="preserve"> </w:t>
      </w:r>
      <w:r w:rsidR="00E930B0" w:rsidRPr="009D323F">
        <w:t>Review of Australian Government Charging</w:t>
      </w:r>
      <w:r w:rsidRPr="009D323F">
        <w:t>.</w:t>
      </w:r>
    </w:p>
    <w:bookmarkEnd w:id="21"/>
    <w:p w14:paraId="304E2FE6" w14:textId="77777777" w:rsidR="00D66FAA" w:rsidRDefault="002C3642" w:rsidP="00B03653">
      <w:pPr>
        <w:pStyle w:val="DeptHeading2"/>
        <w:numPr>
          <w:ilvl w:val="0"/>
          <w:numId w:val="8"/>
        </w:numPr>
      </w:pPr>
      <w:r>
        <w:br w:type="column"/>
      </w:r>
      <w:bookmarkStart w:id="22" w:name="_Toc413139543"/>
      <w:r w:rsidR="008B4A60">
        <w:lastRenderedPageBreak/>
        <w:t>Introduction</w:t>
      </w:r>
      <w:bookmarkEnd w:id="22"/>
    </w:p>
    <w:p w14:paraId="429063F2" w14:textId="77777777" w:rsidR="00D66FAA" w:rsidRPr="00D37A2B" w:rsidRDefault="00D66FAA" w:rsidP="00F8656F">
      <w:pPr>
        <w:pStyle w:val="DeptBodytext"/>
      </w:pPr>
      <w:r w:rsidRPr="00296714">
        <w:t xml:space="preserve">The objective of this review is to maximise the public benefit </w:t>
      </w:r>
      <w:r>
        <w:t xml:space="preserve">derived from spectrum. This </w:t>
      </w:r>
      <w:r w:rsidR="007A5368">
        <w:t>would</w:t>
      </w:r>
      <w:r>
        <w:t xml:space="preserve"> be achieved by i</w:t>
      </w:r>
      <w:r w:rsidR="007A5368">
        <w:t xml:space="preserve">mproving </w:t>
      </w:r>
      <w:r w:rsidR="00783CCF">
        <w:t xml:space="preserve">the </w:t>
      </w:r>
      <w:r>
        <w:t xml:space="preserve">spectrum management </w:t>
      </w:r>
      <w:r w:rsidR="00783CCF">
        <w:t>framework</w:t>
      </w:r>
      <w:r w:rsidR="000F0A3B">
        <w:t xml:space="preserve"> </w:t>
      </w:r>
      <w:r>
        <w:t>so</w:t>
      </w:r>
      <w:r w:rsidRPr="00296714">
        <w:t xml:space="preserve"> </w:t>
      </w:r>
      <w:r w:rsidR="00B817D2">
        <w:t xml:space="preserve">that new and existing users of spectrum benefit from more certain and </w:t>
      </w:r>
      <w:r w:rsidRPr="00296714">
        <w:t>e</w:t>
      </w:r>
      <w:r>
        <w:t xml:space="preserve">fficient allocation </w:t>
      </w:r>
      <w:r w:rsidR="007A2C6D">
        <w:t xml:space="preserve">and reallocation </w:t>
      </w:r>
      <w:r w:rsidR="00B817D2">
        <w:t>of spectrum and</w:t>
      </w:r>
      <w:r w:rsidRPr="00296714">
        <w:t xml:space="preserve"> </w:t>
      </w:r>
      <w:r w:rsidR="00B817D2">
        <w:t>have</w:t>
      </w:r>
      <w:r w:rsidR="00B817D2" w:rsidRPr="00296714">
        <w:t xml:space="preserve"> </w:t>
      </w:r>
      <w:r w:rsidRPr="00296714">
        <w:t xml:space="preserve">greater opportunities for technological and service innovation. </w:t>
      </w:r>
    </w:p>
    <w:p w14:paraId="38570924" w14:textId="77777777" w:rsidR="00D66FAA" w:rsidRDefault="00351CCE" w:rsidP="000D57E8">
      <w:pPr>
        <w:pStyle w:val="DeptHeading2"/>
        <w:numPr>
          <w:ilvl w:val="1"/>
          <w:numId w:val="8"/>
        </w:numPr>
        <w:ind w:left="284" w:hanging="284"/>
        <w:rPr>
          <w:sz w:val="28"/>
          <w:szCs w:val="24"/>
        </w:rPr>
      </w:pPr>
      <w:bookmarkStart w:id="23" w:name="_Toc413139544"/>
      <w:r>
        <w:rPr>
          <w:sz w:val="28"/>
          <w:szCs w:val="24"/>
        </w:rPr>
        <w:t xml:space="preserve">Increasing </w:t>
      </w:r>
      <w:r w:rsidR="00D66FAA">
        <w:rPr>
          <w:sz w:val="28"/>
          <w:szCs w:val="24"/>
        </w:rPr>
        <w:t xml:space="preserve">importance of </w:t>
      </w:r>
      <w:r w:rsidR="00D66FAA" w:rsidRPr="00825EFE">
        <w:rPr>
          <w:sz w:val="28"/>
          <w:szCs w:val="24"/>
        </w:rPr>
        <w:t>spe</w:t>
      </w:r>
      <w:r w:rsidR="00D66FAA">
        <w:rPr>
          <w:sz w:val="28"/>
          <w:szCs w:val="24"/>
        </w:rPr>
        <w:t>ctrum</w:t>
      </w:r>
      <w:bookmarkEnd w:id="23"/>
    </w:p>
    <w:p w14:paraId="7E0675D4" w14:textId="77777777" w:rsidR="00D66FAA" w:rsidRDefault="00D66FAA" w:rsidP="00F8656F">
      <w:pPr>
        <w:pStyle w:val="DeptBodytext"/>
      </w:pPr>
      <w:r w:rsidRPr="00D37A2B">
        <w:t>Spectrum is a critical input to a networked and digital economy and society. It supports a wide range of services that we all use and benefit from every day, and that promote economic growth and enhance social wellbeing. Its role as an economic driver</w:t>
      </w:r>
      <w:r w:rsidR="00F43EBF" w:rsidRPr="00D37A2B">
        <w:t>,</w:t>
      </w:r>
      <w:r w:rsidRPr="00D37A2B">
        <w:t xml:space="preserve"> and the value it returns to society</w:t>
      </w:r>
      <w:r w:rsidR="00F43EBF" w:rsidRPr="00D37A2B">
        <w:t>,</w:t>
      </w:r>
      <w:r w:rsidRPr="00D37A2B">
        <w:t xml:space="preserve"> is increasing. A broad projection of the economic value of spectrum in Australia</w:t>
      </w:r>
      <w:r w:rsidR="00DB5DA1">
        <w:t>,</w:t>
      </w:r>
      <w:r w:rsidRPr="00D37A2B">
        <w:t xml:space="preserve"> </w:t>
      </w:r>
      <w:r w:rsidR="00DB5DA1">
        <w:t xml:space="preserve">undertaken by the </w:t>
      </w:r>
      <w:r w:rsidR="002C0267">
        <w:t>CIE</w:t>
      </w:r>
      <w:r w:rsidR="00DB5DA1">
        <w:t xml:space="preserve"> on behalf of the Department, </w:t>
      </w:r>
      <w:r w:rsidRPr="00D37A2B">
        <w:t>suggests national benefits could be as high as $177 billion over a 15 year period, depending on the factors included.</w:t>
      </w:r>
      <w:r w:rsidRPr="00D37A2B">
        <w:rPr>
          <w:vertAlign w:val="superscript"/>
        </w:rPr>
        <w:footnoteReference w:id="3"/>
      </w:r>
      <w:r w:rsidRPr="00D37A2B">
        <w:t xml:space="preserve"> </w:t>
      </w:r>
    </w:p>
    <w:p w14:paraId="58E3385B" w14:textId="77777777" w:rsidR="00D66FAA" w:rsidRPr="00D37A2B" w:rsidRDefault="00D66FAA" w:rsidP="00F8656F">
      <w:pPr>
        <w:pStyle w:val="DeptBodytext"/>
      </w:pPr>
      <w:r w:rsidRPr="00D37A2B">
        <w:t>Wireless services support more efficient processes and delivery of existing services, enabling improvements in productivity. The ACMA has estimated that mobile broadband increased Australia’s economic growth rate by 0.28 per cent each year from 2007-2013. This equates to an economic contribution of $33.8 billion by mobile broadband alone over this period, primarily through productivity improvements.</w:t>
      </w:r>
      <w:r w:rsidRPr="00D37A2B">
        <w:rPr>
          <w:vertAlign w:val="superscript"/>
        </w:rPr>
        <w:footnoteReference w:id="4"/>
      </w:r>
      <w:r w:rsidRPr="00D37A2B">
        <w:t xml:space="preserve"> </w:t>
      </w:r>
    </w:p>
    <w:p w14:paraId="1FF5DC18" w14:textId="77777777" w:rsidR="00D66FAA" w:rsidRPr="00D37A2B" w:rsidRDefault="00D66FAA" w:rsidP="00F8656F">
      <w:pPr>
        <w:pStyle w:val="DeptBodytext"/>
      </w:pPr>
      <w:r w:rsidRPr="00D37A2B">
        <w:t>In 2014, an Australian Radio Communications Industry Association commissioned study showed that the spectrum used for land mobile radio (also known as two-way radio) generates economic benefits of between $1.99 billion and $3.72 billion per annum. Land mobile radio plays a central role in the delivery of services such as mining, transport, utilities and public safety services such as police, fire and ambulance.</w:t>
      </w:r>
    </w:p>
    <w:p w14:paraId="360940D0" w14:textId="77777777" w:rsidR="00D66FAA" w:rsidRPr="00D37A2B" w:rsidRDefault="00D66FAA" w:rsidP="00F8656F">
      <w:pPr>
        <w:pStyle w:val="DeptBodytext"/>
      </w:pPr>
      <w:r w:rsidRPr="00D37A2B">
        <w:t xml:space="preserve">The contribution of other spectrum-using sectors to economic growth and productivity is also substantial. A </w:t>
      </w:r>
      <w:r w:rsidR="005A0D48">
        <w:t xml:space="preserve">recent </w:t>
      </w:r>
      <w:r w:rsidRPr="00D37A2B">
        <w:t xml:space="preserve">US study </w:t>
      </w:r>
      <w:r w:rsidR="005A0D48">
        <w:t>of</w:t>
      </w:r>
      <w:r w:rsidRPr="00D37A2B">
        <w:t xml:space="preserve"> the value of </w:t>
      </w:r>
      <w:r w:rsidR="005A0D48">
        <w:t>commons</w:t>
      </w:r>
      <w:r w:rsidRPr="00D37A2B">
        <w:t xml:space="preserve"> spectrum found that the application of radiofrequency identification technologies in areas such as retailing and healthcare </w:t>
      </w:r>
      <w:r w:rsidR="005A0D48">
        <w:t xml:space="preserve">alone </w:t>
      </w:r>
      <w:r w:rsidRPr="00D37A2B">
        <w:t>provided an estimated ec</w:t>
      </w:r>
      <w:r w:rsidR="005A0D48">
        <w:t>onomic value of US$130 billion</w:t>
      </w:r>
      <w:r w:rsidRPr="00D37A2B">
        <w:t>.</w:t>
      </w:r>
      <w:r w:rsidRPr="00D37A2B">
        <w:rPr>
          <w:vertAlign w:val="superscript"/>
        </w:rPr>
        <w:footnoteReference w:id="5"/>
      </w:r>
      <w:r w:rsidRPr="00D37A2B">
        <w:t xml:space="preserve"> </w:t>
      </w:r>
    </w:p>
    <w:p w14:paraId="1C0838F7" w14:textId="77777777" w:rsidR="00D66FAA" w:rsidRPr="00D37A2B" w:rsidRDefault="00D66FAA" w:rsidP="00F8656F">
      <w:pPr>
        <w:pStyle w:val="DeptBodytext"/>
      </w:pPr>
      <w:r w:rsidRPr="00D37A2B">
        <w:t xml:space="preserve">The impact of these benefits are substantial. Equally, the potential costs of spectrum not </w:t>
      </w:r>
      <w:r w:rsidR="00B817D2">
        <w:t>being fully and efficiently utilised</w:t>
      </w:r>
      <w:r w:rsidRPr="00D37A2B">
        <w:t xml:space="preserve"> are significant. </w:t>
      </w:r>
    </w:p>
    <w:p w14:paraId="027E2790" w14:textId="77777777" w:rsidR="00D66FAA" w:rsidRDefault="00351CCE" w:rsidP="000D57E8">
      <w:pPr>
        <w:pStyle w:val="DeptHeading2"/>
        <w:numPr>
          <w:ilvl w:val="1"/>
          <w:numId w:val="8"/>
        </w:numPr>
        <w:ind w:left="284" w:hanging="284"/>
        <w:rPr>
          <w:sz w:val="28"/>
          <w:szCs w:val="24"/>
        </w:rPr>
      </w:pPr>
      <w:bookmarkStart w:id="24" w:name="_Toc413139545"/>
      <w:r>
        <w:rPr>
          <w:sz w:val="28"/>
          <w:szCs w:val="24"/>
        </w:rPr>
        <w:t>C</w:t>
      </w:r>
      <w:r w:rsidR="00D66FAA">
        <w:rPr>
          <w:sz w:val="28"/>
          <w:szCs w:val="24"/>
        </w:rPr>
        <w:t>urrent spectrum management framework</w:t>
      </w:r>
      <w:bookmarkEnd w:id="24"/>
    </w:p>
    <w:p w14:paraId="3CC06BE5" w14:textId="77777777" w:rsidR="00D66FAA" w:rsidRPr="00D37A2B" w:rsidRDefault="00D66FAA" w:rsidP="00F8656F">
      <w:pPr>
        <w:pStyle w:val="DeptBodytext"/>
      </w:pPr>
      <w:r w:rsidRPr="00D37A2B">
        <w:t xml:space="preserve">The spectrum management framework is set out in the </w:t>
      </w:r>
      <w:r w:rsidRPr="00D37A2B">
        <w:rPr>
          <w:i/>
        </w:rPr>
        <w:t xml:space="preserve">Radiocommunications Act 1992 </w:t>
      </w:r>
      <w:r w:rsidRPr="00D37A2B">
        <w:t xml:space="preserve">(the Radiocommunications Act), related legislation and subordinate regulation. </w:t>
      </w:r>
    </w:p>
    <w:p w14:paraId="3CF80CF5" w14:textId="77777777" w:rsidR="00D66FAA" w:rsidRPr="00D37A2B" w:rsidRDefault="00D66FAA" w:rsidP="00F8656F">
      <w:pPr>
        <w:pStyle w:val="DeptBodytext"/>
      </w:pPr>
      <w:r w:rsidRPr="00D37A2B">
        <w:lastRenderedPageBreak/>
        <w:t xml:space="preserve">The </w:t>
      </w:r>
      <w:r w:rsidR="00F60E1B" w:rsidRPr="00D37A2B">
        <w:t xml:space="preserve">existing legislative </w:t>
      </w:r>
      <w:r w:rsidR="00783CCF" w:rsidRPr="00D37A2B">
        <w:t>framework</w:t>
      </w:r>
      <w:r w:rsidR="002200B2">
        <w:t>,</w:t>
      </w:r>
      <w:r w:rsidR="00B817D2">
        <w:t xml:space="preserve"> summarised at</w:t>
      </w:r>
      <w:r w:rsidR="00B817D2" w:rsidRPr="004762A7">
        <w:t xml:space="preserve"> </w:t>
      </w:r>
      <w:r w:rsidR="00B817D2" w:rsidRPr="004762A7">
        <w:rPr>
          <w:b/>
        </w:rPr>
        <w:t>Attachment B</w:t>
      </w:r>
      <w:r w:rsidR="002200B2" w:rsidRPr="004762A7">
        <w:t>,</w:t>
      </w:r>
      <w:r w:rsidR="00783CCF" w:rsidRPr="00D37A2B">
        <w:t xml:space="preserve"> </w:t>
      </w:r>
      <w:r w:rsidR="0046408B">
        <w:t>is</w:t>
      </w:r>
      <w:r w:rsidR="002200B2">
        <w:t xml:space="preserve"> over 20 years old</w:t>
      </w:r>
      <w:r w:rsidRPr="00D37A2B">
        <w:t xml:space="preserve">. </w:t>
      </w:r>
      <w:r w:rsidR="00B817D2">
        <w:t>When introduced</w:t>
      </w:r>
      <w:r w:rsidR="00EC70BF">
        <w:t>,</w:t>
      </w:r>
      <w:r w:rsidR="00B817D2">
        <w:t xml:space="preserve"> t</w:t>
      </w:r>
      <w:r w:rsidR="00F60E1B" w:rsidRPr="00D37A2B">
        <w:t xml:space="preserve">he </w:t>
      </w:r>
      <w:r w:rsidR="00783CCF" w:rsidRPr="00D37A2B">
        <w:t xml:space="preserve">framework </w:t>
      </w:r>
      <w:r w:rsidR="002200B2">
        <w:t>wa</w:t>
      </w:r>
      <w:r w:rsidR="00783CCF" w:rsidRPr="00D37A2B">
        <w:t>s</w:t>
      </w:r>
      <w:r w:rsidRPr="00D37A2B">
        <w:t xml:space="preserve"> progressive by international standards in its use of market mechanisms and </w:t>
      </w:r>
      <w:r w:rsidR="00783CCF" w:rsidRPr="00D37A2B">
        <w:t xml:space="preserve">its </w:t>
      </w:r>
      <w:r w:rsidRPr="00D37A2B">
        <w:t xml:space="preserve">mixed approach to spectrum management (use of market, administrative, commons approaches). The licensing system has accommodated a range of new technologies and services, and arrangements have </w:t>
      </w:r>
      <w:r w:rsidR="002200B2">
        <w:t>allowed</w:t>
      </w:r>
      <w:r w:rsidR="002200B2" w:rsidRPr="00D37A2B">
        <w:t xml:space="preserve"> </w:t>
      </w:r>
      <w:r w:rsidRPr="00D37A2B">
        <w:t xml:space="preserve">spectrum </w:t>
      </w:r>
      <w:r w:rsidR="002200B2">
        <w:t>to be</w:t>
      </w:r>
      <w:r w:rsidR="002200B2" w:rsidRPr="00D37A2B">
        <w:t xml:space="preserve"> </w:t>
      </w:r>
      <w:r w:rsidRPr="00D37A2B">
        <w:t>allocated and reallocated to new uses</w:t>
      </w:r>
      <w:r w:rsidR="002200B2">
        <w:t>.</w:t>
      </w:r>
    </w:p>
    <w:p w14:paraId="1315D88A" w14:textId="77777777" w:rsidR="00D66FAA" w:rsidRPr="00D37A2B" w:rsidRDefault="002200B2" w:rsidP="00F8656F">
      <w:pPr>
        <w:pStyle w:val="DeptBodytext"/>
      </w:pPr>
      <w:r>
        <w:t>T</w:t>
      </w:r>
      <w:r w:rsidR="00D66FAA" w:rsidRPr="00D37A2B">
        <w:t xml:space="preserve">here are a number of areas where the </w:t>
      </w:r>
      <w:r>
        <w:t xml:space="preserve">current </w:t>
      </w:r>
      <w:r w:rsidR="007A5368" w:rsidRPr="00D37A2B">
        <w:t>arrangements</w:t>
      </w:r>
      <w:r w:rsidR="00D66FAA" w:rsidRPr="00D37A2B">
        <w:t xml:space="preserve"> could be significantly improved</w:t>
      </w:r>
      <w:r>
        <w:t xml:space="preserve"> to the benefit of existing and new users of spectrum</w:t>
      </w:r>
      <w:r w:rsidR="00D66FAA" w:rsidRPr="00D37A2B">
        <w:t>. Feedback from stakeholders, supported by the Department’s assessment, has identified that:</w:t>
      </w:r>
    </w:p>
    <w:p w14:paraId="4820EF30" w14:textId="77777777" w:rsidR="00877480" w:rsidRDefault="0046408B" w:rsidP="00877480">
      <w:pPr>
        <w:pStyle w:val="Deptbulletlist1"/>
        <w:numPr>
          <w:ilvl w:val="0"/>
          <w:numId w:val="3"/>
        </w:numPr>
        <w:ind w:left="357" w:hanging="357"/>
      </w:pPr>
      <w:r>
        <w:t>l</w:t>
      </w:r>
      <w:r w:rsidR="00D66FAA" w:rsidRPr="00064CD9">
        <w:t xml:space="preserve">icensing of spectrum is too complex and rigid to </w:t>
      </w:r>
      <w:r w:rsidR="00D66FAA">
        <w:t xml:space="preserve">efficiently </w:t>
      </w:r>
      <w:r w:rsidR="00D66FAA" w:rsidRPr="00064CD9">
        <w:t>accommodate</w:t>
      </w:r>
      <w:r w:rsidR="00D66FAA">
        <w:t xml:space="preserve"> new technologies and</w:t>
      </w:r>
      <w:r w:rsidR="00D66FAA" w:rsidRPr="00064CD9">
        <w:t xml:space="preserve"> stakeholders</w:t>
      </w:r>
      <w:r w:rsidR="00D66FAA">
        <w:t>’</w:t>
      </w:r>
      <w:r w:rsidR="00D66FAA" w:rsidRPr="00064CD9">
        <w:t xml:space="preserve"> evolving and increasing </w:t>
      </w:r>
      <w:r w:rsidR="00D66FAA">
        <w:t xml:space="preserve">spectrum </w:t>
      </w:r>
      <w:r w:rsidR="00D66FAA" w:rsidRPr="00064CD9">
        <w:t>needs</w:t>
      </w:r>
      <w:r w:rsidR="00877480">
        <w:t xml:space="preserve"> </w:t>
      </w:r>
    </w:p>
    <w:p w14:paraId="3284E219" w14:textId="77777777" w:rsidR="00D66FAA" w:rsidRPr="00064CD9" w:rsidRDefault="0046408B" w:rsidP="007D463F">
      <w:pPr>
        <w:pStyle w:val="Deptbulletlist1"/>
        <w:numPr>
          <w:ilvl w:val="0"/>
          <w:numId w:val="3"/>
        </w:numPr>
        <w:ind w:left="357" w:hanging="357"/>
      </w:pPr>
      <w:r>
        <w:t>a</w:t>
      </w:r>
      <w:r w:rsidR="00D66FAA" w:rsidRPr="00064CD9">
        <w:t xml:space="preserve">llocation </w:t>
      </w:r>
      <w:r w:rsidR="007A2C6D">
        <w:t xml:space="preserve">and reallocation </w:t>
      </w:r>
      <w:r w:rsidR="00D66FAA" w:rsidRPr="00064CD9">
        <w:t xml:space="preserve">of spectrum </w:t>
      </w:r>
      <w:r w:rsidR="00D66FAA">
        <w:t xml:space="preserve">takes too long and decisions lack transparency and consistency especially when weighing up commercial </w:t>
      </w:r>
      <w:r w:rsidR="00D66FAA" w:rsidRPr="00480474">
        <w:t>and</w:t>
      </w:r>
      <w:r w:rsidR="00D66FAA" w:rsidRPr="00064CD9">
        <w:t xml:space="preserve"> </w:t>
      </w:r>
      <w:r w:rsidR="00D66FAA">
        <w:t>non-</w:t>
      </w:r>
      <w:r w:rsidR="00D66FAA" w:rsidRPr="00877480">
        <w:t>commercial uses</w:t>
      </w:r>
      <w:r w:rsidR="00877480" w:rsidRPr="00877480">
        <w:t xml:space="preserve"> </w:t>
      </w:r>
      <w:r w:rsidR="007D463F">
        <w:t xml:space="preserve">– for example reallocating the digital dividend (694-820MHz) took approximately three years with 16 legislative instruments being issued by the Minister or the ACMA </w:t>
      </w:r>
    </w:p>
    <w:p w14:paraId="2EE2B4DF" w14:textId="77777777" w:rsidR="00D66FAA" w:rsidRPr="0042097C" w:rsidRDefault="0046408B" w:rsidP="00D66FAA">
      <w:pPr>
        <w:pStyle w:val="Deptbulletlist1"/>
        <w:numPr>
          <w:ilvl w:val="0"/>
          <w:numId w:val="3"/>
        </w:numPr>
        <w:ind w:left="357" w:hanging="357"/>
      </w:pPr>
      <w:r>
        <w:t>t</w:t>
      </w:r>
      <w:r w:rsidR="00D66FAA" w:rsidRPr="00064CD9">
        <w:t xml:space="preserve">here is too much uncertainty around spectrum access and renewal, impacting on </w:t>
      </w:r>
      <w:r w:rsidR="00D66FAA" w:rsidRPr="0042097C">
        <w:t>invest</w:t>
      </w:r>
      <w:r w:rsidR="00D66FAA" w:rsidRPr="00436797">
        <w:t>or and user confidence</w:t>
      </w:r>
      <w:r w:rsidR="0042097C" w:rsidRPr="00436797">
        <w:t>. F</w:t>
      </w:r>
      <w:r w:rsidR="007D463F" w:rsidRPr="009D323F">
        <w:t>or example it took nearly two years</w:t>
      </w:r>
      <w:r w:rsidR="00F8656F" w:rsidRPr="009D323F">
        <w:t xml:space="preserve"> for government to assess</w:t>
      </w:r>
      <w:r w:rsidR="007D463F" w:rsidRPr="009D323F">
        <w:t xml:space="preserve"> that reissuing the 15 year spectrum licences would be in the public interest</w:t>
      </w:r>
      <w:r w:rsidR="0042097C" w:rsidRPr="009D323F">
        <w:t>. F</w:t>
      </w:r>
      <w:r w:rsidR="00F8656F" w:rsidRPr="009D323F">
        <w:t xml:space="preserve">ollowing this decision the </w:t>
      </w:r>
      <w:r w:rsidR="007D463F" w:rsidRPr="009D323F">
        <w:t xml:space="preserve">ACMA then had to assess whether the licences had been used </w:t>
      </w:r>
      <w:r w:rsidR="00436797">
        <w:t xml:space="preserve">over the licence period </w:t>
      </w:r>
      <w:r w:rsidR="007D463F" w:rsidRPr="009D323F">
        <w:t>before they could reissue</w:t>
      </w:r>
      <w:r w:rsidR="0042097C" w:rsidRPr="009D323F">
        <w:t xml:space="preserve"> the licences</w:t>
      </w:r>
    </w:p>
    <w:p w14:paraId="4A41960B" w14:textId="77777777" w:rsidR="00D66FAA" w:rsidRPr="00064CD9" w:rsidRDefault="0046408B" w:rsidP="00D66FAA">
      <w:pPr>
        <w:pStyle w:val="Deptbulletlist1"/>
        <w:numPr>
          <w:ilvl w:val="0"/>
          <w:numId w:val="3"/>
        </w:numPr>
        <w:ind w:left="357" w:hanging="357"/>
      </w:pPr>
      <w:r>
        <w:t>s</w:t>
      </w:r>
      <w:r w:rsidR="00D66FAA" w:rsidRPr="00064CD9">
        <w:t xml:space="preserve">takeholders </w:t>
      </w:r>
      <w:r w:rsidR="00F60E1B">
        <w:t>are not clear on</w:t>
      </w:r>
      <w:r w:rsidR="00D66FAA" w:rsidRPr="00064CD9">
        <w:t xml:space="preserve"> the different </w:t>
      </w:r>
      <w:r w:rsidR="00D66FAA">
        <w:t xml:space="preserve">(and appropriate) </w:t>
      </w:r>
      <w:r w:rsidR="00D66FAA" w:rsidRPr="00064CD9">
        <w:t xml:space="preserve">responsibilities </w:t>
      </w:r>
      <w:r w:rsidR="00D66FAA">
        <w:t>of</w:t>
      </w:r>
      <w:r w:rsidR="00D66FAA" w:rsidRPr="00064CD9">
        <w:t xml:space="preserve"> the Minister, the </w:t>
      </w:r>
      <w:r w:rsidR="00D66FAA">
        <w:t>Department</w:t>
      </w:r>
      <w:r w:rsidR="00D66FAA" w:rsidRPr="00064CD9">
        <w:t xml:space="preserve"> and the </w:t>
      </w:r>
      <w:r w:rsidR="00D66FAA">
        <w:t>ACMA</w:t>
      </w:r>
    </w:p>
    <w:p w14:paraId="51260554" w14:textId="77777777" w:rsidR="00D66FAA" w:rsidRPr="00D860BE" w:rsidRDefault="0046408B" w:rsidP="00D66FAA">
      <w:pPr>
        <w:pStyle w:val="Deptbulletlist1"/>
        <w:numPr>
          <w:ilvl w:val="0"/>
          <w:numId w:val="3"/>
        </w:numPr>
        <w:ind w:left="357" w:hanging="357"/>
      </w:pPr>
      <w:r>
        <w:t>p</w:t>
      </w:r>
      <w:r w:rsidR="00D66FAA" w:rsidRPr="00D860BE">
        <w:t>ricing of spectrum d</w:t>
      </w:r>
      <w:r w:rsidR="00D66FAA">
        <w:t xml:space="preserve">oes not always reflect its </w:t>
      </w:r>
      <w:r w:rsidR="00D66FAA" w:rsidRPr="00D860BE">
        <w:t>value, c</w:t>
      </w:r>
      <w:r w:rsidR="00D66FAA">
        <w:t>hange</w:t>
      </w:r>
      <w:r w:rsidR="00D66FAA" w:rsidRPr="00D860BE">
        <w:t xml:space="preserve">s </w:t>
      </w:r>
      <w:r w:rsidR="00D66FAA">
        <w:t xml:space="preserve">in value </w:t>
      </w:r>
      <w:r w:rsidR="00D66FAA" w:rsidRPr="00D860BE">
        <w:t xml:space="preserve">over time or the benefit spectrum provides to society; and </w:t>
      </w:r>
      <w:r w:rsidR="00D66FAA">
        <w:t>the rationale for pricing discounts</w:t>
      </w:r>
      <w:r w:rsidR="00D66FAA" w:rsidRPr="00D860BE">
        <w:t xml:space="preserve"> </w:t>
      </w:r>
      <w:r w:rsidR="00D66FAA">
        <w:t>lack clarity</w:t>
      </w:r>
    </w:p>
    <w:p w14:paraId="3AA73F7B" w14:textId="77777777" w:rsidR="00D66FAA" w:rsidRPr="00064CD9" w:rsidRDefault="0046408B" w:rsidP="00D66FAA">
      <w:pPr>
        <w:pStyle w:val="Deptbulletlist1"/>
        <w:numPr>
          <w:ilvl w:val="0"/>
          <w:numId w:val="3"/>
        </w:numPr>
        <w:ind w:left="357" w:hanging="357"/>
      </w:pPr>
      <w:r>
        <w:t>m</w:t>
      </w:r>
      <w:r w:rsidR="00D66FAA">
        <w:t xml:space="preserve">arket-based activity – specifically </w:t>
      </w:r>
      <w:r w:rsidR="00D66FAA" w:rsidRPr="00064CD9">
        <w:t xml:space="preserve">trading or leasing spectrum </w:t>
      </w:r>
      <w:r w:rsidR="00D66FAA">
        <w:t>– while available, is not being made use of extensively</w:t>
      </w:r>
    </w:p>
    <w:p w14:paraId="3D3B34F7" w14:textId="77777777" w:rsidR="00D66FAA" w:rsidRDefault="0046408B" w:rsidP="00D66FAA">
      <w:pPr>
        <w:pStyle w:val="Deptbulletlist1"/>
        <w:numPr>
          <w:ilvl w:val="0"/>
          <w:numId w:val="3"/>
        </w:numPr>
        <w:ind w:left="357" w:hanging="357"/>
      </w:pPr>
      <w:r>
        <w:t>t</w:t>
      </w:r>
      <w:r w:rsidR="00D66FAA" w:rsidRPr="00064CD9">
        <w:t>echnical regulation</w:t>
      </w:r>
      <w:r w:rsidR="00D66FAA">
        <w:t xml:space="preserve"> is </w:t>
      </w:r>
      <w:r w:rsidR="00E84219">
        <w:t>to</w:t>
      </w:r>
      <w:r w:rsidR="00A41787">
        <w:t>o</w:t>
      </w:r>
      <w:r w:rsidR="00E84219">
        <w:t xml:space="preserve"> detailed</w:t>
      </w:r>
      <w:r w:rsidR="00D66FAA">
        <w:t xml:space="preserve"> and administratively burdensome</w:t>
      </w:r>
    </w:p>
    <w:p w14:paraId="236BB50F" w14:textId="77777777" w:rsidR="00D66FAA" w:rsidRDefault="0046408B" w:rsidP="00D66FAA">
      <w:pPr>
        <w:pStyle w:val="Deptbulletlist1"/>
        <w:numPr>
          <w:ilvl w:val="0"/>
          <w:numId w:val="3"/>
        </w:numPr>
        <w:ind w:left="357" w:hanging="357"/>
      </w:pPr>
      <w:r>
        <w:t>c</w:t>
      </w:r>
      <w:r w:rsidR="00D66FAA" w:rsidRPr="00064CD9">
        <w:t xml:space="preserve">ompliance and enforcement </w:t>
      </w:r>
      <w:r w:rsidR="00F60E1B">
        <w:t>arrangements do</w:t>
      </w:r>
      <w:r w:rsidR="00D66FAA">
        <w:t xml:space="preserve"> not provide users and the regulator with the right set of tools.</w:t>
      </w:r>
    </w:p>
    <w:p w14:paraId="760DC54E" w14:textId="77777777" w:rsidR="00D66FAA" w:rsidRPr="00D37A2B" w:rsidRDefault="00D66FAA" w:rsidP="00F8656F">
      <w:pPr>
        <w:pStyle w:val="DeptBodytext"/>
      </w:pPr>
      <w:r w:rsidRPr="00D37A2B">
        <w:t xml:space="preserve">Much of the administrative complexity is the result of checks and balances included in the </w:t>
      </w:r>
      <w:r w:rsidR="007A5368" w:rsidRPr="00D37A2B">
        <w:t>framework</w:t>
      </w:r>
      <w:r w:rsidRPr="00D37A2B">
        <w:t xml:space="preserve"> when it was first established, which can be significantly streamlined. Other impediments </w:t>
      </w:r>
      <w:r w:rsidR="00CB3942">
        <w:t>arise</w:t>
      </w:r>
      <w:r w:rsidRPr="00D37A2B">
        <w:t xml:space="preserve"> because technology has </w:t>
      </w:r>
      <w:r w:rsidR="00763992">
        <w:t xml:space="preserve">substantially </w:t>
      </w:r>
      <w:r w:rsidRPr="00D37A2B">
        <w:t xml:space="preserve">changed </w:t>
      </w:r>
      <w:r w:rsidR="00763992">
        <w:t xml:space="preserve">and as a consequence spectrum can be put to far greater use and deliver a wider variety of services than what was contemplated </w:t>
      </w:r>
      <w:r w:rsidR="00CB3942">
        <w:t xml:space="preserve">when the framework was </w:t>
      </w:r>
      <w:r w:rsidR="00BE791E">
        <w:t>develop</w:t>
      </w:r>
      <w:r w:rsidR="00723CAE">
        <w:t>ed</w:t>
      </w:r>
      <w:r w:rsidR="00CB3942">
        <w:t xml:space="preserve"> </w:t>
      </w:r>
      <w:r w:rsidR="00763992">
        <w:t>in 1992</w:t>
      </w:r>
      <w:r w:rsidRPr="00D37A2B">
        <w:t xml:space="preserve">. </w:t>
      </w:r>
    </w:p>
    <w:p w14:paraId="09573EC5" w14:textId="77777777" w:rsidR="00D66FAA" w:rsidRDefault="00D66FAA" w:rsidP="00D66FAA">
      <w:pPr>
        <w:pStyle w:val="DeptHeading2"/>
        <w:rPr>
          <w:rFonts w:eastAsia="MS Gothic"/>
          <w:b/>
          <w:i/>
          <w:iCs/>
          <w:color w:val="4F81BD"/>
          <w:sz w:val="24"/>
          <w:szCs w:val="24"/>
        </w:rPr>
      </w:pPr>
      <w:bookmarkStart w:id="25" w:name="_Toc412214215"/>
      <w:bookmarkStart w:id="26" w:name="_Toc412814203"/>
      <w:bookmarkStart w:id="27" w:name="_Toc412814536"/>
      <w:bookmarkStart w:id="28" w:name="_Toc413136118"/>
      <w:bookmarkStart w:id="29" w:name="_Toc413139546"/>
      <w:r w:rsidRPr="00480474">
        <w:rPr>
          <w:rFonts w:eastAsia="MS Gothic"/>
          <w:b/>
          <w:i/>
          <w:iCs/>
          <w:color w:val="4F81BD"/>
          <w:sz w:val="24"/>
          <w:szCs w:val="24"/>
        </w:rPr>
        <w:t xml:space="preserve">The challenge of </w:t>
      </w:r>
      <w:r>
        <w:rPr>
          <w:rFonts w:eastAsia="MS Gothic"/>
          <w:b/>
          <w:i/>
          <w:iCs/>
          <w:color w:val="4F81BD"/>
          <w:sz w:val="24"/>
          <w:szCs w:val="24"/>
        </w:rPr>
        <w:t>increasing demand for spectrum</w:t>
      </w:r>
      <w:bookmarkEnd w:id="25"/>
      <w:bookmarkEnd w:id="26"/>
      <w:bookmarkEnd w:id="27"/>
      <w:bookmarkEnd w:id="28"/>
      <w:bookmarkEnd w:id="29"/>
    </w:p>
    <w:p w14:paraId="730FC1BD" w14:textId="77777777" w:rsidR="00763992" w:rsidRDefault="00763992" w:rsidP="00F8656F">
      <w:pPr>
        <w:pStyle w:val="DeptBodytext"/>
      </w:pPr>
      <w:r>
        <w:t>As communications service provider</w:t>
      </w:r>
      <w:r w:rsidR="00307332">
        <w:t>s</w:t>
      </w:r>
      <w:r>
        <w:t xml:space="preserve"> and other sectors of the economy integrate</w:t>
      </w:r>
      <w:r w:rsidR="00307332">
        <w:t xml:space="preserve"> and better exploit digital technologies in to their </w:t>
      </w:r>
      <w:r>
        <w:t>operations the</w:t>
      </w:r>
      <w:r w:rsidR="00307332">
        <w:t xml:space="preserve"> </w:t>
      </w:r>
      <w:r>
        <w:t>value of spectrum</w:t>
      </w:r>
      <w:r w:rsidR="00307332">
        <w:t xml:space="preserve"> and its future potential is becoming more evident to a greater range of stakeholders</w:t>
      </w:r>
      <w:r>
        <w:t>.</w:t>
      </w:r>
    </w:p>
    <w:p w14:paraId="3E885603" w14:textId="77777777" w:rsidR="00D66FAA" w:rsidRPr="00D37A2B" w:rsidRDefault="00D66FAA" w:rsidP="00F8656F">
      <w:pPr>
        <w:pStyle w:val="DeptBodytext"/>
      </w:pPr>
      <w:r w:rsidRPr="00D37A2B">
        <w:lastRenderedPageBreak/>
        <w:t xml:space="preserve">Consumers are seeking on-demand access to an increasing range of communications, information and entertainment services. Government users such as defence and first responders (police, fire and ambulance) want to improve their existing capabilities by taking advantage of new technologies such as mobile broadband. </w:t>
      </w:r>
    </w:p>
    <w:p w14:paraId="0F588FBA" w14:textId="77777777" w:rsidR="00D66FAA" w:rsidRPr="00D37A2B" w:rsidRDefault="00D66FAA" w:rsidP="00F8656F">
      <w:pPr>
        <w:pStyle w:val="DeptBodytext"/>
      </w:pPr>
      <w:r w:rsidRPr="00D37A2B">
        <w:t>New spectrum based technologies and services are emerging, including machine-to-machine communications and services based on cognitive radio technologies. There is significant demand for a wide range of current uses of spectrum such as maritime and aviation safety and communications, scientific research and monitoring, satellite communications and radio and television broadcasting which need to continue to be accommodated.</w:t>
      </w:r>
    </w:p>
    <w:p w14:paraId="538E95DB" w14:textId="77777777" w:rsidR="00D66FAA" w:rsidRDefault="00D66FAA" w:rsidP="00F8656F">
      <w:pPr>
        <w:pStyle w:val="DeptBodytext"/>
      </w:pPr>
      <w:r w:rsidRPr="00D37A2B">
        <w:t xml:space="preserve">Mobile broadband in particular is driving increasing spectrum demand. In 2014, the </w:t>
      </w:r>
      <w:r w:rsidR="005A6051">
        <w:t>International Telecommunication</w:t>
      </w:r>
      <w:r w:rsidRPr="00D37A2B">
        <w:t xml:space="preserve"> Union (Radiocommunication Sector) estimated that an additional 1,340 to 1,960 MHz of spectrum </w:t>
      </w:r>
      <w:r w:rsidR="003F4F7F">
        <w:t>would</w:t>
      </w:r>
      <w:r w:rsidR="003F4F7F" w:rsidRPr="00D37A2B">
        <w:t xml:space="preserve"> </w:t>
      </w:r>
      <w:r w:rsidRPr="00D37A2B">
        <w:t>be required for mobile broadband by 2020.</w:t>
      </w:r>
      <w:r w:rsidRPr="008C7AB6">
        <w:rPr>
          <w:vertAlign w:val="superscript"/>
        </w:rPr>
        <w:footnoteReference w:id="6"/>
      </w:r>
      <w:r w:rsidRPr="00D37A2B">
        <w:t xml:space="preserve"> </w:t>
      </w:r>
      <w:r w:rsidR="003D1F7F" w:rsidRPr="00D37A2B">
        <w:t xml:space="preserve">In Australia, the ACMA estimates mobile data usage </w:t>
      </w:r>
      <w:r w:rsidR="003F4F7F">
        <w:t>to</w:t>
      </w:r>
      <w:r w:rsidR="003F4F7F" w:rsidRPr="00D37A2B">
        <w:t xml:space="preserve"> </w:t>
      </w:r>
      <w:r w:rsidR="003D1F7F" w:rsidRPr="00D37A2B">
        <w:t>grow by 265 per cent over a four-year period to 2017, increasing from an estimated 22.2 petabytes in 2013 to 81.1 petabytes in 2017.</w:t>
      </w:r>
      <w:r w:rsidR="003D1F7F" w:rsidRPr="00D8489D">
        <w:rPr>
          <w:vertAlign w:val="superscript"/>
        </w:rPr>
        <w:footnoteReference w:id="7"/>
      </w:r>
    </w:p>
    <w:p w14:paraId="2017D0BF" w14:textId="77777777" w:rsidR="00074259" w:rsidRDefault="00074259" w:rsidP="00F8656F">
      <w:pPr>
        <w:pStyle w:val="DeptBodytext"/>
      </w:pPr>
      <w:r>
        <w:t xml:space="preserve">Vacant spectrum to meet this demand is becoming harder to find. Internationally, there is a focus on enabling greater spectrum sharing by taking advantage of smart </w:t>
      </w:r>
      <w:r w:rsidRPr="00247E18">
        <w:t xml:space="preserve">technologies </w:t>
      </w:r>
      <w:r>
        <w:t xml:space="preserve">that can look up databases to find unused spectrum and switch to the unused frequencies in real-time (these are variously called dynamic spectrum access, cognitive or whitespace technologies). While initially being implemented in the unused spectrum in the broadcasting bands, they can potentially be used throughout the spectrum bands. </w:t>
      </w:r>
    </w:p>
    <w:p w14:paraId="4CAFEF3A" w14:textId="77777777" w:rsidR="00170224" w:rsidRDefault="00D66FAA" w:rsidP="00F8656F">
      <w:pPr>
        <w:pStyle w:val="DeptBodytext"/>
      </w:pPr>
      <w:r w:rsidRPr="00D37A2B">
        <w:t xml:space="preserve">Australia’s experience accords with what is happening overseas, where increasing demand for mobile broadband is drawing responses from governments. </w:t>
      </w:r>
      <w:r w:rsidR="006E490A">
        <w:t xml:space="preserve">Identification of spectrum to support future mobile telecommunications </w:t>
      </w:r>
      <w:r w:rsidR="006E490A" w:rsidRPr="00D37A2B">
        <w:t>is expected a key focus of the November 2015 W</w:t>
      </w:r>
      <w:r w:rsidR="00BA00A3">
        <w:t xml:space="preserve">orld </w:t>
      </w:r>
      <w:r w:rsidR="006E490A" w:rsidRPr="00D37A2B">
        <w:t>R</w:t>
      </w:r>
      <w:r w:rsidR="00BA00A3">
        <w:t xml:space="preserve">adiocommunication </w:t>
      </w:r>
      <w:r w:rsidR="006E490A" w:rsidRPr="00D37A2B">
        <w:t>C</w:t>
      </w:r>
      <w:r w:rsidR="00BA00A3">
        <w:t>onference (WRC)</w:t>
      </w:r>
      <w:r w:rsidR="006E490A" w:rsidRPr="00D37A2B">
        <w:t>.</w:t>
      </w:r>
      <w:r w:rsidR="006E490A">
        <w:t xml:space="preserve"> </w:t>
      </w:r>
      <w:r w:rsidRPr="00D37A2B">
        <w:t>In the last five years the United Kingdom (UK)</w:t>
      </w:r>
      <w:r w:rsidRPr="008C7AB6">
        <w:rPr>
          <w:vertAlign w:val="superscript"/>
        </w:rPr>
        <w:footnoteReference w:id="8"/>
      </w:r>
      <w:r w:rsidRPr="00D37A2B">
        <w:t>, United States (US)</w:t>
      </w:r>
      <w:r w:rsidRPr="008C7AB6">
        <w:rPr>
          <w:vertAlign w:val="superscript"/>
        </w:rPr>
        <w:footnoteReference w:id="9"/>
      </w:r>
      <w:r w:rsidRPr="00D37A2B">
        <w:t xml:space="preserve"> and Canada</w:t>
      </w:r>
      <w:r w:rsidRPr="008C7AB6">
        <w:rPr>
          <w:vertAlign w:val="superscript"/>
        </w:rPr>
        <w:footnoteReference w:id="10"/>
      </w:r>
      <w:r w:rsidRPr="00D37A2B">
        <w:t xml:space="preserve"> have committed to making additional spectrum available for mobile broadband, through direct allocations and spectrum sharing. </w:t>
      </w:r>
    </w:p>
    <w:p w14:paraId="1479549F" w14:textId="77777777" w:rsidR="00703876" w:rsidRDefault="00703876" w:rsidP="00F8656F">
      <w:pPr>
        <w:pStyle w:val="DeptBodytext"/>
      </w:pPr>
      <w:r>
        <w:t xml:space="preserve">According to </w:t>
      </w:r>
      <w:r w:rsidR="00534252">
        <w:t>the</w:t>
      </w:r>
      <w:r>
        <w:t xml:space="preserve"> US Defense</w:t>
      </w:r>
      <w:r w:rsidR="00534252">
        <w:t xml:space="preserve"> Spectrum Organization,</w:t>
      </w:r>
      <w:r>
        <w:t xml:space="preserve"> the US Defense Department is looking at s</w:t>
      </w:r>
      <w:r w:rsidR="008123C7">
        <w:t xml:space="preserve">haring spectrum with commercial users with the help of new technologies </w:t>
      </w:r>
      <w:r w:rsidR="008123C7">
        <w:lastRenderedPageBreak/>
        <w:t xml:space="preserve">that enable near real-time frequency management. The goal is to enable the operational needs of both commercial and </w:t>
      </w:r>
      <w:r w:rsidR="00AF3ECD">
        <w:t>G</w:t>
      </w:r>
      <w:r w:rsidR="008123C7">
        <w:t>overnment users to be met</w:t>
      </w:r>
      <w:r>
        <w:t>.</w:t>
      </w:r>
      <w:r>
        <w:rPr>
          <w:rStyle w:val="FootnoteReference"/>
        </w:rPr>
        <w:footnoteReference w:id="11"/>
      </w:r>
    </w:p>
    <w:p w14:paraId="0DB0155B" w14:textId="77777777" w:rsidR="00AD46A8" w:rsidRDefault="00D66FAA" w:rsidP="00F8656F">
      <w:pPr>
        <w:pStyle w:val="DeptBodytext"/>
      </w:pPr>
      <w:r w:rsidRPr="00D37A2B">
        <w:t xml:space="preserve">The </w:t>
      </w:r>
      <w:r w:rsidR="00780C55" w:rsidRPr="00D37A2B">
        <w:t xml:space="preserve">review assessment is that </w:t>
      </w:r>
      <w:r w:rsidR="008B73B1">
        <w:t>aspects of the current framework are too slow, rigid and administratively cumbersome to enable spectrum to be allocated and used quickly and easily. C</w:t>
      </w:r>
      <w:r w:rsidR="00780C55" w:rsidRPr="00D37A2B">
        <w:t xml:space="preserve">urrent arrangements </w:t>
      </w:r>
      <w:r w:rsidR="0063133C">
        <w:t>can be simplified and made more flexible to efficiently accommodate new technologies and stakeholders’ evolving and increasing spectrum needs</w:t>
      </w:r>
      <w:r w:rsidRPr="00D37A2B">
        <w:t xml:space="preserve">. </w:t>
      </w:r>
    </w:p>
    <w:p w14:paraId="37300360" w14:textId="77777777" w:rsidR="005B4314" w:rsidRDefault="005B4314" w:rsidP="000D57E8">
      <w:pPr>
        <w:pStyle w:val="DeptHeading2"/>
        <w:numPr>
          <w:ilvl w:val="1"/>
          <w:numId w:val="8"/>
        </w:numPr>
        <w:ind w:left="284" w:hanging="284"/>
        <w:rPr>
          <w:sz w:val="28"/>
          <w:szCs w:val="24"/>
        </w:rPr>
      </w:pPr>
      <w:bookmarkStart w:id="30" w:name="_Toc413139547"/>
      <w:r w:rsidRPr="00825EFE">
        <w:rPr>
          <w:sz w:val="28"/>
          <w:szCs w:val="24"/>
        </w:rPr>
        <w:t>What does reform look like?</w:t>
      </w:r>
      <w:bookmarkEnd w:id="30"/>
    </w:p>
    <w:p w14:paraId="47FE4002" w14:textId="77777777" w:rsidR="007F13A8" w:rsidRPr="008C7AB6" w:rsidRDefault="007F13A8" w:rsidP="0023364B">
      <w:pPr>
        <w:pStyle w:val="DeptBodytext"/>
        <w:spacing w:after="120"/>
      </w:pPr>
      <w:r w:rsidRPr="008C7AB6">
        <w:t xml:space="preserve">The development of </w:t>
      </w:r>
      <w:r w:rsidR="00D346BE">
        <w:t xml:space="preserve">the </w:t>
      </w:r>
      <w:r w:rsidR="00BF4879">
        <w:t>reforms</w:t>
      </w:r>
      <w:r w:rsidRPr="008C7AB6">
        <w:t xml:space="preserve"> </w:t>
      </w:r>
      <w:r w:rsidR="00F43EBF" w:rsidRPr="008C7AB6">
        <w:t xml:space="preserve">was </w:t>
      </w:r>
      <w:r w:rsidRPr="008C7AB6">
        <w:t>guided by the principles of:</w:t>
      </w:r>
    </w:p>
    <w:p w14:paraId="7FEA6729" w14:textId="77777777" w:rsidR="007F13A8" w:rsidRDefault="007F13A8" w:rsidP="007F13A8">
      <w:pPr>
        <w:pStyle w:val="Deptbulletlist1"/>
        <w:numPr>
          <w:ilvl w:val="0"/>
          <w:numId w:val="3"/>
        </w:numPr>
        <w:ind w:left="357" w:hanging="357"/>
      </w:pPr>
      <w:r>
        <w:t>transparency – providing a clear and transparent policy framework and direction, within the bounds of which the ACMA should have broad discretion over the options available to it to manage the spectrum and enable a greater role for users</w:t>
      </w:r>
    </w:p>
    <w:p w14:paraId="5E849950" w14:textId="77777777" w:rsidR="007F13A8" w:rsidRDefault="007F13A8" w:rsidP="007F13A8">
      <w:pPr>
        <w:pStyle w:val="Deptbulletlist1"/>
        <w:numPr>
          <w:ilvl w:val="0"/>
          <w:numId w:val="3"/>
        </w:numPr>
        <w:ind w:left="357" w:hanging="357"/>
      </w:pPr>
      <w:r>
        <w:t>efficiency – promoting efficient allocation and use of spectrum – by making use of market principles and mechanisms as the preferred approach and providing licensees with the freedom and incentives to make optimal choices about their spectrum use</w:t>
      </w:r>
    </w:p>
    <w:p w14:paraId="1FFA7100" w14:textId="77777777" w:rsidR="007F13A8" w:rsidRDefault="007F13A8" w:rsidP="007F13A8">
      <w:pPr>
        <w:pStyle w:val="Deptbulletlist1"/>
        <w:numPr>
          <w:ilvl w:val="0"/>
          <w:numId w:val="3"/>
        </w:numPr>
        <w:ind w:left="357" w:hanging="357"/>
      </w:pPr>
      <w:r>
        <w:t>flexibility – ensuring arrangements are as flexible as possible to promote choice and innovation</w:t>
      </w:r>
    </w:p>
    <w:p w14:paraId="65CDC5CB" w14:textId="77777777" w:rsidR="007F13A8" w:rsidRDefault="007F13A8" w:rsidP="007F13A8">
      <w:pPr>
        <w:pStyle w:val="Deptbulletlist1"/>
        <w:numPr>
          <w:ilvl w:val="0"/>
          <w:numId w:val="3"/>
        </w:numPr>
        <w:ind w:left="357" w:hanging="357"/>
      </w:pPr>
      <w:r>
        <w:t xml:space="preserve">certainty – providing confidence about </w:t>
      </w:r>
      <w:r w:rsidRPr="00B4475C">
        <w:t>regulatory arrangements and spectrum access terms and conditions</w:t>
      </w:r>
      <w:r>
        <w:t xml:space="preserve"> and promote international harmonisation in Australia’s interests</w:t>
      </w:r>
    </w:p>
    <w:p w14:paraId="2229F0D0" w14:textId="77777777" w:rsidR="00D37A2B" w:rsidRPr="00D37A2B" w:rsidRDefault="007F13A8" w:rsidP="00D37A2B">
      <w:pPr>
        <w:pStyle w:val="Deptbulletlist1"/>
        <w:numPr>
          <w:ilvl w:val="0"/>
          <w:numId w:val="3"/>
        </w:numPr>
        <w:ind w:left="357" w:hanging="357"/>
        <w:rPr>
          <w:rFonts w:eastAsia="MS Gothic"/>
          <w:b/>
          <w:i/>
          <w:iCs/>
          <w:color w:val="4F81BD"/>
        </w:rPr>
      </w:pPr>
      <w:r>
        <w:t>simplicity – creating a framework that is simpler, easier to understand and uses the least cost regulation required to achieve the objective.</w:t>
      </w:r>
    </w:p>
    <w:p w14:paraId="3E081CE7" w14:textId="77777777" w:rsidR="00D346BE" w:rsidRDefault="0069633B" w:rsidP="0023364B">
      <w:pPr>
        <w:pStyle w:val="DeptBodytext"/>
        <w:spacing w:after="120"/>
      </w:pPr>
      <w:r w:rsidRPr="008C7AB6">
        <w:t xml:space="preserve">The </w:t>
      </w:r>
      <w:r w:rsidR="00D346BE">
        <w:t>proposed</w:t>
      </w:r>
      <w:r w:rsidRPr="008C7AB6">
        <w:t xml:space="preserve"> </w:t>
      </w:r>
      <w:r w:rsidR="00D346BE">
        <w:t xml:space="preserve">reform </w:t>
      </w:r>
      <w:r w:rsidRPr="008C7AB6">
        <w:t xml:space="preserve">approach is to restructure and rationalise the legislative framework </w:t>
      </w:r>
      <w:r w:rsidR="00690A42">
        <w:t>to</w:t>
      </w:r>
      <w:r w:rsidR="00D346BE">
        <w:t>:</w:t>
      </w:r>
    </w:p>
    <w:p w14:paraId="58498C61" w14:textId="77777777" w:rsidR="00F8656F" w:rsidRDefault="00F8656F" w:rsidP="00E74BED">
      <w:pPr>
        <w:pStyle w:val="Deptbulletlist1"/>
        <w:numPr>
          <w:ilvl w:val="0"/>
          <w:numId w:val="3"/>
        </w:numPr>
        <w:ind w:left="357" w:hanging="357"/>
      </w:pPr>
      <w:r>
        <w:t>provide for greater market-based activity</w:t>
      </w:r>
    </w:p>
    <w:p w14:paraId="189B4380" w14:textId="77777777" w:rsidR="00D346BE" w:rsidRDefault="00D346BE" w:rsidP="00F8656F">
      <w:pPr>
        <w:pStyle w:val="Deptbulletlist1"/>
        <w:numPr>
          <w:ilvl w:val="0"/>
          <w:numId w:val="3"/>
        </w:numPr>
        <w:ind w:left="357" w:hanging="357"/>
      </w:pPr>
      <w:r>
        <w:t xml:space="preserve">simplify </w:t>
      </w:r>
      <w:r w:rsidR="00097F8A">
        <w:t xml:space="preserve">regulatory structures, </w:t>
      </w:r>
      <w:r>
        <w:t>streaml</w:t>
      </w:r>
      <w:r w:rsidR="00690A42">
        <w:t>ine</w:t>
      </w:r>
      <w:r>
        <w:t xml:space="preserve"> regulatory processes</w:t>
      </w:r>
      <w:r w:rsidR="00097F8A" w:rsidRPr="00097F8A">
        <w:t xml:space="preserve"> </w:t>
      </w:r>
      <w:r w:rsidR="00097F8A">
        <w:t xml:space="preserve">and clarify the role for </w:t>
      </w:r>
      <w:r w:rsidR="00AF3ECD">
        <w:t>G</w:t>
      </w:r>
      <w:r w:rsidR="00F8656F">
        <w:t>overnment.</w:t>
      </w:r>
    </w:p>
    <w:p w14:paraId="17794C4F" w14:textId="77777777" w:rsidR="00D37A2B" w:rsidRPr="008C7AB6" w:rsidRDefault="007F13A8" w:rsidP="00F8656F">
      <w:pPr>
        <w:pStyle w:val="DeptBodytext"/>
      </w:pPr>
      <w:r w:rsidRPr="008C7AB6">
        <w:t xml:space="preserve">Consistent with the Government’s deregulation agenda, </w:t>
      </w:r>
      <w:r w:rsidR="0072449D">
        <w:t xml:space="preserve">a focus of the </w:t>
      </w:r>
      <w:r w:rsidR="002F4BCA">
        <w:t xml:space="preserve">proposed </w:t>
      </w:r>
      <w:r w:rsidR="0072449D">
        <w:t>reforms is to</w:t>
      </w:r>
      <w:r w:rsidRPr="008C7AB6">
        <w:t xml:space="preserve"> </w:t>
      </w:r>
      <w:r w:rsidR="0069633B" w:rsidRPr="008C7AB6">
        <w:t>rationalis</w:t>
      </w:r>
      <w:r w:rsidR="0069633B">
        <w:t>e</w:t>
      </w:r>
      <w:r w:rsidR="0069633B" w:rsidRPr="008C7AB6">
        <w:t xml:space="preserve"> the number of licence categories and associated subordinate regulation</w:t>
      </w:r>
      <w:r w:rsidR="0069633B">
        <w:t xml:space="preserve"> and to</w:t>
      </w:r>
      <w:r w:rsidR="0069633B" w:rsidRPr="008C7AB6">
        <w:t xml:space="preserve"> </w:t>
      </w:r>
      <w:r w:rsidRPr="008C7AB6">
        <w:t>remove unnecessary regulation</w:t>
      </w:r>
      <w:r w:rsidR="0072449D">
        <w:t xml:space="preserve"> particularly re</w:t>
      </w:r>
      <w:r w:rsidR="008F13AA">
        <w:t xml:space="preserve">lating to highly </w:t>
      </w:r>
      <w:r w:rsidR="008F13AA" w:rsidRPr="008C7AB6">
        <w:t xml:space="preserve">prescriptive </w:t>
      </w:r>
      <w:r w:rsidR="008F13AA">
        <w:t>and</w:t>
      </w:r>
      <w:r w:rsidR="0072449D">
        <w:t xml:space="preserve"> </w:t>
      </w:r>
      <w:r w:rsidR="008F13AA">
        <w:t>lengthy</w:t>
      </w:r>
      <w:r w:rsidR="0072449D">
        <w:t xml:space="preserve"> </w:t>
      </w:r>
      <w:r w:rsidR="00BF4879">
        <w:t xml:space="preserve">allocation </w:t>
      </w:r>
      <w:r w:rsidR="007A2C6D">
        <w:t xml:space="preserve">and reallocation </w:t>
      </w:r>
      <w:r w:rsidR="0072449D">
        <w:t>processes</w:t>
      </w:r>
      <w:r w:rsidR="00097F8A">
        <w:t xml:space="preserve">. </w:t>
      </w:r>
    </w:p>
    <w:p w14:paraId="23713F21" w14:textId="77777777" w:rsidR="007F13A8" w:rsidRDefault="007F13A8" w:rsidP="00F8656F">
      <w:pPr>
        <w:pStyle w:val="DeptBodytext"/>
      </w:pPr>
      <w:r w:rsidRPr="008C7AB6">
        <w:t xml:space="preserve">Areas where additional regulation is proposed, such as the targeted directions powers for the Minister and an expanded compliance and enforcement tool kit, would benefit spectrum users through </w:t>
      </w:r>
      <w:r w:rsidR="00D346BE" w:rsidRPr="008C7AB6">
        <w:t>improv</w:t>
      </w:r>
      <w:r w:rsidR="00D346BE">
        <w:t xml:space="preserve">ing certainty and timeliness of decision making processes, </w:t>
      </w:r>
      <w:r w:rsidRPr="008C7AB6">
        <w:t xml:space="preserve">and </w:t>
      </w:r>
      <w:r w:rsidR="00D346BE">
        <w:t xml:space="preserve">deliver </w:t>
      </w:r>
      <w:r w:rsidRPr="008C7AB6">
        <w:t>more effective compliance activities.</w:t>
      </w:r>
    </w:p>
    <w:p w14:paraId="4A8F92F4" w14:textId="77777777" w:rsidR="00D27319" w:rsidRDefault="00D27319" w:rsidP="00F8656F">
      <w:pPr>
        <w:pStyle w:val="DeptBodytext"/>
      </w:pPr>
      <w:r>
        <w:t xml:space="preserve">There remains an important </w:t>
      </w:r>
      <w:r w:rsidR="001D1134">
        <w:t xml:space="preserve">role for </w:t>
      </w:r>
      <w:r w:rsidR="00AF3ECD">
        <w:t>G</w:t>
      </w:r>
      <w:r>
        <w:t xml:space="preserve">overnment in spectrum management. </w:t>
      </w:r>
      <w:r w:rsidR="00E4121E">
        <w:t xml:space="preserve">The reforms maintain </w:t>
      </w:r>
      <w:r w:rsidR="00AF3ECD">
        <w:t>G</w:t>
      </w:r>
      <w:r w:rsidR="001D1134">
        <w:t>overnment’s role in</w:t>
      </w:r>
      <w:r>
        <w:t xml:space="preserve"> establishing the spectrum management framework, including setting the ground rules for market transactions</w:t>
      </w:r>
      <w:r w:rsidR="00690A42">
        <w:t>,</w:t>
      </w:r>
      <w:r>
        <w:t xml:space="preserve"> </w:t>
      </w:r>
      <w:r w:rsidR="00690A42">
        <w:t xml:space="preserve">enforce compliance, </w:t>
      </w:r>
      <w:r>
        <w:t xml:space="preserve">ensuring </w:t>
      </w:r>
      <w:r>
        <w:lastRenderedPageBreak/>
        <w:t>there remains adequate provision of spectrum for public and community services</w:t>
      </w:r>
      <w:r w:rsidR="00690A42">
        <w:t xml:space="preserve"> and in managing Australia’s participation in international forums and arrangements</w:t>
      </w:r>
      <w:r w:rsidR="003B5738">
        <w:t>.</w:t>
      </w:r>
    </w:p>
    <w:p w14:paraId="01057CCD" w14:textId="77777777" w:rsidR="00D27319" w:rsidRPr="008C7AB6" w:rsidRDefault="001D1134" w:rsidP="00F8656F">
      <w:pPr>
        <w:pStyle w:val="DeptBodytext"/>
      </w:pPr>
      <w:r>
        <w:t xml:space="preserve">Given the </w:t>
      </w:r>
      <w:r w:rsidR="00D27319">
        <w:t xml:space="preserve">inherent costs and inefficiencies in both governments and markets trying to jointly coordinate economic activity, </w:t>
      </w:r>
      <w:r>
        <w:t xml:space="preserve">the reforms provide a greater opportunity for </w:t>
      </w:r>
      <w:r w:rsidR="00AF3ECD">
        <w:t>G</w:t>
      </w:r>
      <w:r>
        <w:t>overnment to establish and promote t</w:t>
      </w:r>
      <w:r w:rsidR="00D27319">
        <w:t>he necessary conditions for market-based activity</w:t>
      </w:r>
      <w:r>
        <w:t xml:space="preserve"> up-front with a view to limiting the extent to which further direct interventions are necessary</w:t>
      </w:r>
      <w:r w:rsidR="00D27319">
        <w:t xml:space="preserve">. </w:t>
      </w:r>
      <w:r w:rsidR="00690A42">
        <w:t xml:space="preserve">Noting </w:t>
      </w:r>
      <w:r w:rsidR="003F4F7F">
        <w:t>that</w:t>
      </w:r>
      <w:r w:rsidR="00690A42">
        <w:t xml:space="preserve"> </w:t>
      </w:r>
      <w:r w:rsidR="00AF3ECD">
        <w:t>G</w:t>
      </w:r>
      <w:r w:rsidR="00D27319">
        <w:t xml:space="preserve">overnment </w:t>
      </w:r>
      <w:r w:rsidR="003F4F7F">
        <w:t xml:space="preserve">would </w:t>
      </w:r>
      <w:r w:rsidR="00D27319">
        <w:t xml:space="preserve">retain the right to intervene in specific spectrum management matters to achieve policy priorities. </w:t>
      </w:r>
    </w:p>
    <w:p w14:paraId="4A917600" w14:textId="77777777" w:rsidR="007F13A8" w:rsidRDefault="007F13A8" w:rsidP="00F8656F">
      <w:pPr>
        <w:pStyle w:val="DeptBodytext"/>
      </w:pPr>
      <w:r>
        <w:t xml:space="preserve">Market mechanisms play a valuable role in allocating spectrum efficiently, placing a discipline on market participants and providing opportunities to trade or lease spectrum. This encourages efficient use and offers users greater flexibility in the way they acquire and manage their spectrum, and maximises its value. </w:t>
      </w:r>
    </w:p>
    <w:p w14:paraId="4968BA50" w14:textId="77777777" w:rsidR="007F13A8" w:rsidRDefault="007F13A8" w:rsidP="00F8656F">
      <w:pPr>
        <w:pStyle w:val="DeptBodytext"/>
      </w:pPr>
      <w:r>
        <w:t xml:space="preserve">However, the unique features of spectrum such as its propagation characteristics, the constraints imposed by technology and the international planning </w:t>
      </w:r>
      <w:r w:rsidR="007A5368">
        <w:t>framework</w:t>
      </w:r>
      <w:r>
        <w:t xml:space="preserve">, limit the extent to which spectrum can be fully commoditised. </w:t>
      </w:r>
      <w:r w:rsidRPr="00EF47B0">
        <w:t xml:space="preserve">A good example </w:t>
      </w:r>
      <w:r>
        <w:t xml:space="preserve">is aeronautical spectrum which, </w:t>
      </w:r>
      <w:r w:rsidRPr="00EF47B0">
        <w:t>through international agreements</w:t>
      </w:r>
      <w:r>
        <w:t xml:space="preserve">, means the spectrum is not easily </w:t>
      </w:r>
      <w:r w:rsidRPr="00EF47B0">
        <w:t>substitutable for other uses.</w:t>
      </w:r>
      <w:r w:rsidRPr="000B1E68">
        <w:t xml:space="preserve"> </w:t>
      </w:r>
    </w:p>
    <w:p w14:paraId="51C06BF9" w14:textId="77777777" w:rsidR="007F13A8" w:rsidRDefault="007F13A8" w:rsidP="00F8656F">
      <w:pPr>
        <w:pStyle w:val="DeptBodytext"/>
      </w:pPr>
      <w:r>
        <w:t xml:space="preserve">The Department commissioned work from the </w:t>
      </w:r>
      <w:r w:rsidR="00185C7C">
        <w:t>CIE</w:t>
      </w:r>
      <w:r>
        <w:t xml:space="preserve"> to develop a theoretical market-based model for spectrum management, to test how such a </w:t>
      </w:r>
      <w:r w:rsidR="007A5368">
        <w:t>framework</w:t>
      </w:r>
      <w:r>
        <w:t xml:space="preserve"> would operate</w:t>
      </w:r>
      <w:r w:rsidR="00CD6A61">
        <w:t>.</w:t>
      </w:r>
      <w:r w:rsidR="00834420">
        <w:rPr>
          <w:rStyle w:val="FootnoteReference"/>
        </w:rPr>
        <w:footnoteReference w:id="12"/>
      </w:r>
    </w:p>
    <w:p w14:paraId="5DFB1249" w14:textId="77777777" w:rsidR="00834420" w:rsidRPr="00EF47B0" w:rsidRDefault="00834420" w:rsidP="00F8656F">
      <w:pPr>
        <w:pStyle w:val="DeptBodytext"/>
      </w:pPr>
      <w:r>
        <w:t>The model outlines a market</w:t>
      </w:r>
      <w:r w:rsidRPr="00EF47B0">
        <w:t xml:space="preserve"> system </w:t>
      </w:r>
      <w:r>
        <w:t xml:space="preserve">based on the property rights of spectrum, </w:t>
      </w:r>
      <w:r w:rsidRPr="00EF47B0">
        <w:t>where all spectrum is competitive</w:t>
      </w:r>
      <w:r>
        <w:t>ly</w:t>
      </w:r>
      <w:r w:rsidRPr="00EF47B0">
        <w:t xml:space="preserve"> allocated and held as long-term (</w:t>
      </w:r>
      <w:r>
        <w:t>possibly</w:t>
      </w:r>
      <w:r w:rsidRPr="00EF47B0">
        <w:t xml:space="preserve"> perpetual) licences</w:t>
      </w:r>
      <w:r>
        <w:t xml:space="preserve"> with parameters setting conditions of use</w:t>
      </w:r>
      <w:r w:rsidRPr="00EF47B0">
        <w:t xml:space="preserve">. Users </w:t>
      </w:r>
      <w:r>
        <w:t xml:space="preserve">would </w:t>
      </w:r>
      <w:r w:rsidRPr="00EF47B0">
        <w:t>have the freedom to trade or lease spectrum</w:t>
      </w:r>
      <w:r>
        <w:t>. There would be carve-outs from this framework for public commons use and services subject to international agreements (such as aeronautical, maritime and satellites).</w:t>
      </w:r>
      <w:r w:rsidRPr="00EF47B0">
        <w:t xml:space="preserve"> </w:t>
      </w:r>
      <w:r>
        <w:t xml:space="preserve">The role of the </w:t>
      </w:r>
      <w:r w:rsidR="00AF3ECD">
        <w:t>G</w:t>
      </w:r>
      <w:r>
        <w:t>overnment would be to establish market rules, uphold the rights and responsibilities of users, and provide mediation in interference disputes should negotiations not be successful.</w:t>
      </w:r>
    </w:p>
    <w:p w14:paraId="03F96AC4" w14:textId="77777777" w:rsidR="007F13A8" w:rsidRPr="00F03D4D" w:rsidRDefault="005C6A9D" w:rsidP="00F8656F">
      <w:pPr>
        <w:pStyle w:val="DeptBodytext"/>
      </w:pPr>
      <w:r>
        <w:t xml:space="preserve">The CIE approach was presented to </w:t>
      </w:r>
      <w:r w:rsidR="00BE791E">
        <w:t>a stakeholder</w:t>
      </w:r>
      <w:r>
        <w:t xml:space="preserve"> workshop</w:t>
      </w:r>
      <w:r w:rsidR="00BE791E">
        <w:t xml:space="preserve"> in January 2015</w:t>
      </w:r>
      <w:r>
        <w:t xml:space="preserve">. Whilst there was interest in the issues raised there was not general support expressed for its adoption. This </w:t>
      </w:r>
      <w:r w:rsidR="00AF08A9">
        <w:t xml:space="preserve">review does </w:t>
      </w:r>
      <w:r>
        <w:t xml:space="preserve">not </w:t>
      </w:r>
      <w:r w:rsidR="00AF08A9">
        <w:t xml:space="preserve">recommend </w:t>
      </w:r>
      <w:r w:rsidR="003573A1">
        <w:t>complete</w:t>
      </w:r>
      <w:r w:rsidR="00AF08A9">
        <w:t xml:space="preserve"> adoption of the </w:t>
      </w:r>
      <w:r>
        <w:t xml:space="preserve">CIE </w:t>
      </w:r>
      <w:r w:rsidR="00AF08A9">
        <w:t xml:space="preserve">proposed model, </w:t>
      </w:r>
      <w:r>
        <w:t xml:space="preserve">although </w:t>
      </w:r>
      <w:r w:rsidR="00AF08A9">
        <w:t xml:space="preserve">a number of the specific measures, </w:t>
      </w:r>
      <w:r w:rsidR="00B853FE">
        <w:t xml:space="preserve">particularly in relation to a simplified licensing </w:t>
      </w:r>
      <w:r w:rsidR="002B2924">
        <w:t>system</w:t>
      </w:r>
      <w:r w:rsidR="00B853FE">
        <w:t xml:space="preserve">, the provision of higher quality information </w:t>
      </w:r>
      <w:r w:rsidR="003573A1">
        <w:t xml:space="preserve">and measures to improve secondary trading </w:t>
      </w:r>
      <w:r w:rsidR="00B853FE">
        <w:t xml:space="preserve">to market participants </w:t>
      </w:r>
      <w:r w:rsidR="003573A1">
        <w:t>align closely with the proposed reforms.</w:t>
      </w:r>
    </w:p>
    <w:p w14:paraId="1281986E" w14:textId="77777777" w:rsidR="005B4314" w:rsidRDefault="00145700" w:rsidP="000D57E8">
      <w:pPr>
        <w:pStyle w:val="DeptHeading2"/>
        <w:numPr>
          <w:ilvl w:val="0"/>
          <w:numId w:val="8"/>
        </w:numPr>
      </w:pPr>
      <w:r>
        <w:br w:type="column"/>
      </w:r>
      <w:bookmarkStart w:id="31" w:name="_Toc413139548"/>
      <w:r w:rsidR="005B4314">
        <w:lastRenderedPageBreak/>
        <w:t>Proposals for reform</w:t>
      </w:r>
      <w:bookmarkEnd w:id="31"/>
    </w:p>
    <w:p w14:paraId="10C1626B" w14:textId="77777777" w:rsidR="00303F88" w:rsidRDefault="00247148" w:rsidP="000D57E8">
      <w:pPr>
        <w:pStyle w:val="DeptHeading2"/>
        <w:numPr>
          <w:ilvl w:val="1"/>
          <w:numId w:val="8"/>
        </w:numPr>
        <w:ind w:left="284" w:hanging="284"/>
        <w:rPr>
          <w:sz w:val="28"/>
          <w:szCs w:val="24"/>
        </w:rPr>
      </w:pPr>
      <w:bookmarkStart w:id="32" w:name="_Toc413139549"/>
      <w:r>
        <w:rPr>
          <w:sz w:val="28"/>
          <w:szCs w:val="24"/>
        </w:rPr>
        <w:t>Recomm</w:t>
      </w:r>
      <w:r w:rsidR="00303F88">
        <w:rPr>
          <w:sz w:val="28"/>
          <w:szCs w:val="24"/>
        </w:rPr>
        <w:t xml:space="preserve">endation 1 – </w:t>
      </w:r>
      <w:r w:rsidR="00351CCE">
        <w:rPr>
          <w:sz w:val="28"/>
          <w:szCs w:val="24"/>
        </w:rPr>
        <w:t>Legislation</w:t>
      </w:r>
      <w:bookmarkEnd w:id="32"/>
    </w:p>
    <w:p w14:paraId="65E96E06" w14:textId="77777777" w:rsidR="00F8656F" w:rsidRPr="009D323F" w:rsidRDefault="00F8656F" w:rsidP="005B7E17">
      <w:pPr>
        <w:pStyle w:val="DeptBodytext"/>
        <w:spacing w:after="120"/>
        <w:rPr>
          <w:i/>
        </w:rPr>
      </w:pPr>
      <w:bookmarkStart w:id="33" w:name="_Toc412214220"/>
      <w:r w:rsidRPr="009D323F">
        <w:rPr>
          <w:i/>
        </w:rPr>
        <w:t>Given technological change and increasing demands for spectrum the current legislative framework (the Radiocommunications Act 1992) should be replaced by arrangements that:</w:t>
      </w:r>
    </w:p>
    <w:p w14:paraId="472EBD23" w14:textId="77777777" w:rsidR="00F8656F" w:rsidRPr="009D323F" w:rsidRDefault="00F8656F" w:rsidP="00F8656F">
      <w:pPr>
        <w:pStyle w:val="Deptbulletlist1"/>
        <w:numPr>
          <w:ilvl w:val="0"/>
          <w:numId w:val="3"/>
        </w:numPr>
        <w:ind w:left="357" w:hanging="357"/>
        <w:rPr>
          <w:i/>
        </w:rPr>
      </w:pPr>
      <w:r w:rsidRPr="009D323F">
        <w:rPr>
          <w:i/>
        </w:rPr>
        <w:t>provide for greater market-based activity, including by increasing the opportunity for spectrum holders to share and trade spectrum</w:t>
      </w:r>
    </w:p>
    <w:p w14:paraId="671AC333" w14:textId="77777777" w:rsidR="00F8656F" w:rsidRPr="009D323F" w:rsidRDefault="00F8656F" w:rsidP="00F8656F">
      <w:pPr>
        <w:pStyle w:val="Deptbulletlist1"/>
        <w:numPr>
          <w:ilvl w:val="0"/>
          <w:numId w:val="3"/>
        </w:numPr>
        <w:ind w:left="357" w:hanging="357"/>
        <w:rPr>
          <w:i/>
        </w:rPr>
      </w:pPr>
      <w:r w:rsidRPr="009D323F">
        <w:rPr>
          <w:i/>
        </w:rPr>
        <w:t xml:space="preserve">simplify regulatory structures, streamline regulatory processes and clarify the role </w:t>
      </w:r>
      <w:r w:rsidR="00436797" w:rsidRPr="009D323F">
        <w:rPr>
          <w:i/>
        </w:rPr>
        <w:t xml:space="preserve">of </w:t>
      </w:r>
      <w:r w:rsidRPr="009D323F">
        <w:rPr>
          <w:i/>
        </w:rPr>
        <w:t xml:space="preserve">Government. </w:t>
      </w:r>
    </w:p>
    <w:p w14:paraId="08BF736B" w14:textId="77777777" w:rsidR="00303F88" w:rsidRPr="00303F88" w:rsidRDefault="00303F88" w:rsidP="0089460A">
      <w:pPr>
        <w:pStyle w:val="DeptHeading2"/>
        <w:rPr>
          <w:rFonts w:eastAsia="MS Gothic"/>
          <w:b/>
          <w:i/>
          <w:iCs/>
          <w:color w:val="4F81BD"/>
          <w:sz w:val="24"/>
          <w:szCs w:val="24"/>
        </w:rPr>
      </w:pPr>
      <w:bookmarkStart w:id="34" w:name="_Toc412814540"/>
      <w:bookmarkStart w:id="35" w:name="_Toc413136122"/>
      <w:bookmarkStart w:id="36" w:name="_Toc413139550"/>
      <w:r w:rsidRPr="00303F88">
        <w:rPr>
          <w:rFonts w:eastAsia="MS Gothic"/>
          <w:b/>
          <w:i/>
          <w:iCs/>
          <w:color w:val="4F81BD"/>
          <w:sz w:val="24"/>
          <w:szCs w:val="24"/>
        </w:rPr>
        <w:t>Rationale for reform</w:t>
      </w:r>
      <w:bookmarkEnd w:id="33"/>
      <w:bookmarkEnd w:id="34"/>
      <w:bookmarkEnd w:id="35"/>
      <w:bookmarkEnd w:id="36"/>
    </w:p>
    <w:p w14:paraId="33BB74F6" w14:textId="77777777" w:rsidR="00303F88" w:rsidRDefault="008C7AB6" w:rsidP="00F8656F">
      <w:pPr>
        <w:pStyle w:val="DeptBodytext"/>
      </w:pPr>
      <w:r>
        <w:t>T</w:t>
      </w:r>
      <w:r w:rsidR="00A87D8F">
        <w:t xml:space="preserve">he increasing value of spectrum to the economy and society, rapid </w:t>
      </w:r>
      <w:r w:rsidR="00303F88" w:rsidRPr="007C0FC4">
        <w:t>technological change</w:t>
      </w:r>
      <w:r w:rsidR="00A87D8F">
        <w:t xml:space="preserve"> </w:t>
      </w:r>
      <w:r w:rsidR="00303F88" w:rsidRPr="007C0FC4">
        <w:t>and</w:t>
      </w:r>
      <w:r w:rsidR="00CD4171">
        <w:t xml:space="preserve"> </w:t>
      </w:r>
      <w:r w:rsidR="00303F88" w:rsidRPr="007C0FC4">
        <w:t xml:space="preserve">increasing demand for spectrum are </w:t>
      </w:r>
      <w:r w:rsidR="00F273B4">
        <w:t xml:space="preserve">impacting on the effectiveness of the </w:t>
      </w:r>
      <w:r w:rsidR="00303F88" w:rsidRPr="007C0FC4">
        <w:t xml:space="preserve">existing regulatory </w:t>
      </w:r>
      <w:r w:rsidR="007A5368">
        <w:t>framework</w:t>
      </w:r>
      <w:r w:rsidR="00303F88" w:rsidRPr="007C0FC4">
        <w:t xml:space="preserve">. While the </w:t>
      </w:r>
      <w:r w:rsidR="00892246">
        <w:t xml:space="preserve">Radiocommunications </w:t>
      </w:r>
      <w:r w:rsidR="00303F88" w:rsidRPr="007C0FC4">
        <w:t xml:space="preserve">Act has been able to accommodate these </w:t>
      </w:r>
      <w:r w:rsidR="00F273B4">
        <w:t>development</w:t>
      </w:r>
      <w:r w:rsidR="00F273B4" w:rsidRPr="007C0FC4">
        <w:t xml:space="preserve">s </w:t>
      </w:r>
      <w:r w:rsidR="00303F88" w:rsidRPr="007C0FC4">
        <w:t>to date</w:t>
      </w:r>
      <w:r w:rsidR="003F4F7F">
        <w:t>,</w:t>
      </w:r>
      <w:r w:rsidR="00303F88" w:rsidRPr="007C0FC4">
        <w:t xml:space="preserve"> a </w:t>
      </w:r>
      <w:r w:rsidR="00892246">
        <w:t xml:space="preserve">simpler and </w:t>
      </w:r>
      <w:r w:rsidR="00303F88" w:rsidRPr="007C0FC4">
        <w:t xml:space="preserve">more flexible </w:t>
      </w:r>
      <w:r w:rsidR="007A5368">
        <w:t>framework</w:t>
      </w:r>
      <w:r w:rsidR="00303F88" w:rsidRPr="007C0FC4">
        <w:t xml:space="preserve"> is desirable. In particular the current framework is highly prescriptive about process rather than focussed on outcomes.</w:t>
      </w:r>
    </w:p>
    <w:p w14:paraId="3982D7D6" w14:textId="77777777" w:rsidR="00303F88" w:rsidRPr="00D05DF5" w:rsidRDefault="00303F88" w:rsidP="0089460A">
      <w:pPr>
        <w:pStyle w:val="DeptHeading2"/>
        <w:rPr>
          <w:rFonts w:eastAsia="MS Gothic"/>
          <w:b/>
          <w:i/>
          <w:iCs/>
          <w:color w:val="4F81BD"/>
          <w:sz w:val="24"/>
          <w:szCs w:val="24"/>
        </w:rPr>
      </w:pPr>
      <w:bookmarkStart w:id="37" w:name="_Toc412214221"/>
      <w:bookmarkStart w:id="38" w:name="_Toc412814541"/>
      <w:bookmarkStart w:id="39" w:name="_Toc413136123"/>
      <w:bookmarkStart w:id="40" w:name="_Toc413139551"/>
      <w:r w:rsidRPr="00D05DF5">
        <w:rPr>
          <w:rFonts w:eastAsia="MS Gothic"/>
          <w:b/>
          <w:i/>
          <w:iCs/>
          <w:color w:val="4F81BD"/>
          <w:sz w:val="24"/>
          <w:szCs w:val="24"/>
        </w:rPr>
        <w:t>Proposal</w:t>
      </w:r>
      <w:bookmarkEnd w:id="37"/>
      <w:bookmarkEnd w:id="38"/>
      <w:bookmarkEnd w:id="39"/>
      <w:bookmarkEnd w:id="40"/>
    </w:p>
    <w:p w14:paraId="6B9EF7BE" w14:textId="77777777" w:rsidR="00303F88" w:rsidRDefault="00F273B4" w:rsidP="00F8656F">
      <w:pPr>
        <w:pStyle w:val="DeptBodytext"/>
      </w:pPr>
      <w:r>
        <w:t>Th</w:t>
      </w:r>
      <w:r w:rsidR="00A9245C">
        <w:t>e</w:t>
      </w:r>
      <w:r>
        <w:t xml:space="preserve"> central recommendation of th</w:t>
      </w:r>
      <w:r w:rsidR="00A9245C">
        <w:t xml:space="preserve">is </w:t>
      </w:r>
      <w:r>
        <w:t>review</w:t>
      </w:r>
      <w:r w:rsidR="00A9245C">
        <w:t xml:space="preserve"> is to replace t</w:t>
      </w:r>
      <w:r w:rsidR="00303F88" w:rsidRPr="00D05DF5">
        <w:t>he</w:t>
      </w:r>
      <w:r w:rsidR="00AB6189">
        <w:t xml:space="preserve"> </w:t>
      </w:r>
      <w:r w:rsidR="00AB6189" w:rsidRPr="009D323F">
        <w:t>Radiocommunications Act</w:t>
      </w:r>
      <w:r w:rsidR="00AB6189">
        <w:t xml:space="preserve"> with </w:t>
      </w:r>
      <w:r w:rsidR="00BB3D7A">
        <w:t>a new Act that is</w:t>
      </w:r>
      <w:r w:rsidR="005F3647">
        <w:t xml:space="preserve"> streamlined, consistent and outcomes-focussed. </w:t>
      </w:r>
      <w:r w:rsidR="00A9245C">
        <w:t xml:space="preserve">Reforming the </w:t>
      </w:r>
      <w:r w:rsidR="005F3647">
        <w:t xml:space="preserve">current tripartite licensing </w:t>
      </w:r>
      <w:r w:rsidR="007A5368">
        <w:t>framework</w:t>
      </w:r>
      <w:r w:rsidR="00A9245C">
        <w:t>, in</w:t>
      </w:r>
      <w:r w:rsidR="00303F88" w:rsidRPr="00D05DF5">
        <w:t xml:space="preserve">to a single licensing </w:t>
      </w:r>
      <w:r w:rsidR="00783CCF">
        <w:t xml:space="preserve">system </w:t>
      </w:r>
      <w:r w:rsidR="003F4F7F">
        <w:t>would</w:t>
      </w:r>
      <w:r w:rsidR="007D20E3">
        <w:t xml:space="preserve"> </w:t>
      </w:r>
      <w:r w:rsidR="00A9245C">
        <w:t>support these objectives.</w:t>
      </w:r>
    </w:p>
    <w:p w14:paraId="4C932D68" w14:textId="77777777" w:rsidR="00303F88" w:rsidRDefault="00303F88" w:rsidP="00F8656F">
      <w:pPr>
        <w:pStyle w:val="DeptBodytext"/>
      </w:pPr>
      <w:r w:rsidRPr="00D05DF5">
        <w:t xml:space="preserve">While the current framework is prescriptive about processes, the new Act would focus on the outcomes that should be achieved through spectrum management. </w:t>
      </w:r>
      <w:r w:rsidR="00806B90">
        <w:t>This would give users and the ACMA greater flexibility in deciding how to meet the outcomes and rules set out in legislation. The new Act</w:t>
      </w:r>
      <w:r w:rsidRPr="00D05DF5">
        <w:t xml:space="preserve"> would set out a high level framework with </w:t>
      </w:r>
      <w:r w:rsidR="00F273B4">
        <w:t>operational detail</w:t>
      </w:r>
      <w:r w:rsidR="00F273B4" w:rsidRPr="00D05DF5">
        <w:t xml:space="preserve"> </w:t>
      </w:r>
      <w:r w:rsidRPr="00D05DF5">
        <w:t xml:space="preserve">contained in subordinate regulation. </w:t>
      </w:r>
      <w:r w:rsidR="002B7E5E">
        <w:t xml:space="preserve">Spectrum users and the </w:t>
      </w:r>
      <w:r w:rsidRPr="00D05DF5">
        <w:t xml:space="preserve">ACMA </w:t>
      </w:r>
      <w:r w:rsidR="002B7E5E">
        <w:t>would have</w:t>
      </w:r>
      <w:r w:rsidR="00B755DE">
        <w:t xml:space="preserve"> </w:t>
      </w:r>
      <w:r w:rsidR="00F96988">
        <w:t xml:space="preserve">increased </w:t>
      </w:r>
      <w:r w:rsidRPr="00D05DF5">
        <w:t xml:space="preserve">discretion </w:t>
      </w:r>
      <w:r w:rsidR="00A9245C">
        <w:t>when</w:t>
      </w:r>
      <w:r w:rsidR="00A9245C" w:rsidRPr="00D05DF5">
        <w:t xml:space="preserve"> </w:t>
      </w:r>
      <w:r w:rsidR="00A9245C">
        <w:t xml:space="preserve">operationalising the </w:t>
      </w:r>
      <w:r w:rsidR="007A5368">
        <w:t>framework</w:t>
      </w:r>
      <w:r w:rsidR="00A9245C">
        <w:t xml:space="preserve"> to better meet changing market circumstances</w:t>
      </w:r>
      <w:r w:rsidR="002B7E5E">
        <w:t>, within a framework of legislative objectives and principles and Ministerial policy oversight.</w:t>
      </w:r>
      <w:r w:rsidR="0049779C">
        <w:t xml:space="preserve"> The expectation is that the ACMA woul</w:t>
      </w:r>
      <w:r w:rsidR="00F8656F">
        <w:t>d, in close consultation with stakeholders, develop subordinate regulation</w:t>
      </w:r>
      <w:r w:rsidR="0049779C">
        <w:t xml:space="preserve"> in a way that appropriately limits its proliferation and minimises the regulatory burden.</w:t>
      </w:r>
    </w:p>
    <w:p w14:paraId="4541D283" w14:textId="77777777" w:rsidR="003434E4" w:rsidRDefault="003434E4" w:rsidP="00F8656F">
      <w:pPr>
        <w:pStyle w:val="DeptBodytext"/>
      </w:pPr>
      <w:r>
        <w:t xml:space="preserve">The objects of the Act would be </w:t>
      </w:r>
      <w:r w:rsidR="002B2924">
        <w:t>reviewed</w:t>
      </w:r>
      <w:r>
        <w:t xml:space="preserve"> during </w:t>
      </w:r>
      <w:r w:rsidR="002B2924">
        <w:t>the development of the detailed legislative arrangements</w:t>
      </w:r>
      <w:r>
        <w:t xml:space="preserve"> to make sure they are appropriate for the new framework, including encouraging efficiency</w:t>
      </w:r>
      <w:r w:rsidR="00D54095">
        <w:t>,</w:t>
      </w:r>
      <w:r>
        <w:t xml:space="preserve"> innovation</w:t>
      </w:r>
      <w:r w:rsidR="00D54095">
        <w:t xml:space="preserve"> and certainty of investment</w:t>
      </w:r>
      <w:r>
        <w:t xml:space="preserve"> and ensuring regulation does not overly constrain spectrum use</w:t>
      </w:r>
      <w:r w:rsidR="00DD25CD">
        <w:t xml:space="preserve"> and reuse</w:t>
      </w:r>
      <w:r>
        <w:t xml:space="preserve">. The objective of providing adequate provision for public and community services would be retained. </w:t>
      </w:r>
    </w:p>
    <w:p w14:paraId="0935BC5E" w14:textId="77777777" w:rsidR="006D4574" w:rsidRPr="00D05DF5" w:rsidRDefault="006D4574" w:rsidP="00F8656F">
      <w:pPr>
        <w:pStyle w:val="DeptBodytext"/>
      </w:pPr>
      <w:r>
        <w:t xml:space="preserve">The new Act would also be re-ordered to provide a clear and logical structure that is easier </w:t>
      </w:r>
      <w:r w:rsidR="00F273B4">
        <w:t xml:space="preserve">for spectrum users </w:t>
      </w:r>
      <w:r>
        <w:t>to navigate.</w:t>
      </w:r>
    </w:p>
    <w:p w14:paraId="6D880E47" w14:textId="77777777" w:rsidR="00303F88" w:rsidRDefault="00303F88" w:rsidP="00F8656F">
      <w:pPr>
        <w:pStyle w:val="DeptBodytext"/>
      </w:pPr>
      <w:r w:rsidRPr="00D05DF5">
        <w:lastRenderedPageBreak/>
        <w:t xml:space="preserve">Detail around how this </w:t>
      </w:r>
      <w:r w:rsidR="007A5368">
        <w:t>framework</w:t>
      </w:r>
      <w:r w:rsidRPr="00D05DF5">
        <w:t xml:space="preserve"> would work is set out in the discussion of </w:t>
      </w:r>
      <w:r w:rsidRPr="008657B8">
        <w:t>recommendation</w:t>
      </w:r>
      <w:r w:rsidR="00864DA8" w:rsidRPr="008657B8">
        <w:t>s</w:t>
      </w:r>
      <w:r w:rsidRPr="008657B8">
        <w:t xml:space="preserve"> 1</w:t>
      </w:r>
      <w:r w:rsidR="00946DC7">
        <w:t> </w:t>
      </w:r>
      <w:r w:rsidR="008657B8" w:rsidRPr="008657B8">
        <w:t>(</w:t>
      </w:r>
      <w:r w:rsidRPr="008657B8">
        <w:t>a</w:t>
      </w:r>
      <w:r w:rsidR="008657B8" w:rsidRPr="008657B8">
        <w:t>)–(</w:t>
      </w:r>
      <w:r w:rsidR="00A87D8F">
        <w:t>h</w:t>
      </w:r>
      <w:r w:rsidR="008657B8" w:rsidRPr="008657B8">
        <w:t>)</w:t>
      </w:r>
      <w:r w:rsidR="00946DC7">
        <w:t> </w:t>
      </w:r>
      <w:r w:rsidRPr="00D05DF5">
        <w:t>below.</w:t>
      </w:r>
    </w:p>
    <w:p w14:paraId="1798B979" w14:textId="77777777" w:rsidR="00761BE2" w:rsidRDefault="00761BE2" w:rsidP="00F8656F">
      <w:pPr>
        <w:pStyle w:val="DeptBodytext"/>
      </w:pPr>
    </w:p>
    <w:p w14:paraId="59101E36" w14:textId="77777777" w:rsidR="00761BE2" w:rsidRDefault="00761BE2">
      <w:pPr>
        <w:rPr>
          <w:rFonts w:eastAsia="Times New Roman"/>
        </w:rPr>
      </w:pPr>
      <w:r>
        <w:br w:type="page"/>
      </w:r>
    </w:p>
    <w:p w14:paraId="5A63F3DA" w14:textId="77777777" w:rsidR="00303F88" w:rsidRPr="00303F88" w:rsidRDefault="00303F88" w:rsidP="000D57E8">
      <w:pPr>
        <w:pStyle w:val="DeptHeading2"/>
        <w:numPr>
          <w:ilvl w:val="1"/>
          <w:numId w:val="8"/>
        </w:numPr>
        <w:ind w:left="284" w:hanging="284"/>
        <w:rPr>
          <w:sz w:val="28"/>
          <w:szCs w:val="24"/>
        </w:rPr>
      </w:pPr>
      <w:bookmarkStart w:id="41" w:name="_Toc413139552"/>
      <w:r w:rsidRPr="00303F88">
        <w:rPr>
          <w:sz w:val="28"/>
          <w:szCs w:val="24"/>
        </w:rPr>
        <w:lastRenderedPageBreak/>
        <w:t xml:space="preserve">Recommendation 1(a) </w:t>
      </w:r>
      <w:r>
        <w:rPr>
          <w:sz w:val="28"/>
          <w:szCs w:val="24"/>
        </w:rPr>
        <w:t>–</w:t>
      </w:r>
      <w:r w:rsidRPr="00303F88">
        <w:rPr>
          <w:sz w:val="28"/>
          <w:szCs w:val="24"/>
        </w:rPr>
        <w:t xml:space="preserve"> </w:t>
      </w:r>
      <w:r w:rsidR="00351CCE">
        <w:rPr>
          <w:sz w:val="28"/>
          <w:szCs w:val="24"/>
        </w:rPr>
        <w:t>S</w:t>
      </w:r>
      <w:r>
        <w:rPr>
          <w:sz w:val="28"/>
          <w:szCs w:val="24"/>
        </w:rPr>
        <w:t xml:space="preserve">ingle licensing </w:t>
      </w:r>
      <w:r w:rsidR="00783CCF">
        <w:rPr>
          <w:sz w:val="28"/>
          <w:szCs w:val="24"/>
        </w:rPr>
        <w:t>system</w:t>
      </w:r>
      <w:bookmarkEnd w:id="41"/>
    </w:p>
    <w:p w14:paraId="478EE429" w14:textId="77777777" w:rsidR="00576DB4" w:rsidRPr="00D3598B" w:rsidRDefault="00576DB4" w:rsidP="00576DB4">
      <w:pPr>
        <w:pStyle w:val="Deptbulletlist1"/>
        <w:rPr>
          <w:i/>
        </w:rPr>
      </w:pPr>
      <w:bookmarkStart w:id="42" w:name="_Toc412214223"/>
      <w:r w:rsidRPr="00D3598B">
        <w:rPr>
          <w:i/>
        </w:rPr>
        <w:t>Establishing a single licensing system based around a limited number of parameters of the licence (for example frequency band, geographic area, licence duration</w:t>
      </w:r>
      <w:r w:rsidR="003C33F2">
        <w:rPr>
          <w:i/>
        </w:rPr>
        <w:t xml:space="preserve"> and </w:t>
      </w:r>
      <w:r w:rsidRPr="00D3598B">
        <w:rPr>
          <w:i/>
        </w:rPr>
        <w:t>renewal rights of the licence).</w:t>
      </w:r>
    </w:p>
    <w:p w14:paraId="4FD3DD4C" w14:textId="77777777" w:rsidR="00303F88" w:rsidRPr="00576DB4" w:rsidRDefault="00303F88" w:rsidP="00576DB4">
      <w:pPr>
        <w:pStyle w:val="DeptHeading2"/>
        <w:rPr>
          <w:rFonts w:eastAsia="MS Gothic"/>
          <w:b/>
          <w:i/>
          <w:iCs/>
          <w:color w:val="4F81BD"/>
          <w:sz w:val="24"/>
          <w:szCs w:val="24"/>
        </w:rPr>
      </w:pPr>
      <w:bookmarkStart w:id="43" w:name="_Toc413139553"/>
      <w:r w:rsidRPr="00576DB4">
        <w:rPr>
          <w:rFonts w:eastAsia="MS Gothic"/>
          <w:b/>
          <w:i/>
          <w:iCs/>
          <w:color w:val="4F81BD"/>
          <w:sz w:val="24"/>
          <w:szCs w:val="24"/>
        </w:rPr>
        <w:t>Rationale for reform</w:t>
      </w:r>
      <w:bookmarkEnd w:id="42"/>
      <w:bookmarkEnd w:id="43"/>
    </w:p>
    <w:p w14:paraId="0DDD95BD" w14:textId="77777777" w:rsidR="00303F88" w:rsidRPr="00CE60DA" w:rsidRDefault="00303F88" w:rsidP="00F8656F">
      <w:pPr>
        <w:pStyle w:val="DeptBodytext"/>
      </w:pPr>
      <w:r w:rsidRPr="00CE60DA">
        <w:t xml:space="preserve">The licensing </w:t>
      </w:r>
      <w:r w:rsidR="00783CCF">
        <w:t xml:space="preserve">system </w:t>
      </w:r>
      <w:r w:rsidRPr="00CE60DA">
        <w:t xml:space="preserve">needs to be made simpler and more flexible. The rigid boundaries between the three licence types and the prescriptive rights that apply in the </w:t>
      </w:r>
      <w:r w:rsidR="00FC562A" w:rsidRPr="009D323F">
        <w:t xml:space="preserve">Radiocommunications </w:t>
      </w:r>
      <w:r w:rsidRPr="009D323F">
        <w:t>Act</w:t>
      </w:r>
      <w:r w:rsidRPr="00CE60DA">
        <w:t xml:space="preserve"> have limited the ACMA’s ability to design licences</w:t>
      </w:r>
      <w:r w:rsidR="00F273B4">
        <w:t xml:space="preserve"> that meet users</w:t>
      </w:r>
      <w:r w:rsidR="006D7FAD">
        <w:t>’</w:t>
      </w:r>
      <w:r w:rsidR="00F273B4">
        <w:t xml:space="preserve"> needs. </w:t>
      </w:r>
      <w:r w:rsidR="007E2AC7">
        <w:t xml:space="preserve">Some elements of current licence design, for example the lack of certainty around licence tenure and the limited </w:t>
      </w:r>
      <w:r w:rsidR="008B0DD3">
        <w:t>homogeneity</w:t>
      </w:r>
      <w:r w:rsidR="007E2AC7">
        <w:t xml:space="preserve"> of licences, may act as a barrier to secondary trading. </w:t>
      </w:r>
      <w:r w:rsidRPr="00CE60DA">
        <w:t xml:space="preserve">The </w:t>
      </w:r>
      <w:r w:rsidR="00B86323" w:rsidRPr="009D323F">
        <w:t xml:space="preserve">Radiocommunications </w:t>
      </w:r>
      <w:r w:rsidRPr="009D323F">
        <w:t>Act</w:t>
      </w:r>
      <w:r w:rsidRPr="00CE60DA">
        <w:t xml:space="preserve"> contains over 18</w:t>
      </w:r>
      <w:r w:rsidR="00B86323">
        <w:t>0</w:t>
      </w:r>
      <w:r w:rsidRPr="00CE60DA">
        <w:t xml:space="preserve"> pages of rules relating to the three licence </w:t>
      </w:r>
      <w:r w:rsidR="000B5D3F">
        <w:t>type</w:t>
      </w:r>
      <w:r w:rsidR="000B5D3F" w:rsidRPr="00CE60DA">
        <w:t>s</w:t>
      </w:r>
      <w:r w:rsidRPr="00CE60DA">
        <w:t xml:space="preserve">. Conversion and/or reallocation from apparatus to spectrum licences are complicated and lengthy processes. </w:t>
      </w:r>
      <w:r w:rsidR="007C4677">
        <w:t>The rights granted under licenses vary considerably</w:t>
      </w:r>
      <w:r w:rsidRPr="00CE60DA">
        <w:t xml:space="preserve"> depending on whether an apparatus or spectrum licence has been issued, yet often the use and geographical areas that apply to the licence are the same. </w:t>
      </w:r>
    </w:p>
    <w:p w14:paraId="08C62112" w14:textId="77777777" w:rsidR="00303F88" w:rsidRPr="00CE60DA" w:rsidRDefault="00303F88" w:rsidP="00F8656F">
      <w:pPr>
        <w:pStyle w:val="DeptBodytext"/>
      </w:pPr>
      <w:r w:rsidRPr="00CE60DA">
        <w:t xml:space="preserve">A </w:t>
      </w:r>
      <w:r w:rsidR="002B2924">
        <w:t>reformed</w:t>
      </w:r>
      <w:r w:rsidRPr="00CE60DA">
        <w:t xml:space="preserve"> licensing </w:t>
      </w:r>
      <w:r w:rsidR="00783CCF">
        <w:t>system</w:t>
      </w:r>
      <w:r w:rsidRPr="00CE60DA">
        <w:t xml:space="preserve"> would </w:t>
      </w:r>
      <w:r w:rsidR="002B2924">
        <w:t xml:space="preserve">better position users to </w:t>
      </w:r>
      <w:r w:rsidR="00DB27C3">
        <w:t>interact</w:t>
      </w:r>
      <w:r w:rsidR="002B2924">
        <w:t xml:space="preserve"> early and constructively with the ACMA to </w:t>
      </w:r>
      <w:r w:rsidRPr="00CE60DA">
        <w:t>configure licences t</w:t>
      </w:r>
      <w:r w:rsidR="002B2924">
        <w:t xml:space="preserve">hat can </w:t>
      </w:r>
      <w:r w:rsidRPr="00CE60DA">
        <w:t>accommodate changes in technology</w:t>
      </w:r>
      <w:r w:rsidR="002B2924">
        <w:t xml:space="preserve"> and</w:t>
      </w:r>
      <w:r w:rsidRPr="00CE60DA">
        <w:t xml:space="preserve"> improve the</w:t>
      </w:r>
      <w:r w:rsidR="002B2924">
        <w:t>ir</w:t>
      </w:r>
      <w:r w:rsidRPr="00CE60DA">
        <w:t xml:space="preserve"> capacity </w:t>
      </w:r>
      <w:r w:rsidR="002B2924">
        <w:t>to</w:t>
      </w:r>
      <w:r w:rsidRPr="00CE60DA">
        <w:t xml:space="preserve"> </w:t>
      </w:r>
      <w:r w:rsidR="00DB27C3">
        <w:t xml:space="preserve">engage in </w:t>
      </w:r>
      <w:r w:rsidRPr="00CE60DA">
        <w:t xml:space="preserve">secondary trading. It </w:t>
      </w:r>
      <w:r w:rsidR="00803C25">
        <w:t>w</w:t>
      </w:r>
      <w:r w:rsidR="00803C25" w:rsidRPr="00CE60DA">
        <w:t xml:space="preserve">ould </w:t>
      </w:r>
      <w:r w:rsidRPr="00CE60DA">
        <w:t xml:space="preserve">also provide licensees with greater clarity as licence </w:t>
      </w:r>
      <w:r w:rsidR="00DB27C3">
        <w:t>parameters</w:t>
      </w:r>
      <w:r w:rsidRPr="00CE60DA">
        <w:t xml:space="preserve"> and rights would predominantly be provided for within a licence</w:t>
      </w:r>
      <w:r w:rsidR="00803C25">
        <w:t>,</w:t>
      </w:r>
      <w:r w:rsidRPr="00CE60DA">
        <w:t xml:space="preserve"> rather than mostly residing in</w:t>
      </w:r>
      <w:r w:rsidR="00DB27C3">
        <w:t xml:space="preserve"> different parts of</w:t>
      </w:r>
      <w:r w:rsidRPr="00CE60DA">
        <w:t xml:space="preserve"> the </w:t>
      </w:r>
      <w:r w:rsidR="00B86323">
        <w:t xml:space="preserve">Radiocommunications </w:t>
      </w:r>
      <w:r w:rsidRPr="00CE60DA">
        <w:t xml:space="preserve">Act. </w:t>
      </w:r>
    </w:p>
    <w:p w14:paraId="33EF65DD" w14:textId="77777777" w:rsidR="00303F88" w:rsidRPr="00CE60DA" w:rsidRDefault="00303F88" w:rsidP="00F8656F">
      <w:pPr>
        <w:pStyle w:val="DeptBodytext"/>
      </w:pPr>
      <w:r w:rsidRPr="00CE60DA">
        <w:t xml:space="preserve">This is one of the key deregulatory reform proposals. It would simplify the licensing </w:t>
      </w:r>
      <w:r w:rsidR="00783CCF">
        <w:t>system</w:t>
      </w:r>
      <w:r w:rsidRPr="00CE60DA">
        <w:t xml:space="preserve">, reducing the number of licence </w:t>
      </w:r>
      <w:r w:rsidR="00795CC6">
        <w:t>types</w:t>
      </w:r>
      <w:r w:rsidR="00795CC6" w:rsidRPr="00CE60DA">
        <w:t xml:space="preserve"> </w:t>
      </w:r>
      <w:r w:rsidRPr="00CE60DA">
        <w:t>and associated subordin</w:t>
      </w:r>
      <w:r w:rsidR="00AF3ECD">
        <w:t>ate instruments.</w:t>
      </w:r>
    </w:p>
    <w:p w14:paraId="02239D37" w14:textId="77777777" w:rsidR="00303F88" w:rsidRPr="00303F88" w:rsidRDefault="0042756B" w:rsidP="0089460A">
      <w:pPr>
        <w:pStyle w:val="DeptHeading2"/>
        <w:rPr>
          <w:rFonts w:eastAsia="MS Gothic"/>
          <w:b/>
          <w:i/>
          <w:iCs/>
          <w:color w:val="4F81BD"/>
          <w:sz w:val="24"/>
          <w:szCs w:val="24"/>
        </w:rPr>
      </w:pPr>
      <w:bookmarkStart w:id="44" w:name="_Toc412214224"/>
      <w:bookmarkStart w:id="45" w:name="_Toc412814543"/>
      <w:bookmarkStart w:id="46" w:name="_Toc413136125"/>
      <w:bookmarkStart w:id="47" w:name="_Toc413139554"/>
      <w:r>
        <w:rPr>
          <w:rFonts w:eastAsia="MS Gothic"/>
          <w:b/>
          <w:i/>
          <w:iCs/>
          <w:color w:val="4F81BD"/>
          <w:sz w:val="24"/>
          <w:szCs w:val="24"/>
        </w:rPr>
        <w:t>P</w:t>
      </w:r>
      <w:r w:rsidR="00303F88" w:rsidRPr="00303F88">
        <w:rPr>
          <w:rFonts w:eastAsia="MS Gothic"/>
          <w:b/>
          <w:i/>
          <w:iCs/>
          <w:color w:val="4F81BD"/>
          <w:sz w:val="24"/>
          <w:szCs w:val="24"/>
        </w:rPr>
        <w:t>roposal</w:t>
      </w:r>
      <w:bookmarkEnd w:id="44"/>
      <w:bookmarkEnd w:id="45"/>
      <w:bookmarkEnd w:id="46"/>
      <w:bookmarkEnd w:id="47"/>
    </w:p>
    <w:p w14:paraId="2B52F6DC" w14:textId="77777777" w:rsidR="00114662" w:rsidRDefault="00303F88" w:rsidP="00F8656F">
      <w:pPr>
        <w:pStyle w:val="DeptBodytext"/>
      </w:pPr>
      <w:r w:rsidRPr="00CE60DA">
        <w:t>Th</w:t>
      </w:r>
      <w:r w:rsidR="00623415">
        <w:t xml:space="preserve">is </w:t>
      </w:r>
      <w:r w:rsidR="00B90906">
        <w:t xml:space="preserve">reform would be the </w:t>
      </w:r>
      <w:r w:rsidR="00623415">
        <w:t>centr</w:t>
      </w:r>
      <w:r w:rsidR="00697497">
        <w:t>e</w:t>
      </w:r>
      <w:r w:rsidR="00623415">
        <w:t xml:space="preserve">piece of a </w:t>
      </w:r>
      <w:r w:rsidR="00B90906">
        <w:t>new</w:t>
      </w:r>
      <w:r w:rsidR="00623415">
        <w:t xml:space="preserve"> </w:t>
      </w:r>
      <w:r w:rsidR="00686A7F">
        <w:t xml:space="preserve">spectrum management </w:t>
      </w:r>
      <w:r w:rsidR="007A5368">
        <w:t>framework</w:t>
      </w:r>
      <w:r w:rsidR="00623415">
        <w:t>. The</w:t>
      </w:r>
      <w:r w:rsidRPr="00CE60DA">
        <w:t xml:space="preserve"> intention is to establish a single licensing </w:t>
      </w:r>
      <w:r w:rsidR="00783CCF">
        <w:t>system</w:t>
      </w:r>
      <w:r w:rsidRPr="00CE60DA">
        <w:t xml:space="preserve"> to replace the current tripartite licensing </w:t>
      </w:r>
      <w:r w:rsidR="00783CCF">
        <w:t>system</w:t>
      </w:r>
      <w:r w:rsidRPr="00CE60DA">
        <w:t xml:space="preserve">. The primary legislation would prescribe core </w:t>
      </w:r>
      <w:r w:rsidR="00BB2CCB">
        <w:t>parameters</w:t>
      </w:r>
      <w:r w:rsidR="00BB2CCB" w:rsidRPr="00CE60DA">
        <w:t xml:space="preserve"> </w:t>
      </w:r>
      <w:r w:rsidRPr="00CE60DA">
        <w:t>which must be included in a licence but enable the detail regarding the</w:t>
      </w:r>
      <w:r w:rsidR="00BB2CCB">
        <w:t>se parameters</w:t>
      </w:r>
      <w:r w:rsidRPr="00CE60DA">
        <w:t xml:space="preserve"> to be developed by the ACMA</w:t>
      </w:r>
      <w:r w:rsidR="008E073C">
        <w:t xml:space="preserve"> in consultation with users, and set out</w:t>
      </w:r>
      <w:r w:rsidRPr="00CE60DA">
        <w:t xml:space="preserve"> in subordinate instruments. </w:t>
      </w:r>
    </w:p>
    <w:p w14:paraId="28D53263" w14:textId="77777777" w:rsidR="001156E9" w:rsidRDefault="00303F88" w:rsidP="00F8656F">
      <w:pPr>
        <w:pStyle w:val="DeptBodytext"/>
      </w:pPr>
      <w:r w:rsidRPr="00CE60DA">
        <w:t xml:space="preserve">The Minister would </w:t>
      </w:r>
      <w:r w:rsidR="00973802">
        <w:t>have a</w:t>
      </w:r>
      <w:r w:rsidR="008E073C">
        <w:t xml:space="preserve"> direction and </w:t>
      </w:r>
      <w:r w:rsidRPr="00CE60DA">
        <w:t xml:space="preserve">oversight </w:t>
      </w:r>
      <w:r w:rsidR="00973802">
        <w:t xml:space="preserve">role, implemented </w:t>
      </w:r>
      <w:r w:rsidRPr="00CE60DA">
        <w:t>through policy statements and directions power</w:t>
      </w:r>
      <w:r w:rsidR="00864DA8">
        <w:t>s as set out in recommendation</w:t>
      </w:r>
      <w:r w:rsidR="00946DC7">
        <w:t> </w:t>
      </w:r>
      <w:r w:rsidR="00864DA8">
        <w:t>1</w:t>
      </w:r>
      <w:r w:rsidR="00946DC7">
        <w:t> </w:t>
      </w:r>
      <w:r w:rsidR="00864DA8">
        <w:t>(</w:t>
      </w:r>
      <w:r w:rsidR="00DA7980">
        <w:t>c</w:t>
      </w:r>
      <w:r w:rsidR="00864DA8">
        <w:t>)</w:t>
      </w:r>
      <w:r w:rsidRPr="00CE60DA">
        <w:t xml:space="preserve">. </w:t>
      </w:r>
      <w:r w:rsidR="00114662">
        <w:t>The expectation is that the Minister would issue a policy statement to guide development of the new licensing system, including principles for the ACMA to follow in setting up the licensing system and the approach to renewal of licences.</w:t>
      </w:r>
    </w:p>
    <w:p w14:paraId="15FACFFE" w14:textId="77777777" w:rsidR="00303F88" w:rsidRPr="00CE60DA" w:rsidRDefault="00303F88" w:rsidP="00F8656F">
      <w:pPr>
        <w:pStyle w:val="DeptBodytext"/>
      </w:pPr>
      <w:r w:rsidRPr="00CE60DA">
        <w:t xml:space="preserve">Likely core </w:t>
      </w:r>
      <w:r w:rsidR="00BB2CCB">
        <w:t>parameters</w:t>
      </w:r>
      <w:r w:rsidR="00BB2CCB" w:rsidRPr="00CE60DA">
        <w:t xml:space="preserve"> </w:t>
      </w:r>
      <w:r w:rsidRPr="00CE60DA">
        <w:t>would include:</w:t>
      </w:r>
    </w:p>
    <w:p w14:paraId="5209F673" w14:textId="77777777" w:rsidR="00DB27C3" w:rsidRDefault="00DB27C3" w:rsidP="00303F88">
      <w:pPr>
        <w:pStyle w:val="Deptbulletlist1"/>
        <w:numPr>
          <w:ilvl w:val="0"/>
          <w:numId w:val="3"/>
        </w:numPr>
        <w:ind w:left="357" w:hanging="357"/>
      </w:pPr>
      <w:r>
        <w:t>f</w:t>
      </w:r>
      <w:r w:rsidR="00303F88" w:rsidRPr="00CE60DA">
        <w:t>requency</w:t>
      </w:r>
    </w:p>
    <w:p w14:paraId="634075F0" w14:textId="77777777" w:rsidR="00303F88" w:rsidRPr="00CE60DA" w:rsidRDefault="00303F88" w:rsidP="00303F88">
      <w:pPr>
        <w:pStyle w:val="Deptbulletlist1"/>
        <w:numPr>
          <w:ilvl w:val="0"/>
          <w:numId w:val="3"/>
        </w:numPr>
        <w:ind w:left="357" w:hanging="357"/>
      </w:pPr>
      <w:r w:rsidRPr="00CE60DA">
        <w:t xml:space="preserve">geographic location </w:t>
      </w:r>
    </w:p>
    <w:p w14:paraId="3AF96210" w14:textId="77777777" w:rsidR="00303F88" w:rsidRPr="00CE60DA" w:rsidRDefault="00303F88" w:rsidP="00303F88">
      <w:pPr>
        <w:pStyle w:val="Deptbulletlist1"/>
        <w:numPr>
          <w:ilvl w:val="0"/>
          <w:numId w:val="3"/>
        </w:numPr>
        <w:ind w:left="357" w:hanging="357"/>
      </w:pPr>
      <w:r w:rsidRPr="00CE60DA">
        <w:lastRenderedPageBreak/>
        <w:t xml:space="preserve">duration </w:t>
      </w:r>
    </w:p>
    <w:p w14:paraId="0C33CC8B" w14:textId="77777777" w:rsidR="00303F88" w:rsidRPr="00CE60DA" w:rsidRDefault="00303F88" w:rsidP="00303F88">
      <w:pPr>
        <w:pStyle w:val="Deptbulletlist1"/>
        <w:numPr>
          <w:ilvl w:val="0"/>
          <w:numId w:val="3"/>
        </w:numPr>
        <w:ind w:left="357" w:hanging="357"/>
      </w:pPr>
      <w:r w:rsidRPr="00CE60DA">
        <w:t xml:space="preserve">whether the licence is subject to renewal, and conditions when </w:t>
      </w:r>
      <w:r w:rsidR="002E5C4D">
        <w:t xml:space="preserve">the </w:t>
      </w:r>
      <w:r w:rsidRPr="00CE60DA">
        <w:t>ACMA would not renew</w:t>
      </w:r>
    </w:p>
    <w:p w14:paraId="3A3AA3F9" w14:textId="77777777" w:rsidR="00303F88" w:rsidRPr="00CE60DA" w:rsidRDefault="00303F88" w:rsidP="00303F88">
      <w:pPr>
        <w:pStyle w:val="Deptbulletlist1"/>
        <w:numPr>
          <w:ilvl w:val="0"/>
          <w:numId w:val="3"/>
        </w:numPr>
        <w:ind w:left="357" w:hanging="357"/>
      </w:pPr>
      <w:r w:rsidRPr="00CE60DA">
        <w:t>terms for varying and / or revoking licences</w:t>
      </w:r>
    </w:p>
    <w:p w14:paraId="76B15920" w14:textId="77777777" w:rsidR="00303F88" w:rsidRPr="00CE60DA" w:rsidRDefault="00303F88" w:rsidP="00303F88">
      <w:pPr>
        <w:pStyle w:val="Deptbulletlist1"/>
        <w:numPr>
          <w:ilvl w:val="0"/>
          <w:numId w:val="3"/>
        </w:numPr>
        <w:ind w:left="357" w:hanging="357"/>
      </w:pPr>
      <w:r w:rsidRPr="00CE60DA">
        <w:t>payment</w:t>
      </w:r>
      <w:r w:rsidR="008E073C">
        <w:t xml:space="preserve"> mechanism and amount</w:t>
      </w:r>
      <w:r w:rsidR="00946DC7">
        <w:t>.</w:t>
      </w:r>
    </w:p>
    <w:p w14:paraId="0CB52062" w14:textId="77777777" w:rsidR="001156E9" w:rsidRDefault="00303F88" w:rsidP="00F8656F">
      <w:pPr>
        <w:pStyle w:val="DeptBodytext"/>
      </w:pPr>
      <w:r w:rsidRPr="00CE60DA">
        <w:t xml:space="preserve">The </w:t>
      </w:r>
      <w:r w:rsidR="005C768E">
        <w:t xml:space="preserve">Department’s </w:t>
      </w:r>
      <w:r w:rsidRPr="00CE60DA">
        <w:t xml:space="preserve">preferred approach is to minimise the list of core </w:t>
      </w:r>
      <w:r w:rsidR="00BB2CCB">
        <w:t>element</w:t>
      </w:r>
      <w:r w:rsidR="00BB2CCB" w:rsidRPr="00CE60DA">
        <w:t xml:space="preserve">s </w:t>
      </w:r>
      <w:r w:rsidR="00973802">
        <w:t xml:space="preserve">and </w:t>
      </w:r>
      <w:r w:rsidRPr="00CE60DA">
        <w:t xml:space="preserve">not unduly restrict the capacity of the ACMA to tailor arrangements to best suit different </w:t>
      </w:r>
      <w:r w:rsidR="00DB27C3">
        <w:t>users</w:t>
      </w:r>
      <w:r w:rsidRPr="00CE60DA">
        <w:t>. As with the cu</w:t>
      </w:r>
      <w:r w:rsidR="00972F6F">
        <w:t xml:space="preserve">rrent </w:t>
      </w:r>
      <w:r w:rsidR="007A5368">
        <w:t>arrangements</w:t>
      </w:r>
      <w:r w:rsidR="00972F6F">
        <w:t xml:space="preserve">, the ACMA would </w:t>
      </w:r>
      <w:r w:rsidRPr="00CE60DA">
        <w:t xml:space="preserve">retain the ability to include other </w:t>
      </w:r>
      <w:r w:rsidR="00BB2CCB">
        <w:t xml:space="preserve">parameters and </w:t>
      </w:r>
      <w:r w:rsidRPr="00CE60DA">
        <w:t xml:space="preserve">conditions </w:t>
      </w:r>
      <w:r w:rsidR="00DB27C3">
        <w:t>consistent with the Minister’s overarching policy direction</w:t>
      </w:r>
      <w:r w:rsidR="006F1A3B">
        <w:t>, fo</w:t>
      </w:r>
      <w:r w:rsidRPr="00CE60DA">
        <w:t>r example</w:t>
      </w:r>
      <w:r w:rsidR="006F1A3B">
        <w:t>,</w:t>
      </w:r>
      <w:r w:rsidRPr="00CE60DA">
        <w:t xml:space="preserve"> </w:t>
      </w:r>
      <w:r w:rsidR="00BB2CCB">
        <w:t>those</w:t>
      </w:r>
      <w:r w:rsidR="00BB2CCB" w:rsidRPr="00CE60DA">
        <w:t xml:space="preserve"> </w:t>
      </w:r>
      <w:r w:rsidRPr="00CE60DA">
        <w:t xml:space="preserve">relating to sharing/exclusive use of licences, third party use and registration of devices. </w:t>
      </w:r>
    </w:p>
    <w:p w14:paraId="1BA7F78A" w14:textId="77777777" w:rsidR="00303F88" w:rsidRPr="00CE60DA" w:rsidRDefault="00303F88" w:rsidP="00F8656F">
      <w:pPr>
        <w:pStyle w:val="DeptBodytext"/>
      </w:pPr>
      <w:r w:rsidRPr="00CE60DA">
        <w:t xml:space="preserve">It is anticipated that the </w:t>
      </w:r>
      <w:r w:rsidR="006F1A3B">
        <w:t xml:space="preserve">ACMA would develop a number of standard </w:t>
      </w:r>
      <w:r w:rsidRPr="00CE60DA">
        <w:t>licence options with standard parameters.</w:t>
      </w:r>
      <w:r w:rsidR="004A7AB7">
        <w:t xml:space="preserve"> These would likely include options </w:t>
      </w:r>
      <w:r w:rsidR="00973802">
        <w:t xml:space="preserve">broadly </w:t>
      </w:r>
      <w:r w:rsidR="004A7AB7">
        <w:t>equivalent to the licence types in the current legislation.</w:t>
      </w:r>
    </w:p>
    <w:p w14:paraId="15D03BDB" w14:textId="77777777" w:rsidR="00303F88" w:rsidRPr="00CE60DA" w:rsidRDefault="00303F88" w:rsidP="00F8656F">
      <w:pPr>
        <w:pStyle w:val="DeptBodytext"/>
      </w:pPr>
      <w:r w:rsidRPr="00CE60DA">
        <w:t xml:space="preserve">Stakeholders </w:t>
      </w:r>
      <w:r w:rsidR="00442408">
        <w:t xml:space="preserve">want a more flexible </w:t>
      </w:r>
      <w:r w:rsidR="00783CCF">
        <w:t xml:space="preserve">system </w:t>
      </w:r>
      <w:r w:rsidR="00442408">
        <w:t xml:space="preserve">but also want certainty in </w:t>
      </w:r>
      <w:r w:rsidR="006D7FAD">
        <w:t>relation</w:t>
      </w:r>
      <w:r w:rsidR="00442408">
        <w:t xml:space="preserve"> to some rights</w:t>
      </w:r>
      <w:r w:rsidRPr="00CE60DA">
        <w:t>, particularly renewal rights.</w:t>
      </w:r>
      <w:r w:rsidR="00442408">
        <w:t xml:space="preserve"> To balance these needs, the </w:t>
      </w:r>
      <w:r w:rsidR="005C768E">
        <w:t xml:space="preserve">Department’s </w:t>
      </w:r>
      <w:r w:rsidR="00442408">
        <w:t>preferred approach is for the</w:t>
      </w:r>
      <w:r w:rsidR="00196532">
        <w:t xml:space="preserve"> Minister to issue a policy statement </w:t>
      </w:r>
      <w:r w:rsidR="006D7FAD">
        <w:t>providing</w:t>
      </w:r>
      <w:r w:rsidR="00196532">
        <w:t xml:space="preserve"> </w:t>
      </w:r>
      <w:r w:rsidR="006D7FAD">
        <w:t>guidance</w:t>
      </w:r>
      <w:r w:rsidR="00196532">
        <w:t xml:space="preserve"> on renewal. The ACMA would then</w:t>
      </w:r>
      <w:r w:rsidRPr="00CE60DA">
        <w:t xml:space="preserve"> develop a number of re</w:t>
      </w:r>
      <w:r w:rsidR="00442408">
        <w:t xml:space="preserve">newal options, including </w:t>
      </w:r>
      <w:r w:rsidRPr="00CE60DA">
        <w:t xml:space="preserve">renewal </w:t>
      </w:r>
      <w:r w:rsidR="00442408">
        <w:t xml:space="preserve">processes </w:t>
      </w:r>
      <w:r w:rsidRPr="00CE60DA">
        <w:t xml:space="preserve">and </w:t>
      </w:r>
      <w:r w:rsidR="00442408">
        <w:t>methods for determining price</w:t>
      </w:r>
      <w:r w:rsidRPr="00CE60DA">
        <w:t>, and incorporate into the relevant licence the renewal terms mos</w:t>
      </w:r>
      <w:r w:rsidR="005935EC">
        <w:t xml:space="preserve">t suitable </w:t>
      </w:r>
      <w:r w:rsidR="00442408">
        <w:t>for</w:t>
      </w:r>
      <w:r w:rsidR="005935EC">
        <w:t xml:space="preserve"> that licence.</w:t>
      </w:r>
      <w:r w:rsidRPr="00CE60DA">
        <w:t xml:space="preserve"> </w:t>
      </w:r>
    </w:p>
    <w:p w14:paraId="7095086A" w14:textId="77777777" w:rsidR="0052534A" w:rsidRDefault="0052534A" w:rsidP="00F8656F">
      <w:pPr>
        <w:pStyle w:val="DeptBodytext"/>
      </w:pPr>
      <w:r w:rsidRPr="009D323F">
        <w:t>The reform directions paper proposed prescribing in the legislation a maximum licence duration</w:t>
      </w:r>
      <w:r w:rsidR="00684220" w:rsidRPr="009D323F">
        <w:t xml:space="preserve">, and that it </w:t>
      </w:r>
      <w:r w:rsidR="003440A4" w:rsidRPr="009D323F">
        <w:t>be for</w:t>
      </w:r>
      <w:r w:rsidRPr="009D323F">
        <w:t xml:space="preserve"> 15 years. Some stakeholders have advocated for a longer duration or for there to be no cap in the legislation. </w:t>
      </w:r>
      <w:r w:rsidR="00436797" w:rsidRPr="009D323F">
        <w:t xml:space="preserve">This is a difficult issue because whilst there are benefits to extending the maximum term </w:t>
      </w:r>
      <w:r w:rsidR="005B7E17">
        <w:t>(</w:t>
      </w:r>
      <w:r w:rsidR="00436797" w:rsidRPr="009D323F">
        <w:t xml:space="preserve">providing users of spectrum with greater certainty to innovate and invest </w:t>
      </w:r>
      <w:r w:rsidR="005B7E17">
        <w:t>whilst</w:t>
      </w:r>
      <w:r w:rsidR="00436797" w:rsidRPr="009D323F">
        <w:t xml:space="preserve"> supporting the development of secondary markets</w:t>
      </w:r>
      <w:r w:rsidR="005B7E17">
        <w:t>)</w:t>
      </w:r>
      <w:r w:rsidR="00436797" w:rsidRPr="009D323F">
        <w:t>, there are also risks in terms of reducing government flexibility as circumstances change. On balance, t</w:t>
      </w:r>
      <w:r w:rsidRPr="009D323F">
        <w:t>he Department</w:t>
      </w:r>
      <w:r w:rsidR="00436797" w:rsidRPr="009D323F">
        <w:t xml:space="preserve"> suggests that</w:t>
      </w:r>
      <w:r w:rsidR="00684220" w:rsidRPr="009D323F">
        <w:t xml:space="preserve"> </w:t>
      </w:r>
      <w:r w:rsidRPr="009D323F">
        <w:t>the primary legislation</w:t>
      </w:r>
      <w:r w:rsidR="003440A4" w:rsidRPr="009D323F">
        <w:t xml:space="preserve"> should</w:t>
      </w:r>
      <w:r w:rsidRPr="009D323F">
        <w:t xml:space="preserve"> </w:t>
      </w:r>
      <w:r w:rsidR="00684220" w:rsidRPr="009D323F">
        <w:t>continue to</w:t>
      </w:r>
      <w:r w:rsidRPr="009D323F">
        <w:t xml:space="preserve"> specify </w:t>
      </w:r>
      <w:r w:rsidR="00684220" w:rsidRPr="009D323F">
        <w:t>a</w:t>
      </w:r>
      <w:r w:rsidRPr="009D323F">
        <w:t xml:space="preserve"> maximum duration for licenses</w:t>
      </w:r>
      <w:r w:rsidR="00684220" w:rsidRPr="009D323F">
        <w:t xml:space="preserve">, but that </w:t>
      </w:r>
      <w:r w:rsidR="003440A4" w:rsidRPr="009D323F">
        <w:t>the</w:t>
      </w:r>
      <w:r w:rsidR="00684220" w:rsidRPr="009D323F">
        <w:t xml:space="preserve"> duration be extended to 20 years. </w:t>
      </w:r>
    </w:p>
    <w:p w14:paraId="2070ABC4" w14:textId="77777777" w:rsidR="00303F88" w:rsidRPr="00303F88" w:rsidRDefault="00303F88" w:rsidP="0089460A">
      <w:pPr>
        <w:pStyle w:val="DeptHeading5figurestables"/>
      </w:pPr>
      <w:bookmarkStart w:id="48" w:name="_Toc410651750"/>
      <w:r w:rsidRPr="00303F88">
        <w:t xml:space="preserve">Accommodating class licensing in the single licensing </w:t>
      </w:r>
      <w:bookmarkEnd w:id="48"/>
      <w:r w:rsidR="00783CCF">
        <w:t>system</w:t>
      </w:r>
      <w:r w:rsidRPr="00303F88">
        <w:t xml:space="preserve"> </w:t>
      </w:r>
    </w:p>
    <w:p w14:paraId="1D7A4F5A" w14:textId="77777777" w:rsidR="00303F88" w:rsidRPr="00DB4866" w:rsidRDefault="00303F88" w:rsidP="00F8656F">
      <w:pPr>
        <w:pStyle w:val="DeptBodytext"/>
      </w:pPr>
      <w:r w:rsidRPr="00DB4866">
        <w:t xml:space="preserve">There has been some support from stakeholders for keeping class licences separate from the single licensing </w:t>
      </w:r>
      <w:r w:rsidR="00783CCF">
        <w:t>system</w:t>
      </w:r>
      <w:r w:rsidRPr="00DB4866">
        <w:t>, particularly given the limited nature of class licensee rights as compared to those that apply to apparatus or spectrum licences.</w:t>
      </w:r>
    </w:p>
    <w:p w14:paraId="7842FEAB" w14:textId="77777777" w:rsidR="00303F88" w:rsidRPr="00DB4866" w:rsidRDefault="00303F88" w:rsidP="00C16774">
      <w:pPr>
        <w:pStyle w:val="DeptBodytext"/>
        <w:spacing w:after="120"/>
      </w:pPr>
      <w:r w:rsidRPr="00DB4866">
        <w:t xml:space="preserve">The </w:t>
      </w:r>
      <w:r w:rsidR="00196532">
        <w:t>following options have been</w:t>
      </w:r>
      <w:r w:rsidRPr="00DB4866">
        <w:t xml:space="preserve"> considered</w:t>
      </w:r>
      <w:r w:rsidR="001C7F7D">
        <w:t xml:space="preserve"> in providing for commons use of spectrum under the reformed framework</w:t>
      </w:r>
      <w:r w:rsidRPr="00DB4866">
        <w:t>:</w:t>
      </w:r>
    </w:p>
    <w:p w14:paraId="3D30D132" w14:textId="77777777" w:rsidR="00303F88" w:rsidRPr="00DB4866" w:rsidRDefault="00303F88" w:rsidP="00303F88">
      <w:pPr>
        <w:pStyle w:val="Deptbulletlist1"/>
        <w:numPr>
          <w:ilvl w:val="0"/>
          <w:numId w:val="3"/>
        </w:numPr>
        <w:ind w:left="357" w:hanging="357"/>
      </w:pPr>
      <w:r w:rsidRPr="00DB4866">
        <w:t>merging apparatus and spectrum licences but retaining class licences</w:t>
      </w:r>
      <w:r w:rsidR="006B270B">
        <w:t xml:space="preserve"> as a separate licence category</w:t>
      </w:r>
    </w:p>
    <w:p w14:paraId="14D6345F" w14:textId="77777777" w:rsidR="00303F88" w:rsidRPr="00DB4866" w:rsidRDefault="00303F88" w:rsidP="00303F88">
      <w:pPr>
        <w:pStyle w:val="Deptbulletlist1"/>
        <w:numPr>
          <w:ilvl w:val="0"/>
          <w:numId w:val="3"/>
        </w:numPr>
        <w:ind w:left="357" w:hanging="357"/>
      </w:pPr>
      <w:r w:rsidRPr="00DB4866">
        <w:t xml:space="preserve">excluding class licences from the single licensing </w:t>
      </w:r>
      <w:r w:rsidR="00783CCF">
        <w:t>system</w:t>
      </w:r>
      <w:r w:rsidRPr="00DB4866">
        <w:t xml:space="preserve"> but providing for unlicensed </w:t>
      </w:r>
      <w:r w:rsidR="001C7F7D">
        <w:t>spectrum use</w:t>
      </w:r>
      <w:r w:rsidR="001C7F7D" w:rsidRPr="00DB4866">
        <w:t xml:space="preserve"> </w:t>
      </w:r>
      <w:r w:rsidRPr="00DB4866">
        <w:t>– this would be used to accommodate low power or localised applications that require less protection or over</w:t>
      </w:r>
      <w:r w:rsidR="006B270B">
        <w:t>sight</w:t>
      </w:r>
    </w:p>
    <w:p w14:paraId="78A3E5BE" w14:textId="77777777" w:rsidR="00303F88" w:rsidRPr="00DB4866" w:rsidRDefault="00303F88" w:rsidP="00303F88">
      <w:pPr>
        <w:pStyle w:val="Deptbulletlist1"/>
        <w:numPr>
          <w:ilvl w:val="0"/>
          <w:numId w:val="3"/>
        </w:numPr>
        <w:ind w:left="357" w:hanging="357"/>
      </w:pPr>
      <w:r w:rsidRPr="00DB4866">
        <w:lastRenderedPageBreak/>
        <w:t xml:space="preserve">incorporating class licences </w:t>
      </w:r>
      <w:r w:rsidR="004B0112">
        <w:t xml:space="preserve">fully </w:t>
      </w:r>
      <w:r w:rsidRPr="00DB4866">
        <w:t xml:space="preserve">into the single licensing </w:t>
      </w:r>
      <w:r w:rsidR="00783CCF">
        <w:t>system</w:t>
      </w:r>
      <w:r w:rsidR="00AF3ECD">
        <w:t>.</w:t>
      </w:r>
    </w:p>
    <w:p w14:paraId="42B1A3EF" w14:textId="77777777" w:rsidR="00561EA1" w:rsidRDefault="00561EA1" w:rsidP="00F8656F">
      <w:pPr>
        <w:pStyle w:val="DeptBodytext"/>
      </w:pPr>
      <w:r>
        <w:t>A commons form of regulated use of spectrum exists in most international spectrum management frameworks</w:t>
      </w:r>
      <w:r w:rsidR="00737E76">
        <w:t xml:space="preserve"> and should continue to be provided in Australia</w:t>
      </w:r>
      <w:r w:rsidR="001C7F7D">
        <w:t xml:space="preserve">. </w:t>
      </w:r>
      <w:r w:rsidR="00B63C00">
        <w:t xml:space="preserve">This </w:t>
      </w:r>
      <w:r w:rsidR="001C7F7D">
        <w:t>allows</w:t>
      </w:r>
      <w:r>
        <w:t xml:space="preserve"> operation of certain services and devices using common frequencies</w:t>
      </w:r>
      <w:r w:rsidR="001C7F7D">
        <w:t xml:space="preserve"> </w:t>
      </w:r>
      <w:r>
        <w:t xml:space="preserve">on a shared basis </w:t>
      </w:r>
      <w:r w:rsidR="001C7F7D">
        <w:t>with</w:t>
      </w:r>
      <w:r>
        <w:t xml:space="preserve"> no right to interference protection. Rules for the use of commons spectrum are required to manage the risk of interference (and so not diminish the rights of other users) and address health related concerns arising from electromagnetic emissions. </w:t>
      </w:r>
      <w:r w:rsidR="00B63C00">
        <w:t>U</w:t>
      </w:r>
      <w:r>
        <w:t xml:space="preserve">nlicensed or licence-exempt </w:t>
      </w:r>
      <w:r w:rsidR="001C7F7D">
        <w:t>spectrum use</w:t>
      </w:r>
      <w:r>
        <w:t xml:space="preserve"> does not equate to it being unregulated.</w:t>
      </w:r>
    </w:p>
    <w:p w14:paraId="33EACFAE" w14:textId="77777777" w:rsidR="00561EA1" w:rsidRDefault="00561EA1" w:rsidP="00F8656F">
      <w:pPr>
        <w:pStyle w:val="DeptBodytext"/>
      </w:pPr>
      <w:r>
        <w:t xml:space="preserve">Consistent with current class licensing </w:t>
      </w:r>
      <w:r w:rsidR="001C7F7D">
        <w:t>arrangements</w:t>
      </w:r>
      <w:r>
        <w:t xml:space="preserve"> and other international framewor</w:t>
      </w:r>
      <w:r w:rsidR="00B63C00">
        <w:t xml:space="preserve">ks, the Department proposes that </w:t>
      </w:r>
      <w:r>
        <w:t>the rules regarding c</w:t>
      </w:r>
      <w:r w:rsidR="00B63C00">
        <w:t xml:space="preserve">ommons use of spectrum </w:t>
      </w:r>
      <w:r>
        <w:t xml:space="preserve">be specified in subordinate legislation rather than through primary legislation. </w:t>
      </w:r>
      <w:r w:rsidR="00504547">
        <w:t xml:space="preserve">The question to be examined during the course of developing the new Act is whether it is best to incorporate commons regulation through </w:t>
      </w:r>
      <w:r w:rsidR="001C7F7D">
        <w:t>licensing</w:t>
      </w:r>
      <w:r w:rsidR="00504547">
        <w:t xml:space="preserve"> or by separate authori</w:t>
      </w:r>
      <w:r w:rsidR="001C7F7D">
        <w:t>s</w:t>
      </w:r>
      <w:r w:rsidR="00504547">
        <w:t xml:space="preserve">ation. Both of these approaches can be accommodated </w:t>
      </w:r>
      <w:r w:rsidR="00853472">
        <w:t>under the umbrella of a</w:t>
      </w:r>
      <w:r w:rsidR="00504547">
        <w:t xml:space="preserve"> single licensing </w:t>
      </w:r>
      <w:r w:rsidR="00853472">
        <w:t>system</w:t>
      </w:r>
      <w:r w:rsidR="00504547">
        <w:t>.</w:t>
      </w:r>
    </w:p>
    <w:p w14:paraId="522E2778" w14:textId="77777777" w:rsidR="00303F88" w:rsidRPr="00303F88" w:rsidRDefault="00303F88" w:rsidP="0089460A">
      <w:pPr>
        <w:pStyle w:val="DeptHeading5figurestables"/>
      </w:pPr>
      <w:r w:rsidRPr="00303F88">
        <w:t>Consolidate pricing and taxation arrangements</w:t>
      </w:r>
    </w:p>
    <w:p w14:paraId="4FACF797" w14:textId="77777777" w:rsidR="00303F88" w:rsidRDefault="00303F88" w:rsidP="00F8656F">
      <w:pPr>
        <w:pStyle w:val="DeptBodytext"/>
      </w:pPr>
      <w:r>
        <w:t xml:space="preserve">The pricing and taxation arrangements for licences would need to be consolidated as part of the move to a single licensing </w:t>
      </w:r>
      <w:r w:rsidR="00783CCF">
        <w:t>system</w:t>
      </w:r>
      <w:r>
        <w:t xml:space="preserve">. </w:t>
      </w:r>
    </w:p>
    <w:p w14:paraId="39A34342" w14:textId="77777777" w:rsidR="00303F88" w:rsidRDefault="00303F88" w:rsidP="00F8656F">
      <w:pPr>
        <w:pStyle w:val="DeptBodytext"/>
      </w:pPr>
      <w:r>
        <w:t xml:space="preserve">The payment structures and taxation arrangements between the licensing </w:t>
      </w:r>
      <w:r w:rsidR="00872877">
        <w:t xml:space="preserve">types </w:t>
      </w:r>
      <w:r>
        <w:t>currently differ. Spectrum licences are subject to cost recovery charges, spectrum access charges and a spectrum licence tax. Apparatus licences have a cost recovery charge plus a licence tax which differs depending on whether it is a receiver or t</w:t>
      </w:r>
      <w:r w:rsidR="008F65B2">
        <w:t xml:space="preserve">ransmitter licence. </w:t>
      </w:r>
      <w:r>
        <w:t xml:space="preserve">These fee arrangements are sourced from five different Acts as well as subordinate </w:t>
      </w:r>
      <w:r w:rsidR="00BD05A7">
        <w:t>regulation</w:t>
      </w:r>
      <w:r>
        <w:t>. Class licences have no fees.</w:t>
      </w:r>
    </w:p>
    <w:p w14:paraId="475807EE" w14:textId="77777777" w:rsidR="00303F88" w:rsidRDefault="00303F88" w:rsidP="00F8656F">
      <w:pPr>
        <w:pStyle w:val="DeptBodytext"/>
      </w:pPr>
      <w:r>
        <w:t xml:space="preserve">It is proposed to retain the current flexibility for the ACMA to set prices, </w:t>
      </w:r>
      <w:r w:rsidR="006D4E38">
        <w:t xml:space="preserve">and the </w:t>
      </w:r>
      <w:r>
        <w:t xml:space="preserve">timing </w:t>
      </w:r>
      <w:r w:rsidR="006D4E38">
        <w:t xml:space="preserve">and structure </w:t>
      </w:r>
      <w:r>
        <w:t>of payments, with the Minister similarly retaining the power to dir</w:t>
      </w:r>
      <w:r w:rsidR="00AF3ECD">
        <w:t>ect the ACMA on these matters.</w:t>
      </w:r>
    </w:p>
    <w:p w14:paraId="1734FDD8" w14:textId="77777777" w:rsidR="00303F88" w:rsidRDefault="00B63C00" w:rsidP="00F8656F">
      <w:pPr>
        <w:pStyle w:val="DeptBodytext"/>
      </w:pPr>
      <w:r>
        <w:t>If the recommendations of this review are accepted then the</w:t>
      </w:r>
      <w:r w:rsidR="00303F88">
        <w:t xml:space="preserve"> intention</w:t>
      </w:r>
      <w:r>
        <w:t xml:space="preserve"> would be to</w:t>
      </w:r>
      <w:r w:rsidR="00303F88">
        <w:t xml:space="preserve"> undertake further work to review pricing arrangements </w:t>
      </w:r>
      <w:r w:rsidR="00520EF7">
        <w:t xml:space="preserve">for spectrum </w:t>
      </w:r>
      <w:r w:rsidR="00303F88">
        <w:t xml:space="preserve">to ensure </w:t>
      </w:r>
      <w:r w:rsidR="00973802">
        <w:t xml:space="preserve">these </w:t>
      </w:r>
      <w:r w:rsidR="00303F88">
        <w:t xml:space="preserve">are suitable for </w:t>
      </w:r>
      <w:r w:rsidR="00FF1920">
        <w:t xml:space="preserve">the </w:t>
      </w:r>
      <w:r w:rsidR="00303F88">
        <w:t xml:space="preserve">new licensing </w:t>
      </w:r>
      <w:r w:rsidR="00520EF7">
        <w:t xml:space="preserve">system </w:t>
      </w:r>
      <w:r>
        <w:t>(see r</w:t>
      </w:r>
      <w:r w:rsidR="008C28C7" w:rsidRPr="004A7AB7">
        <w:t xml:space="preserve">ecommendation </w:t>
      </w:r>
      <w:r w:rsidR="00610D32">
        <w:t>3</w:t>
      </w:r>
      <w:r>
        <w:t>)</w:t>
      </w:r>
      <w:r w:rsidR="00303F88" w:rsidRPr="004A7AB7">
        <w:t>.</w:t>
      </w:r>
    </w:p>
    <w:p w14:paraId="66FB0CC6" w14:textId="77777777" w:rsidR="00A9245C" w:rsidRDefault="00A9245C" w:rsidP="00F8656F">
      <w:pPr>
        <w:pStyle w:val="DeptBodytext"/>
      </w:pPr>
    </w:p>
    <w:p w14:paraId="482608CE" w14:textId="77777777" w:rsidR="00A9245C" w:rsidRDefault="00A9245C">
      <w:pPr>
        <w:rPr>
          <w:rFonts w:eastAsia="Times New Roman"/>
        </w:rPr>
      </w:pPr>
      <w:r>
        <w:br w:type="page"/>
      </w:r>
    </w:p>
    <w:p w14:paraId="762CB0DB" w14:textId="77777777" w:rsidR="00303F88" w:rsidRDefault="00303F88" w:rsidP="000D57E8">
      <w:pPr>
        <w:pStyle w:val="DeptHeading2"/>
        <w:numPr>
          <w:ilvl w:val="1"/>
          <w:numId w:val="8"/>
        </w:numPr>
        <w:ind w:left="284" w:hanging="284"/>
        <w:rPr>
          <w:sz w:val="28"/>
          <w:szCs w:val="24"/>
        </w:rPr>
      </w:pPr>
      <w:bookmarkStart w:id="49" w:name="_Toc413139555"/>
      <w:r>
        <w:rPr>
          <w:sz w:val="28"/>
          <w:szCs w:val="24"/>
        </w:rPr>
        <w:lastRenderedPageBreak/>
        <w:t>Recommendation 1(b</w:t>
      </w:r>
      <w:r w:rsidRPr="00303F88">
        <w:rPr>
          <w:sz w:val="28"/>
          <w:szCs w:val="24"/>
        </w:rPr>
        <w:t xml:space="preserve">) </w:t>
      </w:r>
      <w:r>
        <w:rPr>
          <w:sz w:val="28"/>
          <w:szCs w:val="24"/>
        </w:rPr>
        <w:t>–</w:t>
      </w:r>
      <w:r w:rsidRPr="00303F88">
        <w:rPr>
          <w:sz w:val="28"/>
          <w:szCs w:val="24"/>
        </w:rPr>
        <w:t xml:space="preserve"> </w:t>
      </w:r>
      <w:r w:rsidR="0006557C">
        <w:rPr>
          <w:sz w:val="28"/>
          <w:szCs w:val="24"/>
        </w:rPr>
        <w:t>Integrating management of broadcasting spectrum</w:t>
      </w:r>
      <w:bookmarkEnd w:id="49"/>
    </w:p>
    <w:p w14:paraId="2B89C296" w14:textId="50936127" w:rsidR="00576DB4" w:rsidRPr="00576DB4" w:rsidRDefault="00576DB4" w:rsidP="00576DB4">
      <w:pPr>
        <w:pStyle w:val="Deptbulletlist1"/>
        <w:rPr>
          <w:i/>
        </w:rPr>
      </w:pPr>
      <w:r w:rsidRPr="00D3598B">
        <w:rPr>
          <w:i/>
        </w:rPr>
        <w:t>Integrating the management of broadcasting spectrum, including planning, licensing and pricing into the general spectrum management framework, recognising that the current holders of broadcasting licences</w:t>
      </w:r>
      <w:r w:rsidR="00A548C0">
        <w:rPr>
          <w:i/>
        </w:rPr>
        <w:t xml:space="preserve"> and the national broadcasters</w:t>
      </w:r>
      <w:r w:rsidRPr="00D3598B">
        <w:rPr>
          <w:i/>
        </w:rPr>
        <w:t xml:space="preserve"> would be provided with certainty of access to spectrum</w:t>
      </w:r>
      <w:r w:rsidR="00203832">
        <w:rPr>
          <w:i/>
        </w:rPr>
        <w:t xml:space="preserve"> to deliver broadcasting services</w:t>
      </w:r>
      <w:r w:rsidR="00D3598B">
        <w:t>.</w:t>
      </w:r>
    </w:p>
    <w:p w14:paraId="5EFAC63D" w14:textId="77777777" w:rsidR="00A87D8F" w:rsidRPr="00196ABC" w:rsidRDefault="00A87D8F" w:rsidP="00A87D8F">
      <w:pPr>
        <w:pStyle w:val="DeptHeading2"/>
        <w:rPr>
          <w:rFonts w:eastAsia="MS Gothic"/>
          <w:b/>
          <w:i/>
          <w:iCs/>
          <w:color w:val="4F81BD"/>
          <w:sz w:val="24"/>
          <w:szCs w:val="24"/>
        </w:rPr>
      </w:pPr>
      <w:bookmarkStart w:id="50" w:name="_Toc412214226"/>
      <w:bookmarkStart w:id="51" w:name="_Toc412814545"/>
      <w:bookmarkStart w:id="52" w:name="_Toc413136127"/>
      <w:bookmarkStart w:id="53" w:name="_Toc413139556"/>
      <w:r w:rsidRPr="00196ABC">
        <w:rPr>
          <w:rFonts w:eastAsia="MS Gothic"/>
          <w:b/>
          <w:i/>
          <w:iCs/>
          <w:color w:val="4F81BD"/>
          <w:sz w:val="24"/>
          <w:szCs w:val="24"/>
        </w:rPr>
        <w:t>Rationale for reform</w:t>
      </w:r>
      <w:bookmarkEnd w:id="50"/>
      <w:bookmarkEnd w:id="51"/>
      <w:bookmarkEnd w:id="52"/>
      <w:bookmarkEnd w:id="53"/>
    </w:p>
    <w:p w14:paraId="5593F284" w14:textId="79ED62A8" w:rsidR="00A87D8F" w:rsidRDefault="00A87D8F" w:rsidP="00F8656F">
      <w:pPr>
        <w:pStyle w:val="DeptBodytext"/>
      </w:pPr>
      <w:r>
        <w:t xml:space="preserve">The objective is to provide greater flexibility for broadcasters </w:t>
      </w:r>
      <w:r w:rsidR="007501E2">
        <w:t xml:space="preserve">to manage their </w:t>
      </w:r>
      <w:r w:rsidR="000D0011">
        <w:t xml:space="preserve">services within their </w:t>
      </w:r>
      <w:r w:rsidR="007501E2">
        <w:t>spectrum holdings</w:t>
      </w:r>
      <w:r>
        <w:t xml:space="preserve">, </w:t>
      </w:r>
      <w:r w:rsidR="0061509C">
        <w:t xml:space="preserve">improve </w:t>
      </w:r>
      <w:r w:rsidR="007501E2">
        <w:t>the tradability of spectrum and</w:t>
      </w:r>
      <w:r w:rsidR="0061509C">
        <w:t xml:space="preserve"> to promote</w:t>
      </w:r>
      <w:r w:rsidR="007501E2">
        <w:t xml:space="preserve"> efficiency</w:t>
      </w:r>
      <w:r w:rsidR="0061509C">
        <w:t xml:space="preserve"> and consistency</w:t>
      </w:r>
      <w:r w:rsidR="007501E2">
        <w:t xml:space="preserve"> in spectrum management </w:t>
      </w:r>
      <w:r w:rsidR="00707735">
        <w:t>across different platforms</w:t>
      </w:r>
      <w:r>
        <w:t>.</w:t>
      </w:r>
    </w:p>
    <w:p w14:paraId="27CBA26C" w14:textId="77777777" w:rsidR="00707735" w:rsidRDefault="001D2FDD" w:rsidP="00C90BE4">
      <w:pPr>
        <w:pStyle w:val="DeptBodytext"/>
      </w:pPr>
      <w:r>
        <w:t xml:space="preserve">Historically, </w:t>
      </w:r>
      <w:r w:rsidR="00E446A5">
        <w:t xml:space="preserve">the </w:t>
      </w:r>
      <w:r>
        <w:t xml:space="preserve">planning, allocation, licensing and pricing of broadcasting services band spectrum has been conducted differently from spectrum for other uses. This was put in place to accommodate the unique requirements of broadcasting services, including content and related public interest obligations, </w:t>
      </w:r>
      <w:r w:rsidR="00707735">
        <w:t xml:space="preserve">to manage coverage and reception of services, </w:t>
      </w:r>
      <w:r>
        <w:t xml:space="preserve">and to allow a regulated process to determine the number and characteristics of television and radio services given their unique role in society. </w:t>
      </w:r>
    </w:p>
    <w:p w14:paraId="4A22D55C" w14:textId="7D195966" w:rsidR="00C90BE4" w:rsidRDefault="00203832" w:rsidP="00C90BE4">
      <w:pPr>
        <w:pStyle w:val="DeptBodytext"/>
      </w:pPr>
      <w:r>
        <w:t xml:space="preserve">As identified in the </w:t>
      </w:r>
      <w:r w:rsidR="001D2FDD">
        <w:t>Department</w:t>
      </w:r>
      <w:r>
        <w:t>’s Digital Television Regulation Consultation Paper (January 2015)</w:t>
      </w:r>
      <w:r w:rsidR="001D2FDD">
        <w:t xml:space="preserve"> </w:t>
      </w:r>
      <w:r w:rsidR="00BC499C">
        <w:t>technological developments</w:t>
      </w:r>
      <w:r w:rsidR="0020513D">
        <w:t xml:space="preserve"> and increasing competition for content services will require broadcasters to continue to innovate.  In this environment it is important that broadcasters’ ability to offer new services and manage their costs, through the use of more spectrally efficient technologies and / or shared infrastructure are not constrained. </w:t>
      </w:r>
      <w:r w:rsidR="00BC499C">
        <w:t xml:space="preserve"> </w:t>
      </w:r>
      <w:bookmarkStart w:id="54" w:name="_Toc412214227"/>
      <w:bookmarkStart w:id="55" w:name="_Toc412814546"/>
      <w:bookmarkStart w:id="56" w:name="_Toc413136128"/>
      <w:bookmarkStart w:id="57" w:name="_Toc413139557"/>
    </w:p>
    <w:p w14:paraId="3560193E" w14:textId="77777777" w:rsidR="00C90BE4" w:rsidRDefault="00D52C65" w:rsidP="00C90BE4">
      <w:pPr>
        <w:pStyle w:val="DeptBodytext"/>
        <w:rPr>
          <w:rFonts w:eastAsia="MS Gothic"/>
          <w:b/>
          <w:i/>
          <w:iCs/>
          <w:color w:val="4F81BD"/>
        </w:rPr>
      </w:pPr>
      <w:r>
        <w:rPr>
          <w:rFonts w:eastAsia="MS Gothic"/>
          <w:b/>
          <w:i/>
          <w:iCs/>
          <w:color w:val="4F81BD"/>
        </w:rPr>
        <w:t>P</w:t>
      </w:r>
      <w:r w:rsidRPr="00196ABC">
        <w:rPr>
          <w:rFonts w:eastAsia="MS Gothic"/>
          <w:b/>
          <w:i/>
          <w:iCs/>
          <w:color w:val="4F81BD"/>
        </w:rPr>
        <w:t>roposal</w:t>
      </w:r>
      <w:bookmarkEnd w:id="54"/>
      <w:bookmarkEnd w:id="55"/>
      <w:bookmarkEnd w:id="56"/>
      <w:bookmarkEnd w:id="57"/>
    </w:p>
    <w:p w14:paraId="42B52BCD" w14:textId="5AEF9074" w:rsidR="00C90BE4" w:rsidRDefault="00F94114" w:rsidP="00C90BE4">
      <w:pPr>
        <w:pStyle w:val="DeptBodytext"/>
      </w:pPr>
      <w:r w:rsidRPr="00C90BE4">
        <w:t>It is proposed that over time broadcasters would transition to the new arrangements on the same basis as other apparatus licensees so that the same broad and flexible spectrum processes would be applied to use o</w:t>
      </w:r>
      <w:r w:rsidR="00C90BE4">
        <w:t xml:space="preserve">f broadcasting services bands. </w:t>
      </w:r>
      <w:r w:rsidR="00444293">
        <w:t>U</w:t>
      </w:r>
      <w:r w:rsidRPr="009D323F">
        <w:t>nder a new framework broadcasters would</w:t>
      </w:r>
      <w:r w:rsidR="00444293">
        <w:t xml:space="preserve"> </w:t>
      </w:r>
      <w:r w:rsidRPr="009D323F">
        <w:t xml:space="preserve">have greater opportunity to manage their own </w:t>
      </w:r>
      <w:r w:rsidR="00444293">
        <w:t>service</w:t>
      </w:r>
      <w:r w:rsidRPr="009D323F">
        <w:t xml:space="preserve"> arrangements within their </w:t>
      </w:r>
      <w:r w:rsidR="00707735">
        <w:t>current</w:t>
      </w:r>
      <w:r w:rsidR="00707735" w:rsidRPr="009D323F">
        <w:t xml:space="preserve"> </w:t>
      </w:r>
      <w:r w:rsidRPr="009D323F">
        <w:t>channels, or in collaboration with other broadcasters</w:t>
      </w:r>
      <w:r w:rsidR="00444293">
        <w:t xml:space="preserve"> or providers of content</w:t>
      </w:r>
      <w:r w:rsidR="00444293" w:rsidRPr="003B50F5">
        <w:t>.</w:t>
      </w:r>
      <w:r w:rsidR="0082078E" w:rsidRPr="003B50F5">
        <w:t xml:space="preserve"> Subject to the terms of the licence</w:t>
      </w:r>
      <w:r w:rsidR="00444293" w:rsidRPr="003B50F5">
        <w:t xml:space="preserve"> there </w:t>
      </w:r>
      <w:r w:rsidR="0082078E" w:rsidRPr="003B50F5">
        <w:t>would also</w:t>
      </w:r>
      <w:r w:rsidR="00444293" w:rsidRPr="003B50F5">
        <w:t xml:space="preserve"> be scope </w:t>
      </w:r>
      <w:r w:rsidR="0082078E">
        <w:t>for</w:t>
      </w:r>
      <w:r w:rsidR="00444293">
        <w:t xml:space="preserve"> broadcasters trading spectrum </w:t>
      </w:r>
      <w:r w:rsidR="0082078E">
        <w:t>for alternate uses</w:t>
      </w:r>
      <w:r w:rsidR="00444293">
        <w:t xml:space="preserve">.  </w:t>
      </w:r>
      <w:r w:rsidR="004718C9">
        <w:t>A range of regulatory and other issues associated with these proposals are canvassed in the Digital Television Regulation Consultation Paper.</w:t>
      </w:r>
    </w:p>
    <w:p w14:paraId="3B5E2DDE" w14:textId="35EB8D1E" w:rsidR="00F94114" w:rsidRPr="00F94114" w:rsidRDefault="00C90BE4" w:rsidP="00C90BE4">
      <w:pPr>
        <w:pStyle w:val="DeptBodytext"/>
        <w:rPr>
          <w:b/>
        </w:rPr>
      </w:pPr>
      <w:r>
        <w:t>The</w:t>
      </w:r>
      <w:r w:rsidR="00F94114" w:rsidRPr="009D323F">
        <w:t xml:space="preserve"> transition to any new arrangement would require consideration of a range of policy, regulatory and technical issues</w:t>
      </w:r>
      <w:r w:rsidR="00602051">
        <w:t>, including spectrum pricing and licence tenure</w:t>
      </w:r>
      <w:r w:rsidR="004718C9">
        <w:t>, and the link between spectrum allocation and public interest obligations on broadcasters</w:t>
      </w:r>
      <w:r w:rsidR="00F94114" w:rsidRPr="009D323F">
        <w:t xml:space="preserve">. The allocation of broadcasting and apparatus licences to </w:t>
      </w:r>
      <w:r w:rsidR="00602051">
        <w:t>free</w:t>
      </w:r>
      <w:r w:rsidR="00E446A5">
        <w:t>-</w:t>
      </w:r>
      <w:r w:rsidR="00602051">
        <w:t>to</w:t>
      </w:r>
      <w:r w:rsidR="00E446A5">
        <w:t>-</w:t>
      </w:r>
      <w:r w:rsidR="00602051">
        <w:t xml:space="preserve">air </w:t>
      </w:r>
      <w:r w:rsidR="00F94114" w:rsidRPr="009D323F">
        <w:t xml:space="preserve">broadcasters is currently linked, and technical and interference considerations </w:t>
      </w:r>
      <w:r w:rsidR="00444293">
        <w:t xml:space="preserve">are likely to mean that use of </w:t>
      </w:r>
      <w:r w:rsidR="00F94114" w:rsidRPr="009D323F">
        <w:t xml:space="preserve">any spare spectrum for non-broadcasting purposes </w:t>
      </w:r>
      <w:r w:rsidR="00444293">
        <w:t>would require</w:t>
      </w:r>
      <w:r w:rsidR="00444293" w:rsidRPr="009D323F">
        <w:t xml:space="preserve"> </w:t>
      </w:r>
      <w:r w:rsidR="00F94114" w:rsidRPr="009D323F">
        <w:t xml:space="preserve">substantial replanning. The Government would need to work closely with the broadcasters to manage any transition in a way which is consistent with commitments to ensure that television and </w:t>
      </w:r>
      <w:r w:rsidR="00F94114" w:rsidRPr="009D323F">
        <w:lastRenderedPageBreak/>
        <w:t>radio operators continue to have access to adequate spectrum for their services, and which is cognisant of the need to manage impacts on the public who use broadcasting services.</w:t>
      </w:r>
    </w:p>
    <w:p w14:paraId="271261AF" w14:textId="77777777" w:rsidR="00D36C36" w:rsidRDefault="00F94114" w:rsidP="00AE266B">
      <w:pPr>
        <w:pStyle w:val="DeptHeading5figurestables"/>
        <w:ind w:left="0" w:firstLine="0"/>
        <w:rPr>
          <w:rFonts w:eastAsia="Cambria"/>
          <w:b w:val="0"/>
          <w:color w:val="3B3C3B"/>
        </w:rPr>
      </w:pPr>
      <w:r w:rsidRPr="00F94114">
        <w:rPr>
          <w:rFonts w:eastAsia="Cambria"/>
          <w:b w:val="0"/>
          <w:color w:val="3B3C3B"/>
        </w:rPr>
        <w:t>The pricing arrangements for broadcasters’ spectrum licences would be considered by the Government through the proposed review at recommendation 3 and would also take into account the pricing arrangements that apply to broadcasters’ separate broadcasting service licences.</w:t>
      </w:r>
    </w:p>
    <w:p w14:paraId="073A4DB8" w14:textId="77777777" w:rsidR="00D34B0F" w:rsidRDefault="00D34B0F" w:rsidP="00AE266B">
      <w:pPr>
        <w:pStyle w:val="DeptHeading5figurestables"/>
        <w:ind w:left="0" w:firstLine="0"/>
        <w:rPr>
          <w:rFonts w:eastAsia="Cambria"/>
          <w:b w:val="0"/>
          <w:color w:val="3B3C3B"/>
        </w:rPr>
      </w:pPr>
    </w:p>
    <w:p w14:paraId="62C448D5" w14:textId="77777777" w:rsidR="00A87D8F" w:rsidRDefault="00A87D8F" w:rsidP="00A87D8F">
      <w:pPr>
        <w:pStyle w:val="Deptbulletlist2"/>
        <w:ind w:left="0" w:firstLine="0"/>
        <w:rPr>
          <w:i/>
        </w:rPr>
      </w:pPr>
    </w:p>
    <w:p w14:paraId="1F2B0E0A" w14:textId="77777777" w:rsidR="00A87D8F" w:rsidRPr="00303F88" w:rsidRDefault="008C7AB6" w:rsidP="000D57E8">
      <w:pPr>
        <w:pStyle w:val="DeptHeading2"/>
        <w:numPr>
          <w:ilvl w:val="1"/>
          <w:numId w:val="8"/>
        </w:numPr>
        <w:ind w:left="284" w:hanging="284"/>
        <w:rPr>
          <w:sz w:val="28"/>
          <w:szCs w:val="24"/>
        </w:rPr>
      </w:pPr>
      <w:r>
        <w:rPr>
          <w:sz w:val="28"/>
          <w:szCs w:val="24"/>
        </w:rPr>
        <w:br w:type="column"/>
      </w:r>
      <w:bookmarkStart w:id="58" w:name="_Toc413139558"/>
      <w:r w:rsidR="00A87D8F">
        <w:rPr>
          <w:sz w:val="28"/>
          <w:szCs w:val="24"/>
        </w:rPr>
        <w:lastRenderedPageBreak/>
        <w:t>Recommendation 1(c) – Clarif</w:t>
      </w:r>
      <w:r w:rsidR="00351CCE">
        <w:rPr>
          <w:sz w:val="28"/>
          <w:szCs w:val="24"/>
        </w:rPr>
        <w:t>ied</w:t>
      </w:r>
      <w:r w:rsidR="00A87D8F">
        <w:rPr>
          <w:sz w:val="28"/>
          <w:szCs w:val="24"/>
        </w:rPr>
        <w:t xml:space="preserve"> roles and responsibilities</w:t>
      </w:r>
      <w:bookmarkEnd w:id="58"/>
    </w:p>
    <w:p w14:paraId="51C6565F" w14:textId="77777777" w:rsidR="00576DB4" w:rsidRPr="00D3598B" w:rsidRDefault="00576DB4" w:rsidP="00576DB4">
      <w:pPr>
        <w:pStyle w:val="Deptbulletlist1"/>
        <w:rPr>
          <w:i/>
        </w:rPr>
      </w:pPr>
      <w:bookmarkStart w:id="59" w:name="_Toc412214229"/>
      <w:bookmarkStart w:id="60" w:name="_Toc412814548"/>
      <w:bookmarkStart w:id="61" w:name="_Toc413136130"/>
      <w:r w:rsidRPr="00D3598B">
        <w:rPr>
          <w:i/>
        </w:rPr>
        <w:t>Clarifying the roles and responsibilities of the Minister and the ACMA under the framework by:</w:t>
      </w:r>
    </w:p>
    <w:p w14:paraId="40EC51F4" w14:textId="77777777" w:rsidR="00576DB4" w:rsidRPr="00D3598B" w:rsidRDefault="00576DB4" w:rsidP="00D81B73">
      <w:pPr>
        <w:pStyle w:val="Deptbulletlist2"/>
        <w:numPr>
          <w:ilvl w:val="0"/>
          <w:numId w:val="24"/>
        </w:numPr>
        <w:ind w:left="851" w:hanging="284"/>
        <w:rPr>
          <w:i/>
        </w:rPr>
      </w:pPr>
      <w:r w:rsidRPr="00D3598B">
        <w:rPr>
          <w:i/>
        </w:rPr>
        <w:t>having the Minister issue policy statements on the Government’s strategy and priorities for spectrum with which the ACMA would be required to act consistently</w:t>
      </w:r>
    </w:p>
    <w:p w14:paraId="4510D681" w14:textId="77777777" w:rsidR="00576DB4" w:rsidRPr="00D3598B" w:rsidRDefault="00576DB4" w:rsidP="00D81B73">
      <w:pPr>
        <w:pStyle w:val="Deptbulletlist2"/>
        <w:numPr>
          <w:ilvl w:val="0"/>
          <w:numId w:val="24"/>
        </w:numPr>
        <w:ind w:left="851" w:hanging="284"/>
        <w:rPr>
          <w:i/>
        </w:rPr>
      </w:pPr>
      <w:r w:rsidRPr="00D3598B">
        <w:rPr>
          <w:i/>
        </w:rPr>
        <w:t>providing the Minister with powers to direct the ACMA on specific matters (such as planning, allocation and reallocation, licensing and pricing), as well as a general directions power</w:t>
      </w:r>
    </w:p>
    <w:p w14:paraId="3201FD0A" w14:textId="77777777" w:rsidR="00576DB4" w:rsidRPr="00D3598B" w:rsidRDefault="00576DB4" w:rsidP="00D81B73">
      <w:pPr>
        <w:pStyle w:val="Deptbulletlist2"/>
        <w:numPr>
          <w:ilvl w:val="0"/>
          <w:numId w:val="24"/>
        </w:numPr>
        <w:ind w:left="851" w:hanging="284"/>
        <w:rPr>
          <w:i/>
        </w:rPr>
      </w:pPr>
      <w:r w:rsidRPr="00D3598B">
        <w:rPr>
          <w:i/>
        </w:rPr>
        <w:t>requiring the ACMA to provide to the Minister an annual work program, prepared in consultation with stakeholders, including key priorities over a three to five year timeframe</w:t>
      </w:r>
    </w:p>
    <w:p w14:paraId="11552ADF" w14:textId="77777777" w:rsidR="00576DB4" w:rsidRPr="00D3598B" w:rsidRDefault="00576DB4" w:rsidP="00D81B73">
      <w:pPr>
        <w:pStyle w:val="Deptbulletlist2"/>
        <w:numPr>
          <w:ilvl w:val="0"/>
          <w:numId w:val="24"/>
        </w:numPr>
        <w:ind w:left="851" w:hanging="284"/>
        <w:rPr>
          <w:i/>
        </w:rPr>
      </w:pPr>
      <w:r w:rsidRPr="00D3598B">
        <w:rPr>
          <w:i/>
        </w:rPr>
        <w:t>requiring the ACMA to notify the Minister of intended decisions on specified issues</w:t>
      </w:r>
    </w:p>
    <w:p w14:paraId="0B5A765F" w14:textId="77777777" w:rsidR="00576DB4" w:rsidRPr="00D3598B" w:rsidRDefault="00576DB4" w:rsidP="00D81B73">
      <w:pPr>
        <w:pStyle w:val="Deptbulletlist2"/>
        <w:numPr>
          <w:ilvl w:val="0"/>
          <w:numId w:val="24"/>
        </w:numPr>
        <w:ind w:left="851" w:hanging="284"/>
        <w:rPr>
          <w:i/>
        </w:rPr>
      </w:pPr>
      <w:r w:rsidRPr="00D3598B">
        <w:rPr>
          <w:i/>
        </w:rPr>
        <w:t>requiring the ACMA to improve and maintain the range, availability and quality of information available to the market, supported by appropriate powers to collect information from industry.</w:t>
      </w:r>
    </w:p>
    <w:p w14:paraId="287BC752" w14:textId="77777777" w:rsidR="00303F88" w:rsidRPr="00196ABC" w:rsidRDefault="00303F88" w:rsidP="0089460A">
      <w:pPr>
        <w:pStyle w:val="DeptHeading2"/>
        <w:rPr>
          <w:rFonts w:eastAsia="MS Gothic"/>
          <w:b/>
          <w:i/>
          <w:iCs/>
          <w:color w:val="4F81BD"/>
          <w:sz w:val="24"/>
          <w:szCs w:val="24"/>
        </w:rPr>
      </w:pPr>
      <w:bookmarkStart w:id="62" w:name="_Toc413139559"/>
      <w:r w:rsidRPr="00196ABC">
        <w:rPr>
          <w:rFonts w:eastAsia="MS Gothic"/>
          <w:b/>
          <w:i/>
          <w:iCs/>
          <w:color w:val="4F81BD"/>
          <w:sz w:val="24"/>
          <w:szCs w:val="24"/>
        </w:rPr>
        <w:t>Rationale for reform</w:t>
      </w:r>
      <w:bookmarkEnd w:id="59"/>
      <w:bookmarkEnd w:id="60"/>
      <w:bookmarkEnd w:id="61"/>
      <w:bookmarkEnd w:id="62"/>
    </w:p>
    <w:p w14:paraId="2F9A6018" w14:textId="77777777" w:rsidR="00F92D07" w:rsidRDefault="00540548" w:rsidP="00540548">
      <w:pPr>
        <w:pStyle w:val="DeptHeading5figurestables"/>
      </w:pPr>
      <w:r>
        <w:t>The policy framework</w:t>
      </w:r>
    </w:p>
    <w:p w14:paraId="50654140" w14:textId="77777777" w:rsidR="00303F88" w:rsidRDefault="00303F88" w:rsidP="00F8656F">
      <w:pPr>
        <w:pStyle w:val="DeptBodytext"/>
      </w:pPr>
      <w:r>
        <w:t xml:space="preserve">The key method of Ministerial intervention in the current framework is the general directions power in </w:t>
      </w:r>
      <w:r w:rsidRPr="000048A8">
        <w:t xml:space="preserve">the </w:t>
      </w:r>
      <w:r w:rsidRPr="008C7AB6">
        <w:rPr>
          <w:i/>
        </w:rPr>
        <w:t>A</w:t>
      </w:r>
      <w:r w:rsidR="00E77051" w:rsidRPr="008C7AB6">
        <w:rPr>
          <w:i/>
        </w:rPr>
        <w:t xml:space="preserve">ustralian Communications and Media Authority Act 2005 </w:t>
      </w:r>
      <w:r w:rsidR="00E77051" w:rsidRPr="000048A8">
        <w:t>(ACM</w:t>
      </w:r>
      <w:r w:rsidRPr="000048A8">
        <w:t>A Act</w:t>
      </w:r>
      <w:r w:rsidR="00E77051" w:rsidRPr="000048A8">
        <w:t>)</w:t>
      </w:r>
      <w:r w:rsidRPr="000048A8">
        <w:t xml:space="preserve">. The powers of Ministerial intervention under the </w:t>
      </w:r>
      <w:r w:rsidR="00971B2E" w:rsidRPr="009D323F">
        <w:t xml:space="preserve">Radiocommunications </w:t>
      </w:r>
      <w:r w:rsidRPr="009D323F">
        <w:t>Act</w:t>
      </w:r>
      <w:r w:rsidRPr="000048A8">
        <w:t xml:space="preserve"> are </w:t>
      </w:r>
      <w:r w:rsidR="00D3669D" w:rsidRPr="000048A8">
        <w:t xml:space="preserve">for the most part </w:t>
      </w:r>
      <w:r w:rsidRPr="000048A8">
        <w:t>process</w:t>
      </w:r>
      <w:r>
        <w:t xml:space="preserve"> driven</w:t>
      </w:r>
      <w:r w:rsidR="00C65C59">
        <w:t>,</w:t>
      </w:r>
      <w:r>
        <w:t xml:space="preserve"> rather than levers for strategic policy intervention. </w:t>
      </w:r>
      <w:r w:rsidR="00D3669D">
        <w:t>For clarity and transparency, policy areas where the Minister would want to directly intervene in spectrum management should be identified.</w:t>
      </w:r>
      <w:r w:rsidR="00B63C00">
        <w:t xml:space="preserve"> </w:t>
      </w:r>
    </w:p>
    <w:p w14:paraId="5785077F" w14:textId="77777777" w:rsidR="00303F88" w:rsidRDefault="00971B2E" w:rsidP="00F8656F">
      <w:pPr>
        <w:pStyle w:val="DeptBodytext"/>
      </w:pPr>
      <w:r w:rsidRPr="00782D49">
        <w:t xml:space="preserve">Stakeholders </w:t>
      </w:r>
      <w:r>
        <w:t>want</w:t>
      </w:r>
      <w:r w:rsidRPr="00782D49">
        <w:t xml:space="preserve"> greater transparency and accountability </w:t>
      </w:r>
      <w:r>
        <w:t xml:space="preserve">in decision-making, and a clear </w:t>
      </w:r>
      <w:r w:rsidR="00303F88">
        <w:t>distinction to be made between the responsibilities of the Minister</w:t>
      </w:r>
      <w:r w:rsidR="00341771">
        <w:t>/Government</w:t>
      </w:r>
      <w:r w:rsidR="00303F88">
        <w:t xml:space="preserve"> to set policy and the ACMA to implement policy. </w:t>
      </w:r>
      <w:r w:rsidR="00303F88" w:rsidRPr="00782D49">
        <w:t>This includes</w:t>
      </w:r>
      <w:r w:rsidR="00303F88">
        <w:t xml:space="preserve"> </w:t>
      </w:r>
      <w:r w:rsidR="00341771">
        <w:t xml:space="preserve">transparent </w:t>
      </w:r>
      <w:r w:rsidR="00303F88" w:rsidRPr="00782D49">
        <w:t>disclosure of decisions</w:t>
      </w:r>
      <w:r w:rsidR="00DD2A3A">
        <w:t xml:space="preserve"> and </w:t>
      </w:r>
      <w:r w:rsidR="00303F88">
        <w:t xml:space="preserve">the </w:t>
      </w:r>
      <w:r w:rsidR="00303F88" w:rsidRPr="00782D49">
        <w:t>reasoning behind decisions</w:t>
      </w:r>
      <w:r w:rsidR="00DD2A3A">
        <w:t xml:space="preserve">, </w:t>
      </w:r>
      <w:r w:rsidR="00303F88">
        <w:t>regular updates on processes and explanations when things change. Stakeholders are also seeking clear guidance on future spectrum policy and management priorities.</w:t>
      </w:r>
    </w:p>
    <w:p w14:paraId="257D6569" w14:textId="77777777" w:rsidR="00303F88" w:rsidRDefault="00303F88" w:rsidP="00F8656F">
      <w:pPr>
        <w:pStyle w:val="DeptBodytext"/>
      </w:pPr>
      <w:r>
        <w:t xml:space="preserve">The proposed reforms to the policy framework would significantly improve decision-making and make this more transparent and accountable. </w:t>
      </w:r>
      <w:r w:rsidR="00973802">
        <w:t xml:space="preserve">The proposed reforms </w:t>
      </w:r>
      <w:r>
        <w:t xml:space="preserve">would </w:t>
      </w:r>
      <w:r w:rsidR="00973802">
        <w:t xml:space="preserve">allow </w:t>
      </w:r>
      <w:r>
        <w:t xml:space="preserve">the Minister to intervene in a strategic way and </w:t>
      </w:r>
      <w:r w:rsidR="00973802">
        <w:t>to provide policy guidance</w:t>
      </w:r>
      <w:r>
        <w:t xml:space="preserve">; and provide greater clarity for users on roles, spectrum management priorities and </w:t>
      </w:r>
      <w:r w:rsidR="009C646E">
        <w:t xml:space="preserve">the </w:t>
      </w:r>
      <w:r>
        <w:t>ACMA’s activities.</w:t>
      </w:r>
      <w:r w:rsidR="00341771">
        <w:t xml:space="preserve"> Essentially the approach recommended in this review aims to improve the arrangements for transparent government policy setting, whilst reducing Ministerial involvement in ACMA process steps. </w:t>
      </w:r>
    </w:p>
    <w:p w14:paraId="56A8318E" w14:textId="77777777" w:rsidR="00303F88" w:rsidRPr="00196ABC" w:rsidRDefault="00303F88" w:rsidP="0089460A">
      <w:pPr>
        <w:pStyle w:val="DeptHeading5figurestables"/>
      </w:pPr>
      <w:r w:rsidRPr="00196ABC">
        <w:t>Making information available to support the spectrum market</w:t>
      </w:r>
    </w:p>
    <w:p w14:paraId="0D81E836" w14:textId="77777777" w:rsidR="00303F88" w:rsidRDefault="00303F88" w:rsidP="00F8656F">
      <w:pPr>
        <w:pStyle w:val="DeptBodytext"/>
      </w:pPr>
      <w:r>
        <w:t xml:space="preserve">Efficient spectrum management and market transactions rely on information on what spectrum </w:t>
      </w:r>
      <w:r w:rsidR="00C257C8">
        <w:t>is available</w:t>
      </w:r>
      <w:r>
        <w:t>, where</w:t>
      </w:r>
      <w:r w:rsidR="00C257C8">
        <w:t>,</w:t>
      </w:r>
      <w:r>
        <w:t xml:space="preserve"> under what conditions, and the prices paid. This </w:t>
      </w:r>
      <w:r>
        <w:lastRenderedPageBreak/>
        <w:t>information is not always a</w:t>
      </w:r>
      <w:r w:rsidR="005B4D17">
        <w:t>ccessible</w:t>
      </w:r>
      <w:r w:rsidR="00196532">
        <w:t xml:space="preserve"> to users</w:t>
      </w:r>
      <w:r w:rsidR="005B4D17">
        <w:t xml:space="preserve"> </w:t>
      </w:r>
      <w:r>
        <w:t xml:space="preserve">and in some cases the ACMA may not have the power to collect relevant information. </w:t>
      </w:r>
    </w:p>
    <w:p w14:paraId="4BB60801" w14:textId="77777777" w:rsidR="00303F88" w:rsidRDefault="00303F88" w:rsidP="00F8656F">
      <w:pPr>
        <w:pStyle w:val="DeptBodytext"/>
      </w:pPr>
      <w:r>
        <w:t>More readily available information would reduce transaction costs</w:t>
      </w:r>
      <w:r w:rsidR="00D177DC">
        <w:t>, aid price disclosure</w:t>
      </w:r>
      <w:r>
        <w:t xml:space="preserve"> and support spectrum sharing, secondary trading and new market entry.</w:t>
      </w:r>
    </w:p>
    <w:p w14:paraId="215DE488" w14:textId="77777777" w:rsidR="00303F88" w:rsidRPr="00196ABC" w:rsidRDefault="00196ABC" w:rsidP="0089460A">
      <w:pPr>
        <w:pStyle w:val="DeptHeading2"/>
        <w:rPr>
          <w:rFonts w:eastAsia="MS Gothic"/>
          <w:b/>
          <w:i/>
          <w:iCs/>
          <w:color w:val="4F81BD"/>
          <w:sz w:val="24"/>
          <w:szCs w:val="24"/>
        </w:rPr>
      </w:pPr>
      <w:bookmarkStart w:id="63" w:name="_Toc412214230"/>
      <w:bookmarkStart w:id="64" w:name="_Toc412814549"/>
      <w:bookmarkStart w:id="65" w:name="_Toc413136131"/>
      <w:bookmarkStart w:id="66" w:name="_Toc413139560"/>
      <w:r>
        <w:rPr>
          <w:rFonts w:eastAsia="MS Gothic"/>
          <w:b/>
          <w:i/>
          <w:iCs/>
          <w:color w:val="4F81BD"/>
          <w:sz w:val="24"/>
          <w:szCs w:val="24"/>
        </w:rPr>
        <w:t>P</w:t>
      </w:r>
      <w:r w:rsidR="00303F88" w:rsidRPr="00196ABC">
        <w:rPr>
          <w:rFonts w:eastAsia="MS Gothic"/>
          <w:b/>
          <w:i/>
          <w:iCs/>
          <w:color w:val="4F81BD"/>
          <w:sz w:val="24"/>
          <w:szCs w:val="24"/>
        </w:rPr>
        <w:t>roposal</w:t>
      </w:r>
      <w:bookmarkEnd w:id="63"/>
      <w:bookmarkEnd w:id="64"/>
      <w:bookmarkEnd w:id="65"/>
      <w:bookmarkEnd w:id="66"/>
    </w:p>
    <w:p w14:paraId="2A150AE7" w14:textId="77777777" w:rsidR="00540548" w:rsidRDefault="00540548" w:rsidP="00540548">
      <w:pPr>
        <w:pStyle w:val="DeptHeading5figurestables"/>
      </w:pPr>
      <w:r>
        <w:t>The policy framework</w:t>
      </w:r>
    </w:p>
    <w:p w14:paraId="044FFD10" w14:textId="77777777" w:rsidR="00303F88" w:rsidRDefault="00303F88" w:rsidP="00F8656F">
      <w:pPr>
        <w:pStyle w:val="DeptBodytext"/>
      </w:pPr>
      <w:r>
        <w:t xml:space="preserve">These </w:t>
      </w:r>
      <w:r w:rsidR="008577A7">
        <w:t xml:space="preserve">proposed </w:t>
      </w:r>
      <w:r w:rsidR="00861C30">
        <w:t xml:space="preserve">reforms </w:t>
      </w:r>
      <w:r w:rsidR="008577A7">
        <w:t>are intended to</w:t>
      </w:r>
      <w:r>
        <w:t xml:space="preserve"> provide the key mechanism for guiding </w:t>
      </w:r>
      <w:r w:rsidR="002E5C4D">
        <w:t xml:space="preserve">the </w:t>
      </w:r>
      <w:r>
        <w:t xml:space="preserve">ACMA’s discretion, making major allocation </w:t>
      </w:r>
      <w:r w:rsidR="007A2C6D">
        <w:t xml:space="preserve">and reallocation </w:t>
      </w:r>
      <w:r>
        <w:t>decisions that involve competing uses and undertaking exception-based interventi</w:t>
      </w:r>
      <w:r w:rsidR="008C28C7">
        <w:t xml:space="preserve">ons on behalf of </w:t>
      </w:r>
      <w:r>
        <w:t>non-commercial users.</w:t>
      </w:r>
      <w:r w:rsidR="008C28C7">
        <w:t xml:space="preserve"> Decisions need to be based on good information, including on the economic implications of choices.</w:t>
      </w:r>
      <w:r w:rsidR="00AA2200">
        <w:t xml:space="preserve"> The Minister’s decision-making would be guided by the Objects of the new Act and any other principles set out in the primary legislation.</w:t>
      </w:r>
    </w:p>
    <w:p w14:paraId="0BAC0AAF" w14:textId="77777777" w:rsidR="00303F88" w:rsidRDefault="00303F88" w:rsidP="00F8656F">
      <w:pPr>
        <w:pStyle w:val="DeptBodytext"/>
      </w:pPr>
      <w:r>
        <w:t xml:space="preserve">The Minister would issue </w:t>
      </w:r>
      <w:r w:rsidRPr="00505A3C">
        <w:t xml:space="preserve">policy statements </w:t>
      </w:r>
      <w:r>
        <w:t>setting</w:t>
      </w:r>
      <w:r w:rsidRPr="00505A3C">
        <w:t xml:space="preserve"> out the government’s policy goals for spectrum management, or focus</w:t>
      </w:r>
      <w:r>
        <w:t>sing</w:t>
      </w:r>
      <w:r w:rsidRPr="00505A3C">
        <w:t xml:space="preserve"> on a particular issue or policy initiative. </w:t>
      </w:r>
      <w:r w:rsidR="009351F3">
        <w:t xml:space="preserve">The ACMA would be required to act consistently with policy statements. </w:t>
      </w:r>
      <w:r>
        <w:t>Policy statements would be</w:t>
      </w:r>
      <w:r w:rsidRPr="00505A3C">
        <w:t xml:space="preserve"> of limited or no set duration and could be updated or withdrawn </w:t>
      </w:r>
      <w:r>
        <w:t>as needed</w:t>
      </w:r>
      <w:r w:rsidRPr="00505A3C">
        <w:t xml:space="preserve">. Statements </w:t>
      </w:r>
      <w:r>
        <w:t>would initially guide implementation of</w:t>
      </w:r>
      <w:r w:rsidRPr="00505A3C">
        <w:t xml:space="preserve"> key elements of the new </w:t>
      </w:r>
      <w:r w:rsidR="007A5368">
        <w:t>framework</w:t>
      </w:r>
      <w:r w:rsidRPr="00505A3C">
        <w:t xml:space="preserve">, for example, </w:t>
      </w:r>
      <w:r>
        <w:t>the</w:t>
      </w:r>
      <w:r w:rsidRPr="00505A3C">
        <w:t xml:space="preserve"> s</w:t>
      </w:r>
      <w:r>
        <w:t xml:space="preserve">ingle licensing </w:t>
      </w:r>
      <w:r w:rsidR="00861C30">
        <w:t>system</w:t>
      </w:r>
      <w:r w:rsidRPr="00505A3C">
        <w:t xml:space="preserve">. </w:t>
      </w:r>
    </w:p>
    <w:p w14:paraId="62229412" w14:textId="77777777" w:rsidR="00D4149C" w:rsidRPr="00505A3C" w:rsidRDefault="00D4149C" w:rsidP="00F8656F">
      <w:pPr>
        <w:pStyle w:val="DeptBodytext"/>
      </w:pPr>
      <w:r>
        <w:t xml:space="preserve">The Minister would also be provided with an expanded range of specific directions powers, allowing intervention in most aspects of the spectrum management </w:t>
      </w:r>
      <w:r w:rsidR="007A5368">
        <w:t>framework</w:t>
      </w:r>
      <w:r>
        <w:t>.</w:t>
      </w:r>
      <w:r w:rsidRPr="00D4149C">
        <w:t xml:space="preserve"> </w:t>
      </w:r>
      <w:r>
        <w:t xml:space="preserve">Examples of new directions powers include to </w:t>
      </w:r>
      <w:r w:rsidR="00196532">
        <w:t xml:space="preserve">reserve spectrum for particular purposes, </w:t>
      </w:r>
      <w:r>
        <w:t>allocate spectrum, override a standard licensing option established by the ACMA, and (as is currently the case) to set competiti</w:t>
      </w:r>
      <w:r w:rsidR="00AF3ECD">
        <w:t>on limits and spectrum prices.</w:t>
      </w:r>
    </w:p>
    <w:p w14:paraId="63974EBA" w14:textId="77777777" w:rsidR="00303F88" w:rsidRDefault="00303F88" w:rsidP="00F8656F">
      <w:pPr>
        <w:pStyle w:val="DeptBodytext"/>
      </w:pPr>
      <w:r>
        <w:t>Day</w:t>
      </w:r>
      <w:r w:rsidR="000048A8">
        <w:t>-</w:t>
      </w:r>
      <w:r w:rsidR="00C8408D">
        <w:t>to</w:t>
      </w:r>
      <w:r w:rsidR="000048A8">
        <w:t>-</w:t>
      </w:r>
      <w:r w:rsidR="00C8408D">
        <w:t xml:space="preserve">day management of </w:t>
      </w:r>
      <w:r w:rsidRPr="00505A3C">
        <w:t>spectrum</w:t>
      </w:r>
      <w:r w:rsidR="00C8408D">
        <w:t>,</w:t>
      </w:r>
      <w:r w:rsidRPr="00505A3C">
        <w:t xml:space="preserve"> consistent with government policy</w:t>
      </w:r>
      <w:r w:rsidR="00C8408D">
        <w:t>,</w:t>
      </w:r>
      <w:r w:rsidRPr="00505A3C">
        <w:t xml:space="preserve"> would be the responsibility of the ACMA.</w:t>
      </w:r>
      <w:r>
        <w:t xml:space="preserve"> It is anticipated that,</w:t>
      </w:r>
      <w:r w:rsidRPr="00505A3C">
        <w:t xml:space="preserve"> having set the policy direction</w:t>
      </w:r>
      <w:r>
        <w:t xml:space="preserve">, </w:t>
      </w:r>
      <w:r w:rsidRPr="00505A3C">
        <w:t>Ministerial intervention using specific direction</w:t>
      </w:r>
      <w:r w:rsidR="00C8408D">
        <w:t>s</w:t>
      </w:r>
      <w:r w:rsidRPr="00505A3C">
        <w:t xml:space="preserve"> powers would be on an exception basis. If the Minister were to intervene, </w:t>
      </w:r>
      <w:r w:rsidR="008577A7">
        <w:t xml:space="preserve">policy statements and </w:t>
      </w:r>
      <w:r w:rsidR="00C8408D">
        <w:t>d</w:t>
      </w:r>
      <w:r>
        <w:t>irections</w:t>
      </w:r>
      <w:r w:rsidRPr="00505A3C">
        <w:t xml:space="preserve"> would be made public</w:t>
      </w:r>
      <w:r w:rsidR="000F0A3B">
        <w:t xml:space="preserve">, </w:t>
      </w:r>
      <w:r>
        <w:t>consistent with current practice</w:t>
      </w:r>
      <w:r w:rsidRPr="00505A3C">
        <w:t xml:space="preserve">. </w:t>
      </w:r>
      <w:r>
        <w:t xml:space="preserve">The ACMA Act general directions power would continue to be available to </w:t>
      </w:r>
      <w:r w:rsidRPr="00505A3C">
        <w:t>the Minister to direct the ACMA on the exercise of its spectrum management powers and functions.</w:t>
      </w:r>
    </w:p>
    <w:p w14:paraId="3EB42DC1" w14:textId="77777777" w:rsidR="00303F88" w:rsidRDefault="00303F88" w:rsidP="00F8656F">
      <w:pPr>
        <w:pStyle w:val="DeptBodytext"/>
      </w:pPr>
      <w:r w:rsidRPr="00505A3C">
        <w:t xml:space="preserve">The ACMA annual work </w:t>
      </w:r>
      <w:r w:rsidR="006420F9">
        <w:t>program</w:t>
      </w:r>
      <w:r w:rsidRPr="00505A3C">
        <w:t xml:space="preserve"> would clearly set out the ACMA’s priorities</w:t>
      </w:r>
      <w:r w:rsidR="00092CD3">
        <w:t xml:space="preserve"> specific to spectrum</w:t>
      </w:r>
      <w:r>
        <w:t xml:space="preserve">, </w:t>
      </w:r>
      <w:r w:rsidRPr="00505A3C">
        <w:t xml:space="preserve">how these </w:t>
      </w:r>
      <w:r>
        <w:t>would</w:t>
      </w:r>
      <w:r w:rsidRPr="00505A3C">
        <w:t xml:space="preserve"> be implemented</w:t>
      </w:r>
      <w:r>
        <w:t xml:space="preserve"> and timing</w:t>
      </w:r>
      <w:r w:rsidRPr="00505A3C">
        <w:t xml:space="preserve">. </w:t>
      </w:r>
      <w:r w:rsidR="00C8408D">
        <w:t xml:space="preserve">The ACMA would use the work program to report implementation progress and changes to priorities. When preparing its </w:t>
      </w:r>
      <w:r w:rsidRPr="00505A3C">
        <w:t xml:space="preserve">annual work </w:t>
      </w:r>
      <w:r w:rsidR="006420F9">
        <w:t>program</w:t>
      </w:r>
      <w:r w:rsidRPr="00505A3C">
        <w:t xml:space="preserve"> the ACMA would consult with stakeholders on its contents before providing it to the Minister. The Minister would have the ability to require amendments to the work </w:t>
      </w:r>
      <w:r w:rsidR="006420F9">
        <w:t>program</w:t>
      </w:r>
      <w:r w:rsidRPr="00505A3C">
        <w:t xml:space="preserve">, request additional information and indicate issues of interest or where Ministerial intervention may be required. </w:t>
      </w:r>
      <w:r>
        <w:t xml:space="preserve">The annual work </w:t>
      </w:r>
      <w:r w:rsidR="006420F9">
        <w:t>program</w:t>
      </w:r>
      <w:r>
        <w:t xml:space="preserve"> would </w:t>
      </w:r>
      <w:r w:rsidR="00196532">
        <w:t xml:space="preserve">be a </w:t>
      </w:r>
      <w:r>
        <w:t>public</w:t>
      </w:r>
      <w:r w:rsidR="00196532">
        <w:t xml:space="preserve"> document</w:t>
      </w:r>
      <w:r>
        <w:t>.</w:t>
      </w:r>
    </w:p>
    <w:p w14:paraId="214C2C71" w14:textId="77777777" w:rsidR="00303F88" w:rsidRDefault="00303F88" w:rsidP="00F8656F">
      <w:pPr>
        <w:pStyle w:val="DeptBodytext"/>
      </w:pPr>
      <w:r>
        <w:t xml:space="preserve">The ACMA would be required to notify the Minister of upcoming major activities and decisions, to provide the Minister with </w:t>
      </w:r>
      <w:r w:rsidR="00C8408D">
        <w:t>sufficient</w:t>
      </w:r>
      <w:r>
        <w:t xml:space="preserve"> opportunity to assess policy </w:t>
      </w:r>
      <w:r>
        <w:lastRenderedPageBreak/>
        <w:t xml:space="preserve">implications and intervene where necessary. These notifications would discuss potential impacts, sensitivities and risks and would not be </w:t>
      </w:r>
      <w:r w:rsidR="002B0CB3">
        <w:t>required to be made public</w:t>
      </w:r>
      <w:r>
        <w:t>.</w:t>
      </w:r>
    </w:p>
    <w:p w14:paraId="0251B10A" w14:textId="77777777" w:rsidR="00303F88" w:rsidRPr="00196ABC" w:rsidRDefault="00303F88" w:rsidP="0089460A">
      <w:pPr>
        <w:pStyle w:val="DeptHeading5figurestables"/>
      </w:pPr>
      <w:r w:rsidRPr="00196ABC">
        <w:t>Making information available to support the spectrum market</w:t>
      </w:r>
    </w:p>
    <w:p w14:paraId="130172C6" w14:textId="77777777" w:rsidR="00303F88" w:rsidRDefault="00CD6A61" w:rsidP="00F8656F">
      <w:pPr>
        <w:pStyle w:val="DeptBodytext"/>
      </w:pPr>
      <w:r>
        <w:t>As part of its annual work program, t</w:t>
      </w:r>
      <w:r w:rsidR="00303F88">
        <w:t>he ACMA would be required to identify the information needed to support spectrum management and the spectrum market unde</w:t>
      </w:r>
      <w:r w:rsidR="00787947">
        <w:t>r the new framework, following o</w:t>
      </w:r>
      <w:r w:rsidR="00303F88">
        <w:t xml:space="preserve">pen data principles. This would include making information </w:t>
      </w:r>
      <w:r w:rsidR="00674AEA">
        <w:t xml:space="preserve">that it routinely collects </w:t>
      </w:r>
      <w:r w:rsidR="00303F88">
        <w:t>as accessible, up-to-date and interactive as possible; and assessing the</w:t>
      </w:r>
      <w:r w:rsidR="00303F88" w:rsidRPr="00517ADE">
        <w:t xml:space="preserve"> </w:t>
      </w:r>
      <w:r w:rsidR="00303F88">
        <w:t>ability of the ACMA’s current licensing database to meet user needs. The ACMA would make recommendations</w:t>
      </w:r>
      <w:r w:rsidR="00944880">
        <w:t xml:space="preserve">, </w:t>
      </w:r>
      <w:r w:rsidR="00303F88">
        <w:t>provide an implementation plan</w:t>
      </w:r>
      <w:r w:rsidR="00944880">
        <w:t xml:space="preserve"> and report on progress</w:t>
      </w:r>
      <w:r w:rsidR="00303F88">
        <w:t>.</w:t>
      </w:r>
    </w:p>
    <w:p w14:paraId="399CDADE" w14:textId="77777777" w:rsidR="00053EB5" w:rsidRDefault="00053EB5" w:rsidP="00F8656F">
      <w:pPr>
        <w:pStyle w:val="DeptBodytext"/>
      </w:pPr>
      <w:r>
        <w:t>In making information available, the ACMA would do so in a way that enables third parties to become involved in information provision and in providing services to the market based on the ACMA information, for example, databases to support dynamic spectrum access or spectrum trading intermediaries.</w:t>
      </w:r>
    </w:p>
    <w:p w14:paraId="51854553" w14:textId="77777777" w:rsidR="001F3721" w:rsidRDefault="00674AEA" w:rsidP="00F8656F">
      <w:pPr>
        <w:pStyle w:val="DeptBodytext"/>
      </w:pPr>
      <w:r>
        <w:t>T</w:t>
      </w:r>
      <w:r w:rsidR="00303F88">
        <w:t xml:space="preserve">he reform directions paper proposed that the ACMA be given a general information gathering power under the Act similar to that currently provided under the </w:t>
      </w:r>
      <w:r w:rsidR="00303F88" w:rsidRPr="008C7AB6">
        <w:rPr>
          <w:i/>
        </w:rPr>
        <w:t>Telecommunications Act 1997</w:t>
      </w:r>
      <w:r w:rsidR="00303F88">
        <w:t>. While stakeholders support high quality information being made available, they do not support a broad information gathering power for the ACMA due to the potential administrative burden of information requests.</w:t>
      </w:r>
      <w:r w:rsidR="001F3721">
        <w:t xml:space="preserve"> Instead, it is proposed to provide the ACMA with an information gathering power but limit the power to only target the information gaps necessary to support </w:t>
      </w:r>
      <w:r w:rsidR="00787947">
        <w:t xml:space="preserve">ACMA’s </w:t>
      </w:r>
      <w:r w:rsidR="001F3721">
        <w:t>spectrum management functions.</w:t>
      </w:r>
    </w:p>
    <w:p w14:paraId="00C1505B" w14:textId="77777777" w:rsidR="00530583" w:rsidRDefault="00530583" w:rsidP="001F3721">
      <w:pPr>
        <w:spacing w:after="240"/>
      </w:pPr>
    </w:p>
    <w:p w14:paraId="13346650" w14:textId="77777777" w:rsidR="00530583" w:rsidRDefault="00530583">
      <w:r>
        <w:br w:type="page"/>
      </w:r>
    </w:p>
    <w:p w14:paraId="5C45C7D4" w14:textId="77777777" w:rsidR="008B701E" w:rsidRPr="00303F88" w:rsidRDefault="008B701E" w:rsidP="000D57E8">
      <w:pPr>
        <w:pStyle w:val="DeptHeading2"/>
        <w:numPr>
          <w:ilvl w:val="1"/>
          <w:numId w:val="8"/>
        </w:numPr>
        <w:ind w:left="284" w:hanging="284"/>
        <w:rPr>
          <w:sz w:val="28"/>
          <w:szCs w:val="24"/>
        </w:rPr>
      </w:pPr>
      <w:bookmarkStart w:id="67" w:name="_Toc413139561"/>
      <w:r>
        <w:rPr>
          <w:sz w:val="28"/>
          <w:szCs w:val="24"/>
        </w:rPr>
        <w:lastRenderedPageBreak/>
        <w:t>Recommendation 1(</w:t>
      </w:r>
      <w:r w:rsidR="00A87D8F">
        <w:rPr>
          <w:sz w:val="28"/>
          <w:szCs w:val="24"/>
        </w:rPr>
        <w:t>d</w:t>
      </w:r>
      <w:r w:rsidRPr="00303F88">
        <w:rPr>
          <w:sz w:val="28"/>
          <w:szCs w:val="24"/>
        </w:rPr>
        <w:t xml:space="preserve">) </w:t>
      </w:r>
      <w:r>
        <w:rPr>
          <w:sz w:val="28"/>
          <w:szCs w:val="24"/>
        </w:rPr>
        <w:t>–</w:t>
      </w:r>
      <w:r w:rsidRPr="00303F88">
        <w:rPr>
          <w:sz w:val="28"/>
          <w:szCs w:val="24"/>
        </w:rPr>
        <w:t xml:space="preserve"> </w:t>
      </w:r>
      <w:r w:rsidR="00843276">
        <w:rPr>
          <w:sz w:val="28"/>
          <w:szCs w:val="24"/>
        </w:rPr>
        <w:t xml:space="preserve">Transparent and timely </w:t>
      </w:r>
      <w:r w:rsidR="00BD718A">
        <w:rPr>
          <w:sz w:val="28"/>
          <w:szCs w:val="24"/>
        </w:rPr>
        <w:t xml:space="preserve">allocation </w:t>
      </w:r>
      <w:r w:rsidR="00843276">
        <w:rPr>
          <w:sz w:val="28"/>
          <w:szCs w:val="24"/>
        </w:rPr>
        <w:t>processes</w:t>
      </w:r>
      <w:bookmarkEnd w:id="67"/>
    </w:p>
    <w:p w14:paraId="7C100144" w14:textId="77777777" w:rsidR="00576DB4" w:rsidRPr="00D3598B" w:rsidRDefault="00576DB4" w:rsidP="00576DB4">
      <w:pPr>
        <w:pStyle w:val="Deptbulletlist1"/>
        <w:rPr>
          <w:i/>
        </w:rPr>
      </w:pPr>
      <w:bookmarkStart w:id="68" w:name="_Toc412214232"/>
      <w:bookmarkStart w:id="69" w:name="_Toc412814551"/>
      <w:bookmarkStart w:id="70" w:name="_Toc413136133"/>
      <w:r w:rsidRPr="00D3598B">
        <w:rPr>
          <w:i/>
        </w:rPr>
        <w:t>Providing for transparent and timely spectrum allocation and reallocation processes and methods by:</w:t>
      </w:r>
    </w:p>
    <w:p w14:paraId="0D0D8FC8" w14:textId="77777777" w:rsidR="00576DB4" w:rsidRPr="00D3598B" w:rsidRDefault="00576DB4" w:rsidP="00D81B73">
      <w:pPr>
        <w:pStyle w:val="Deptbulletlist2"/>
        <w:numPr>
          <w:ilvl w:val="0"/>
          <w:numId w:val="25"/>
        </w:numPr>
        <w:ind w:left="851" w:hanging="284"/>
        <w:rPr>
          <w:i/>
        </w:rPr>
      </w:pPr>
      <w:r w:rsidRPr="00D3598B">
        <w:rPr>
          <w:i/>
        </w:rPr>
        <w:t xml:space="preserve">removing the Minister from </w:t>
      </w:r>
      <w:r w:rsidR="006D7E55">
        <w:rPr>
          <w:i/>
        </w:rPr>
        <w:t>mandated and routine involvement in</w:t>
      </w:r>
      <w:r w:rsidRPr="00D3598B">
        <w:rPr>
          <w:i/>
        </w:rPr>
        <w:t xml:space="preserve"> allocation and reallocation</w:t>
      </w:r>
      <w:r w:rsidR="006D7E55">
        <w:rPr>
          <w:i/>
        </w:rPr>
        <w:t xml:space="preserve"> processes</w:t>
      </w:r>
    </w:p>
    <w:p w14:paraId="5C51ABB8" w14:textId="77777777" w:rsidR="00576DB4" w:rsidRPr="00D3598B" w:rsidRDefault="00576DB4" w:rsidP="00D81B73">
      <w:pPr>
        <w:pStyle w:val="Deptbulletlist2"/>
        <w:numPr>
          <w:ilvl w:val="0"/>
          <w:numId w:val="25"/>
        </w:numPr>
        <w:ind w:left="851" w:hanging="284"/>
        <w:rPr>
          <w:i/>
        </w:rPr>
      </w:pPr>
      <w:r w:rsidRPr="00D3598B">
        <w:rPr>
          <w:i/>
        </w:rPr>
        <w:t>authorising the ACMA to allocate and reallocate spectrum consistent with policy statements or as outlined in its published work program</w:t>
      </w:r>
    </w:p>
    <w:p w14:paraId="4435974C" w14:textId="77777777" w:rsidR="00576DB4" w:rsidRPr="00D3598B" w:rsidRDefault="00576DB4" w:rsidP="00D81B73">
      <w:pPr>
        <w:pStyle w:val="Deptbulletlist2"/>
        <w:numPr>
          <w:ilvl w:val="0"/>
          <w:numId w:val="25"/>
        </w:numPr>
        <w:ind w:left="851" w:hanging="284"/>
        <w:rPr>
          <w:i/>
        </w:rPr>
      </w:pPr>
      <w:r w:rsidRPr="00D3598B">
        <w:rPr>
          <w:i/>
        </w:rPr>
        <w:t>authorising the ACMA to allocate and reallocate encumbered spectrum.</w:t>
      </w:r>
    </w:p>
    <w:p w14:paraId="56FA1633" w14:textId="77777777" w:rsidR="00DE602A" w:rsidRPr="00843276" w:rsidRDefault="00843276" w:rsidP="0089460A">
      <w:pPr>
        <w:pStyle w:val="DeptHeading2"/>
        <w:rPr>
          <w:rFonts w:eastAsia="MS Gothic"/>
          <w:b/>
          <w:i/>
          <w:iCs/>
          <w:color w:val="4F81BD"/>
          <w:sz w:val="24"/>
          <w:szCs w:val="24"/>
        </w:rPr>
      </w:pPr>
      <w:bookmarkStart w:id="71" w:name="_Toc413139562"/>
      <w:r>
        <w:rPr>
          <w:rFonts w:eastAsia="MS Gothic"/>
          <w:b/>
          <w:i/>
          <w:iCs/>
          <w:color w:val="4F81BD"/>
          <w:sz w:val="24"/>
          <w:szCs w:val="24"/>
        </w:rPr>
        <w:t>Rationale for reform</w:t>
      </w:r>
      <w:bookmarkEnd w:id="68"/>
      <w:bookmarkEnd w:id="69"/>
      <w:bookmarkEnd w:id="70"/>
      <w:bookmarkEnd w:id="71"/>
    </w:p>
    <w:p w14:paraId="53328954" w14:textId="77777777" w:rsidR="00DE602A" w:rsidRPr="00782D49" w:rsidRDefault="002E3B62" w:rsidP="00F8656F">
      <w:pPr>
        <w:pStyle w:val="DeptBodytext"/>
      </w:pPr>
      <w:r>
        <w:t xml:space="preserve">Allocation </w:t>
      </w:r>
      <w:r w:rsidR="00AC43A2">
        <w:t xml:space="preserve">and reallocation </w:t>
      </w:r>
      <w:r>
        <w:t xml:space="preserve">processes need to be made </w:t>
      </w:r>
      <w:r w:rsidR="00B518FD">
        <w:t xml:space="preserve">consistent, </w:t>
      </w:r>
      <w:r>
        <w:t>less prescriptive and complex, while continuing to meet the objectives of</w:t>
      </w:r>
      <w:r w:rsidR="00DE602A" w:rsidRPr="00782D49">
        <w:t>:</w:t>
      </w:r>
    </w:p>
    <w:p w14:paraId="54CB3D72" w14:textId="77777777" w:rsidR="00DE602A" w:rsidRDefault="00F31945" w:rsidP="00843276">
      <w:pPr>
        <w:pStyle w:val="Deptbulletlist1"/>
        <w:numPr>
          <w:ilvl w:val="0"/>
          <w:numId w:val="3"/>
        </w:numPr>
        <w:ind w:left="357" w:hanging="357"/>
      </w:pPr>
      <w:r>
        <w:t>m</w:t>
      </w:r>
      <w:r w:rsidR="002E3B62">
        <w:t>aximising</w:t>
      </w:r>
      <w:r w:rsidR="00DE602A" w:rsidRPr="00782D49">
        <w:t xml:space="preserve"> the </w:t>
      </w:r>
      <w:r w:rsidR="00DE602A">
        <w:t>public benefit through efficient allocation and use</w:t>
      </w:r>
    </w:p>
    <w:p w14:paraId="140127C4" w14:textId="77777777" w:rsidR="00DE602A" w:rsidRPr="00782D49" w:rsidRDefault="00F31945" w:rsidP="00843276">
      <w:pPr>
        <w:pStyle w:val="Deptbulletlist1"/>
        <w:numPr>
          <w:ilvl w:val="0"/>
          <w:numId w:val="3"/>
        </w:numPr>
        <w:ind w:left="357" w:hanging="357"/>
      </w:pPr>
      <w:r>
        <w:t>p</w:t>
      </w:r>
      <w:r w:rsidR="002E3B62">
        <w:t>roviding</w:t>
      </w:r>
      <w:r w:rsidR="00DE602A">
        <w:t xml:space="preserve"> a return for the use of a public </w:t>
      </w:r>
      <w:r w:rsidR="00173020">
        <w:t>resource</w:t>
      </w:r>
      <w:r>
        <w:t>.</w:t>
      </w:r>
    </w:p>
    <w:p w14:paraId="0B5F4C85" w14:textId="77777777" w:rsidR="00872877" w:rsidRDefault="00DE602A" w:rsidP="00F8656F">
      <w:pPr>
        <w:pStyle w:val="DeptBodytext"/>
      </w:pPr>
      <w:r>
        <w:t xml:space="preserve">The current </w:t>
      </w:r>
      <w:r w:rsidRPr="00782D49">
        <w:t>conversion and reallocation processes are highly prescriptive</w:t>
      </w:r>
      <w:r>
        <w:t>,</w:t>
      </w:r>
      <w:r w:rsidRPr="00782D49">
        <w:t xml:space="preserve"> inefficient</w:t>
      </w:r>
      <w:r>
        <w:t xml:space="preserve"> and require intervention by the Minister in </w:t>
      </w:r>
      <w:r w:rsidR="006D7E55">
        <w:t xml:space="preserve">routine </w:t>
      </w:r>
      <w:r>
        <w:t xml:space="preserve">processes which reduces the efficiency and flexibility of the </w:t>
      </w:r>
      <w:r w:rsidR="007A5368">
        <w:t>framework</w:t>
      </w:r>
      <w:r w:rsidRPr="00782D49">
        <w:t>.</w:t>
      </w:r>
      <w:r w:rsidR="00BD718A" w:rsidRPr="00BD718A">
        <w:t xml:space="preserve"> </w:t>
      </w:r>
      <w:r w:rsidR="00BD718A">
        <w:t xml:space="preserve">For example, reallocating the digital dividend (694-820MHz) took approximately </w:t>
      </w:r>
      <w:r w:rsidR="00576DB4">
        <w:t>three</w:t>
      </w:r>
      <w:r w:rsidR="00BD718A">
        <w:t xml:space="preserve"> years with 16 legislative instruments being issued by the Minister or the ACMA. </w:t>
      </w:r>
      <w:r w:rsidR="00872877" w:rsidRPr="00214782">
        <w:rPr>
          <w:b/>
        </w:rPr>
        <w:t>Attachment C</w:t>
      </w:r>
      <w:r w:rsidR="00872877">
        <w:t xml:space="preserve"> illustrates the steps and instruments required to reallocate spectrum under the current framework. </w:t>
      </w:r>
    </w:p>
    <w:p w14:paraId="62073446" w14:textId="77777777" w:rsidR="00DE602A" w:rsidRPr="00782D49" w:rsidRDefault="00872877" w:rsidP="00F8656F">
      <w:pPr>
        <w:pStyle w:val="DeptBodytext"/>
      </w:pPr>
      <w:r>
        <w:t>Stakeholders have</w:t>
      </w:r>
      <w:r w:rsidR="00DE602A">
        <w:t xml:space="preserve"> highlighted the need </w:t>
      </w:r>
      <w:r w:rsidR="0024521E">
        <w:t xml:space="preserve">for </w:t>
      </w:r>
      <w:r w:rsidR="00DE602A">
        <w:t>faster, simpler and less costly allocation</w:t>
      </w:r>
      <w:r w:rsidR="00AC43A2">
        <w:t xml:space="preserve"> and reallocation</w:t>
      </w:r>
      <w:r w:rsidR="00DE602A">
        <w:t xml:space="preserve"> processes.</w:t>
      </w:r>
    </w:p>
    <w:p w14:paraId="496D56D8" w14:textId="77777777" w:rsidR="00DE602A" w:rsidRPr="00843276" w:rsidRDefault="00843276" w:rsidP="0089460A">
      <w:pPr>
        <w:pStyle w:val="DeptHeading2"/>
        <w:rPr>
          <w:rFonts w:eastAsia="MS Gothic"/>
          <w:b/>
          <w:i/>
          <w:iCs/>
          <w:color w:val="4F81BD"/>
          <w:sz w:val="24"/>
          <w:szCs w:val="24"/>
        </w:rPr>
      </w:pPr>
      <w:bookmarkStart w:id="72" w:name="_Toc412214233"/>
      <w:bookmarkStart w:id="73" w:name="_Toc412814552"/>
      <w:bookmarkStart w:id="74" w:name="_Toc413136134"/>
      <w:bookmarkStart w:id="75" w:name="_Toc413139563"/>
      <w:r>
        <w:rPr>
          <w:rFonts w:eastAsia="MS Gothic"/>
          <w:b/>
          <w:i/>
          <w:iCs/>
          <w:color w:val="4F81BD"/>
          <w:sz w:val="24"/>
          <w:szCs w:val="24"/>
        </w:rPr>
        <w:t>P</w:t>
      </w:r>
      <w:r w:rsidR="00DE602A" w:rsidRPr="00843276">
        <w:rPr>
          <w:rFonts w:eastAsia="MS Gothic"/>
          <w:b/>
          <w:i/>
          <w:iCs/>
          <w:color w:val="4F81BD"/>
          <w:sz w:val="24"/>
          <w:szCs w:val="24"/>
        </w:rPr>
        <w:t>roposal</w:t>
      </w:r>
      <w:bookmarkEnd w:id="72"/>
      <w:bookmarkEnd w:id="73"/>
      <w:bookmarkEnd w:id="74"/>
      <w:bookmarkEnd w:id="75"/>
    </w:p>
    <w:p w14:paraId="02A96827" w14:textId="77777777" w:rsidR="00DE602A" w:rsidRDefault="00DE602A" w:rsidP="00F8656F">
      <w:pPr>
        <w:pStyle w:val="DeptBodytext"/>
      </w:pPr>
      <w:r w:rsidRPr="00782D49">
        <w:t xml:space="preserve">Under a single licensing </w:t>
      </w:r>
      <w:r w:rsidR="00235D81">
        <w:t>system,</w:t>
      </w:r>
      <w:r>
        <w:t xml:space="preserve"> allocation and reallocation </w:t>
      </w:r>
      <w:r w:rsidR="004022CD">
        <w:t>processes would be streamlined and made consistent, reducing the regulatory burden.</w:t>
      </w:r>
      <w:r>
        <w:t xml:space="preserve"> </w:t>
      </w:r>
      <w:r w:rsidR="004022CD">
        <w:t xml:space="preserve">Arrangements </w:t>
      </w:r>
      <w:r w:rsidR="00EA7B8C">
        <w:t>would</w:t>
      </w:r>
      <w:r w:rsidR="004022CD">
        <w:t xml:space="preserve"> </w:t>
      </w:r>
      <w:r>
        <w:t xml:space="preserve">balance stakeholders’ need for transparency and certainty with the flexibility to </w:t>
      </w:r>
      <w:r w:rsidR="000A5822">
        <w:t>change spectrum use</w:t>
      </w:r>
      <w:r>
        <w:t xml:space="preserve"> when it is in the public interest to do so.</w:t>
      </w:r>
    </w:p>
    <w:p w14:paraId="380D3ED1" w14:textId="77777777" w:rsidR="00DE602A" w:rsidRDefault="00DE602A" w:rsidP="0089460A">
      <w:pPr>
        <w:pStyle w:val="DeptHeading5figurestables"/>
      </w:pPr>
      <w:r w:rsidRPr="00843276">
        <w:t>Planning allocation and reallocation processes</w:t>
      </w:r>
    </w:p>
    <w:p w14:paraId="6F2F9691" w14:textId="77777777" w:rsidR="00DE602A" w:rsidRDefault="00DE602A" w:rsidP="00F8656F">
      <w:pPr>
        <w:pStyle w:val="DeptBodytext"/>
      </w:pPr>
      <w:r>
        <w:t>The ACMA would be required to identify planned allocation and reallocation processes through its annual work</w:t>
      </w:r>
      <w:r w:rsidR="00385128">
        <w:t xml:space="preserve"> </w:t>
      </w:r>
      <w:r w:rsidR="00BD718A">
        <w:t>program</w:t>
      </w:r>
      <w:r>
        <w:t xml:space="preserve">. This would facilitate early engagement with stakeholders. </w:t>
      </w:r>
      <w:r w:rsidR="00385128">
        <w:t>While t</w:t>
      </w:r>
      <w:r>
        <w:t>he Minister would have powers to direct the ACMA in relation to the high level outcomes of these</w:t>
      </w:r>
      <w:r w:rsidR="00385128">
        <w:t xml:space="preserve"> processes, </w:t>
      </w:r>
      <w:r>
        <w:t xml:space="preserve">there would no longer be </w:t>
      </w:r>
      <w:r w:rsidR="006D7E55">
        <w:t xml:space="preserve">mandated </w:t>
      </w:r>
      <w:r>
        <w:t xml:space="preserve">Ministerial involvement in the </w:t>
      </w:r>
      <w:r w:rsidR="006D7E55">
        <w:t xml:space="preserve">routine </w:t>
      </w:r>
      <w:r>
        <w:t>processes</w:t>
      </w:r>
      <w:r w:rsidR="008F65B2">
        <w:t xml:space="preserve"> associated with </w:t>
      </w:r>
      <w:r w:rsidR="00AC43A2">
        <w:t xml:space="preserve">allocation and </w:t>
      </w:r>
      <w:r w:rsidR="008F65B2">
        <w:t xml:space="preserve">reallocation. </w:t>
      </w:r>
      <w:r w:rsidR="00385128">
        <w:t>The</w:t>
      </w:r>
      <w:r>
        <w:t xml:space="preserve"> ACMA would be able to undertake allocation </w:t>
      </w:r>
      <w:r w:rsidR="00AC43A2">
        <w:t xml:space="preserve">and reallocation </w:t>
      </w:r>
      <w:r>
        <w:t>activities where the</w:t>
      </w:r>
      <w:r w:rsidR="00385128">
        <w:t>se a</w:t>
      </w:r>
      <w:r>
        <w:t xml:space="preserve">re consistent with the Ministerial policy statement or outlined in </w:t>
      </w:r>
      <w:r w:rsidR="001E2ED8">
        <w:t>it</w:t>
      </w:r>
      <w:r>
        <w:t>s work</w:t>
      </w:r>
      <w:r w:rsidR="00385128">
        <w:t xml:space="preserve"> </w:t>
      </w:r>
      <w:r w:rsidR="00BD718A">
        <w:t>program</w:t>
      </w:r>
      <w:r>
        <w:t>.</w:t>
      </w:r>
    </w:p>
    <w:p w14:paraId="0FB023D4" w14:textId="77777777" w:rsidR="00DE602A" w:rsidRDefault="00DE602A" w:rsidP="00F8656F">
      <w:pPr>
        <w:pStyle w:val="DeptBodytext"/>
      </w:pPr>
      <w:r>
        <w:t xml:space="preserve">In the interests of </w:t>
      </w:r>
      <w:r w:rsidR="008C74B9">
        <w:t>providing licen</w:t>
      </w:r>
      <w:r w:rsidR="000E56A8">
        <w:t>s</w:t>
      </w:r>
      <w:r w:rsidR="008C74B9">
        <w:t>e</w:t>
      </w:r>
      <w:r w:rsidR="000E56A8">
        <w:t>e</w:t>
      </w:r>
      <w:r w:rsidR="008C74B9">
        <w:t>s with assurance about tenure</w:t>
      </w:r>
      <w:r>
        <w:t>, the ACMA would specify the processes governing variation or re</w:t>
      </w:r>
      <w:r w:rsidR="00431691">
        <w:t>vocation</w:t>
      </w:r>
      <w:r>
        <w:t xml:space="preserve"> of licences as a licence parameter at the time of issue. Additionally, the ACMA would be expected to manage </w:t>
      </w:r>
      <w:r>
        <w:lastRenderedPageBreak/>
        <w:t>future variation or reallocation processes by issuing licences of appropriate durations to accommodate planned reallocations of particular bands.</w:t>
      </w:r>
    </w:p>
    <w:p w14:paraId="735B25E6" w14:textId="77777777" w:rsidR="00DE602A" w:rsidRPr="00843276" w:rsidRDefault="00DE602A" w:rsidP="0089460A">
      <w:pPr>
        <w:pStyle w:val="DeptHeading5figurestables"/>
      </w:pPr>
      <w:r w:rsidRPr="00843276">
        <w:t>Allocation and reallocation processes</w:t>
      </w:r>
    </w:p>
    <w:p w14:paraId="0AC9D701" w14:textId="77777777" w:rsidR="00DE602A" w:rsidRPr="00782D49" w:rsidRDefault="00DE602A" w:rsidP="00F8656F">
      <w:pPr>
        <w:pStyle w:val="DeptBodytext"/>
      </w:pPr>
      <w:r w:rsidRPr="00F8484B">
        <w:t xml:space="preserve">The ACMA would be required to determine allocation </w:t>
      </w:r>
      <w:r w:rsidR="00AC43A2">
        <w:t xml:space="preserve">and reallocation </w:t>
      </w:r>
      <w:r w:rsidRPr="00F8484B">
        <w:t>procedures</w:t>
      </w:r>
      <w:r w:rsidR="00F8484B">
        <w:t xml:space="preserve"> in writing</w:t>
      </w:r>
      <w:r w:rsidR="00BB1896" w:rsidRPr="00F8484B">
        <w:t>,</w:t>
      </w:r>
      <w:r w:rsidR="00F8484B">
        <w:t xml:space="preserve"> including timing of </w:t>
      </w:r>
      <w:r w:rsidR="00AC43A2">
        <w:t>these processes</w:t>
      </w:r>
      <w:r w:rsidR="00F8484B" w:rsidRPr="00F8484B">
        <w:t xml:space="preserve">. </w:t>
      </w:r>
      <w:r w:rsidR="00F8484B">
        <w:t xml:space="preserve">The ACMA </w:t>
      </w:r>
      <w:r w:rsidR="00C409DD" w:rsidRPr="00F8484B">
        <w:t xml:space="preserve">would have the discretion to determine </w:t>
      </w:r>
      <w:r w:rsidR="00AC43A2">
        <w:t>the appropriate allocation or reallocation mechanism such as</w:t>
      </w:r>
      <w:r w:rsidR="00C409DD">
        <w:t xml:space="preserve"> auctions, tenders or administrative </w:t>
      </w:r>
      <w:r w:rsidR="007A2C6D">
        <w:t>mechanisms</w:t>
      </w:r>
      <w:r w:rsidR="00C409DD">
        <w:t>.</w:t>
      </w:r>
    </w:p>
    <w:p w14:paraId="7C49EAF2" w14:textId="77777777" w:rsidR="00DE602A" w:rsidRDefault="00DE602A" w:rsidP="00F8656F">
      <w:pPr>
        <w:pStyle w:val="DeptBodytext"/>
      </w:pPr>
      <w:r w:rsidRPr="00782D49">
        <w:t xml:space="preserve">The ACMA </w:t>
      </w:r>
      <w:r>
        <w:t>would</w:t>
      </w:r>
      <w:r w:rsidRPr="00782D49">
        <w:t xml:space="preserve"> have the authority to allocate </w:t>
      </w:r>
      <w:r w:rsidR="00AC43A2">
        <w:t>or reallocate spectrum</w:t>
      </w:r>
      <w:r w:rsidR="00AC43A2" w:rsidRPr="00782D49">
        <w:t xml:space="preserve"> </w:t>
      </w:r>
      <w:r w:rsidRPr="00782D49">
        <w:t xml:space="preserve">that </w:t>
      </w:r>
      <w:r w:rsidR="00AC43A2">
        <w:t>is</w:t>
      </w:r>
      <w:r w:rsidR="00AC43A2" w:rsidRPr="00782D49">
        <w:t xml:space="preserve"> </w:t>
      </w:r>
      <w:r w:rsidRPr="00782D49">
        <w:t xml:space="preserve">encumbered, to provide greater flexibility for both existing and future spectrum users, </w:t>
      </w:r>
      <w:r w:rsidR="00AC43A2">
        <w:t xml:space="preserve">facilitate </w:t>
      </w:r>
      <w:r w:rsidR="00872E02">
        <w:t xml:space="preserve">private band management </w:t>
      </w:r>
      <w:r w:rsidRPr="00782D49">
        <w:t xml:space="preserve">and encourage more efficient and intensive spectrum use. </w:t>
      </w:r>
      <w:r w:rsidR="003E78CF">
        <w:t xml:space="preserve">Allocating </w:t>
      </w:r>
      <w:r w:rsidR="00AC43A2">
        <w:t xml:space="preserve">and reallocating </w:t>
      </w:r>
      <w:r w:rsidR="003E78CF">
        <w:t>encumbered spectrum would need to take into account</w:t>
      </w:r>
      <w:r w:rsidRPr="009578AA">
        <w:t xml:space="preserve"> </w:t>
      </w:r>
      <w:r w:rsidRPr="00D4623B">
        <w:t>incumbents’ existing rights</w:t>
      </w:r>
      <w:r w:rsidR="00EC2B05">
        <w:t xml:space="preserve"> and licence </w:t>
      </w:r>
      <w:r w:rsidR="00D1191F">
        <w:t>durations</w:t>
      </w:r>
      <w:r w:rsidRPr="00D4623B">
        <w:t>.</w:t>
      </w:r>
    </w:p>
    <w:p w14:paraId="3AC73ED9" w14:textId="77777777" w:rsidR="00530583" w:rsidRDefault="00530583" w:rsidP="00F8656F">
      <w:pPr>
        <w:pStyle w:val="DeptBodytext"/>
      </w:pPr>
    </w:p>
    <w:p w14:paraId="08C2EB45" w14:textId="77777777" w:rsidR="00530583" w:rsidRDefault="00530583">
      <w:pPr>
        <w:rPr>
          <w:rFonts w:eastAsia="Times New Roman"/>
        </w:rPr>
      </w:pPr>
      <w:r>
        <w:br w:type="page"/>
      </w:r>
    </w:p>
    <w:p w14:paraId="38C860C7" w14:textId="77777777" w:rsidR="00F31542" w:rsidRPr="00303F88" w:rsidRDefault="00F31542" w:rsidP="000D57E8">
      <w:pPr>
        <w:pStyle w:val="DeptHeading2"/>
        <w:numPr>
          <w:ilvl w:val="1"/>
          <w:numId w:val="8"/>
        </w:numPr>
        <w:ind w:left="284" w:hanging="284"/>
        <w:rPr>
          <w:sz w:val="28"/>
          <w:szCs w:val="24"/>
        </w:rPr>
      </w:pPr>
      <w:bookmarkStart w:id="76" w:name="_Toc413139564"/>
      <w:r>
        <w:rPr>
          <w:sz w:val="28"/>
          <w:szCs w:val="24"/>
        </w:rPr>
        <w:lastRenderedPageBreak/>
        <w:t>Recommendation 1(</w:t>
      </w:r>
      <w:r w:rsidR="00A87D8F">
        <w:rPr>
          <w:sz w:val="28"/>
          <w:szCs w:val="24"/>
        </w:rPr>
        <w:t>e</w:t>
      </w:r>
      <w:r w:rsidRPr="00303F88">
        <w:rPr>
          <w:sz w:val="28"/>
          <w:szCs w:val="24"/>
        </w:rPr>
        <w:t xml:space="preserve">) </w:t>
      </w:r>
      <w:r>
        <w:rPr>
          <w:sz w:val="28"/>
          <w:szCs w:val="24"/>
        </w:rPr>
        <w:t>–</w:t>
      </w:r>
      <w:r w:rsidRPr="00303F88">
        <w:rPr>
          <w:sz w:val="28"/>
          <w:szCs w:val="24"/>
        </w:rPr>
        <w:t xml:space="preserve"> </w:t>
      </w:r>
      <w:r w:rsidR="00B77D40">
        <w:rPr>
          <w:sz w:val="28"/>
          <w:szCs w:val="24"/>
        </w:rPr>
        <w:t>User involvement in spectrum management</w:t>
      </w:r>
      <w:bookmarkEnd w:id="76"/>
      <w:r w:rsidR="00B77D40">
        <w:rPr>
          <w:sz w:val="28"/>
          <w:szCs w:val="24"/>
        </w:rPr>
        <w:t xml:space="preserve"> </w:t>
      </w:r>
    </w:p>
    <w:p w14:paraId="7A357A4C" w14:textId="77777777" w:rsidR="00576DB4" w:rsidRPr="00D3598B" w:rsidRDefault="00576DB4" w:rsidP="00576DB4">
      <w:pPr>
        <w:pStyle w:val="Deptbulletlist1"/>
        <w:rPr>
          <w:i/>
        </w:rPr>
      </w:pPr>
      <w:bookmarkStart w:id="77" w:name="_Toc412214235"/>
      <w:bookmarkStart w:id="78" w:name="_Toc412814554"/>
      <w:bookmarkStart w:id="79" w:name="_Toc413136136"/>
      <w:r w:rsidRPr="00D3598B">
        <w:rPr>
          <w:i/>
        </w:rPr>
        <w:t>Providing more opportunities for spectrum users to participate in spectrum management by:</w:t>
      </w:r>
    </w:p>
    <w:p w14:paraId="70A1A4CD" w14:textId="77777777" w:rsidR="00576DB4" w:rsidRPr="00D3598B" w:rsidRDefault="00576DB4" w:rsidP="00D81B73">
      <w:pPr>
        <w:pStyle w:val="Deptbulletlist2"/>
        <w:numPr>
          <w:ilvl w:val="0"/>
          <w:numId w:val="26"/>
        </w:numPr>
        <w:ind w:left="851" w:hanging="284"/>
        <w:rPr>
          <w:i/>
        </w:rPr>
      </w:pPr>
      <w:r w:rsidRPr="00D3598B">
        <w:rPr>
          <w:i/>
        </w:rPr>
        <w:t>enabling the ACMA to delegate spectrum management functions to other entities where appropriate</w:t>
      </w:r>
    </w:p>
    <w:p w14:paraId="043C3B98" w14:textId="77777777" w:rsidR="00576DB4" w:rsidRPr="00D3598B" w:rsidRDefault="00576DB4" w:rsidP="00D81B73">
      <w:pPr>
        <w:pStyle w:val="Deptbulletlist2"/>
        <w:numPr>
          <w:ilvl w:val="0"/>
          <w:numId w:val="26"/>
        </w:numPr>
        <w:ind w:left="851" w:hanging="284"/>
        <w:rPr>
          <w:i/>
        </w:rPr>
      </w:pPr>
      <w:r w:rsidRPr="00D3598B">
        <w:rPr>
          <w:i/>
        </w:rPr>
        <w:t>allowing licensees to resolve interference and disputes, including:</w:t>
      </w:r>
    </w:p>
    <w:p w14:paraId="15C6F815" w14:textId="77777777" w:rsidR="00576DB4" w:rsidRPr="00D3598B" w:rsidRDefault="00576DB4" w:rsidP="00576DB4">
      <w:pPr>
        <w:pStyle w:val="Deptlistbullet3"/>
        <w:tabs>
          <w:tab w:val="clear" w:pos="926"/>
          <w:tab w:val="num" w:pos="1276"/>
        </w:tabs>
        <w:ind w:left="1276" w:hanging="425"/>
        <w:rPr>
          <w:i/>
        </w:rPr>
      </w:pPr>
      <w:r w:rsidRPr="00D3598B">
        <w:rPr>
          <w:i/>
        </w:rPr>
        <w:t>encouraging licensees to access alternative dispute resolution</w:t>
      </w:r>
    </w:p>
    <w:p w14:paraId="0D280A82" w14:textId="77777777" w:rsidR="00576DB4" w:rsidRPr="00D3598B" w:rsidRDefault="00576DB4" w:rsidP="00576DB4">
      <w:pPr>
        <w:pStyle w:val="Deptlistbullet3"/>
        <w:tabs>
          <w:tab w:val="clear" w:pos="926"/>
          <w:tab w:val="num" w:pos="1276"/>
        </w:tabs>
        <w:ind w:left="1276" w:hanging="425"/>
        <w:rPr>
          <w:i/>
        </w:rPr>
      </w:pPr>
      <w:r w:rsidRPr="00D3598B">
        <w:rPr>
          <w:i/>
        </w:rPr>
        <w:t>requiring the ACMA to develop and publish guidelines on its dispute management processes</w:t>
      </w:r>
    </w:p>
    <w:p w14:paraId="5427DEA3" w14:textId="77777777" w:rsidR="00576DB4" w:rsidRPr="00D3598B" w:rsidRDefault="00576DB4" w:rsidP="00576DB4">
      <w:pPr>
        <w:pStyle w:val="Deptlistbullet3"/>
        <w:tabs>
          <w:tab w:val="clear" w:pos="926"/>
          <w:tab w:val="num" w:pos="1276"/>
        </w:tabs>
        <w:ind w:left="1276" w:hanging="425"/>
        <w:rPr>
          <w:i/>
        </w:rPr>
      </w:pPr>
      <w:r w:rsidRPr="00D3598B">
        <w:rPr>
          <w:i/>
        </w:rPr>
        <w:t>expanding rights of licensees to take civil proceedings.</w:t>
      </w:r>
    </w:p>
    <w:p w14:paraId="18950303" w14:textId="77777777" w:rsidR="008734EE" w:rsidRPr="00CB4498" w:rsidRDefault="008734EE" w:rsidP="00CB4498">
      <w:pPr>
        <w:pStyle w:val="DeptHeading2"/>
        <w:rPr>
          <w:rFonts w:eastAsia="MS Gothic"/>
          <w:b/>
          <w:i/>
          <w:iCs/>
          <w:color w:val="4F81BD"/>
          <w:sz w:val="24"/>
          <w:szCs w:val="24"/>
        </w:rPr>
      </w:pPr>
      <w:bookmarkStart w:id="80" w:name="_Toc413139565"/>
      <w:r w:rsidRPr="00CB4498">
        <w:rPr>
          <w:rFonts w:eastAsia="MS Gothic"/>
          <w:b/>
          <w:i/>
          <w:iCs/>
          <w:color w:val="4F81BD"/>
          <w:sz w:val="24"/>
          <w:szCs w:val="24"/>
        </w:rPr>
        <w:t>Rationale for reform</w:t>
      </w:r>
      <w:bookmarkEnd w:id="77"/>
      <w:bookmarkEnd w:id="78"/>
      <w:bookmarkEnd w:id="79"/>
      <w:bookmarkEnd w:id="80"/>
    </w:p>
    <w:p w14:paraId="27A13DDE" w14:textId="77777777" w:rsidR="008734EE" w:rsidRPr="00CB4498" w:rsidRDefault="008734EE" w:rsidP="00CB4498">
      <w:pPr>
        <w:pStyle w:val="DeptHeading5figurestables"/>
      </w:pPr>
      <w:r w:rsidRPr="00CB4498">
        <w:t>Delegating spectrum management functions</w:t>
      </w:r>
    </w:p>
    <w:p w14:paraId="6FCF34D4" w14:textId="77777777" w:rsidR="008734EE" w:rsidRDefault="008734EE" w:rsidP="00F8656F">
      <w:pPr>
        <w:pStyle w:val="DeptBodytext"/>
      </w:pPr>
      <w:r>
        <w:t xml:space="preserve">The </w:t>
      </w:r>
      <w:r w:rsidRPr="00BF4894">
        <w:t xml:space="preserve">ACMA is currently limited in the functions it can devolve to industry under the </w:t>
      </w:r>
      <w:r>
        <w:t xml:space="preserve">Act. Other entities may be able to perform these </w:t>
      </w:r>
      <w:r w:rsidRPr="00782D49">
        <w:t>functions more efficiently</w:t>
      </w:r>
      <w:r>
        <w:t xml:space="preserve"> and</w:t>
      </w:r>
      <w:r w:rsidRPr="00782D49">
        <w:t xml:space="preserve"> effectively</w:t>
      </w:r>
      <w:r>
        <w:t>.</w:t>
      </w:r>
      <w:r w:rsidRPr="00782D49">
        <w:t xml:space="preserve"> </w:t>
      </w:r>
      <w:r>
        <w:t xml:space="preserve">This proposal </w:t>
      </w:r>
      <w:r w:rsidR="00310A9D">
        <w:t>could</w:t>
      </w:r>
      <w:r w:rsidRPr="005165AC">
        <w:t xml:space="preserve"> </w:t>
      </w:r>
      <w:r w:rsidRPr="00782D49">
        <w:t xml:space="preserve">provide greater flexibility </w:t>
      </w:r>
      <w:r w:rsidR="00EC2B05">
        <w:t>and fit-for-</w:t>
      </w:r>
      <w:r>
        <w:t xml:space="preserve">purpose access arrangements </w:t>
      </w:r>
      <w:r w:rsidRPr="00782D49">
        <w:t>for spectrum users</w:t>
      </w:r>
      <w:r>
        <w:t xml:space="preserve"> by bringing spectrum management closer to the </w:t>
      </w:r>
      <w:r w:rsidR="00310A9D">
        <w:t>user</w:t>
      </w:r>
      <w:r w:rsidR="008577A7">
        <w:t xml:space="preserve"> where appropriate</w:t>
      </w:r>
      <w:r>
        <w:t>. It would also allow innovative management arrangements to develop, and potentially result in greater efficiency of spectrum use.</w:t>
      </w:r>
    </w:p>
    <w:p w14:paraId="7B2A9848" w14:textId="77777777" w:rsidR="008734EE" w:rsidRPr="00CB4498" w:rsidRDefault="008734EE" w:rsidP="00CB4498">
      <w:pPr>
        <w:pStyle w:val="DeptHeading5figurestables"/>
      </w:pPr>
      <w:r w:rsidRPr="00CB4498">
        <w:t>Allowing licensees to resolve interference disputes</w:t>
      </w:r>
    </w:p>
    <w:p w14:paraId="2C20F852" w14:textId="77777777" w:rsidR="008734EE" w:rsidRDefault="008734EE" w:rsidP="00F8656F">
      <w:pPr>
        <w:pStyle w:val="DeptBodytext"/>
      </w:pPr>
      <w:r>
        <w:t xml:space="preserve">The current </w:t>
      </w:r>
      <w:r w:rsidR="007A5368">
        <w:t>arrangements</w:t>
      </w:r>
      <w:r>
        <w:t xml:space="preserve"> do not encourage or incentivise spectrum users to resolve interference </w:t>
      </w:r>
      <w:r w:rsidR="00FB1A4A">
        <w:t xml:space="preserve">problems </w:t>
      </w:r>
      <w:r>
        <w:t xml:space="preserve">themselves, instead they rely on the ACMA to address these issues. This places an increased administrative burden on the ACMA where users have the capacity to resolve interference </w:t>
      </w:r>
      <w:r w:rsidR="00A80AC8">
        <w:t xml:space="preserve">disputes </w:t>
      </w:r>
      <w:r>
        <w:t xml:space="preserve">but do not do so. </w:t>
      </w:r>
    </w:p>
    <w:p w14:paraId="07E32681" w14:textId="77777777" w:rsidR="008734EE" w:rsidRDefault="008734EE" w:rsidP="00F8656F">
      <w:pPr>
        <w:pStyle w:val="DeptBodytext"/>
      </w:pPr>
      <w:r>
        <w:t>Stakeholders have requested the right to undertake civil action to enforce their rights of access.</w:t>
      </w:r>
    </w:p>
    <w:p w14:paraId="3048C5A2" w14:textId="77777777" w:rsidR="008734EE" w:rsidRPr="00CB4498" w:rsidRDefault="008734EE" w:rsidP="00CB4498">
      <w:pPr>
        <w:pStyle w:val="DeptHeading2"/>
        <w:rPr>
          <w:rFonts w:eastAsia="MS Gothic"/>
          <w:b/>
          <w:i/>
          <w:iCs/>
          <w:color w:val="4F81BD"/>
          <w:sz w:val="24"/>
          <w:szCs w:val="24"/>
        </w:rPr>
      </w:pPr>
      <w:bookmarkStart w:id="81" w:name="_Toc412214236"/>
      <w:bookmarkStart w:id="82" w:name="_Toc412814555"/>
      <w:bookmarkStart w:id="83" w:name="_Toc413136137"/>
      <w:bookmarkStart w:id="84" w:name="_Toc413139566"/>
      <w:r w:rsidRPr="00CB4498">
        <w:rPr>
          <w:rFonts w:eastAsia="MS Gothic"/>
          <w:b/>
          <w:i/>
          <w:iCs/>
          <w:color w:val="4F81BD"/>
          <w:sz w:val="24"/>
          <w:szCs w:val="24"/>
        </w:rPr>
        <w:t>Proposal</w:t>
      </w:r>
      <w:bookmarkEnd w:id="81"/>
      <w:bookmarkEnd w:id="82"/>
      <w:bookmarkEnd w:id="83"/>
      <w:bookmarkEnd w:id="84"/>
    </w:p>
    <w:p w14:paraId="72D2961D" w14:textId="77777777" w:rsidR="008734EE" w:rsidRPr="00CB4498" w:rsidRDefault="008734EE" w:rsidP="00CB4498">
      <w:pPr>
        <w:pStyle w:val="DeptHeading5figurestables"/>
      </w:pPr>
      <w:r w:rsidRPr="00CB4498">
        <w:t>Delegating spectrum management functions</w:t>
      </w:r>
    </w:p>
    <w:p w14:paraId="13D5D491" w14:textId="77777777" w:rsidR="008734EE" w:rsidRPr="00782D49" w:rsidRDefault="00341771" w:rsidP="00F8656F">
      <w:pPr>
        <w:pStyle w:val="DeptBodytext"/>
      </w:pPr>
      <w:r>
        <w:t>It is proposed that t</w:t>
      </w:r>
      <w:r w:rsidR="008734EE" w:rsidRPr="00782D49">
        <w:t xml:space="preserve">he ACMA </w:t>
      </w:r>
      <w:r>
        <w:t xml:space="preserve">be able </w:t>
      </w:r>
      <w:r w:rsidR="008734EE" w:rsidRPr="00782D49">
        <w:t xml:space="preserve">to delegate its spectrum management functions with the intention of enabling greater involvement of spectrum users and other entities in spectrum management and so improve flexibility and efficiency. </w:t>
      </w:r>
      <w:r w:rsidR="008734EE" w:rsidRPr="004D122D">
        <w:t xml:space="preserve">This may </w:t>
      </w:r>
      <w:r w:rsidR="008734EE">
        <w:t>include</w:t>
      </w:r>
      <w:r w:rsidR="008734EE" w:rsidRPr="004D122D">
        <w:t xml:space="preserve"> private band management or involvement of other entities in </w:t>
      </w:r>
      <w:r w:rsidR="008734EE">
        <w:t>specific</w:t>
      </w:r>
      <w:r w:rsidR="008734EE" w:rsidRPr="004D122D">
        <w:t xml:space="preserve"> parts of the </w:t>
      </w:r>
      <w:r w:rsidR="007A5368">
        <w:t>framework</w:t>
      </w:r>
      <w:r w:rsidR="008734EE" w:rsidRPr="004D122D">
        <w:t>.</w:t>
      </w:r>
      <w:r w:rsidR="008734EE">
        <w:t xml:space="preserve"> </w:t>
      </w:r>
    </w:p>
    <w:p w14:paraId="0D48863C" w14:textId="77777777" w:rsidR="008734EE" w:rsidRDefault="008734EE" w:rsidP="00F8656F">
      <w:pPr>
        <w:pStyle w:val="DeptBodytext"/>
      </w:pPr>
      <w:r>
        <w:t>The ACMA would designate what roles or functions were to be delegated and any requirements that would apply. This could include planning, licensing, pricing, fee collection, interference mana</w:t>
      </w:r>
      <w:r w:rsidR="009E25BF">
        <w:t xml:space="preserve">gement and dispute resolution. </w:t>
      </w:r>
      <w:r w:rsidR="00C6380C">
        <w:t>In the interests of flexibility, t</w:t>
      </w:r>
      <w:r>
        <w:t>he legislation would n</w:t>
      </w:r>
      <w:r w:rsidR="009E25BF">
        <w:t>ot mandate particular functions</w:t>
      </w:r>
      <w:r>
        <w:t>.</w:t>
      </w:r>
    </w:p>
    <w:p w14:paraId="3252712E" w14:textId="77777777" w:rsidR="008734EE" w:rsidRDefault="008734EE" w:rsidP="00F8656F">
      <w:pPr>
        <w:pStyle w:val="DeptBodytext"/>
      </w:pPr>
      <w:r w:rsidRPr="00782D49">
        <w:t>The ACMA would be responsible for monitoring and overs</w:t>
      </w:r>
      <w:r w:rsidR="006D7FAD">
        <w:t>ee</w:t>
      </w:r>
      <w:r w:rsidRPr="00782D49">
        <w:t xml:space="preserve">ing these arrangements to ensure the delegated functions </w:t>
      </w:r>
      <w:r w:rsidR="00A80AC8">
        <w:t>a</w:t>
      </w:r>
      <w:r w:rsidRPr="00782D49">
        <w:t>re performed effectively</w:t>
      </w:r>
      <w:r w:rsidR="00A80AC8">
        <w:t xml:space="preserve"> and remain</w:t>
      </w:r>
      <w:r>
        <w:t xml:space="preserve"> consistent with </w:t>
      </w:r>
      <w:r>
        <w:lastRenderedPageBreak/>
        <w:t>policy guidance and spectrum management arrangements</w:t>
      </w:r>
      <w:r w:rsidRPr="00782D49">
        <w:t>. The ACMA would be able to withdraw delegations for certain reasons, for example, breaches of requirements.</w:t>
      </w:r>
    </w:p>
    <w:p w14:paraId="1FCCD332" w14:textId="77777777" w:rsidR="000B1C70" w:rsidRDefault="008577A7" w:rsidP="00F8656F">
      <w:pPr>
        <w:pStyle w:val="DeptBodytext"/>
      </w:pPr>
      <w:r>
        <w:t>Some s</w:t>
      </w:r>
      <w:r w:rsidR="008734EE">
        <w:t xml:space="preserve">takeholders </w:t>
      </w:r>
      <w:r>
        <w:t>have indicated concern</w:t>
      </w:r>
      <w:r w:rsidR="008734EE">
        <w:t xml:space="preserve"> about the delegation of </w:t>
      </w:r>
      <w:r>
        <w:t xml:space="preserve">particular </w:t>
      </w:r>
      <w:r w:rsidR="008734EE">
        <w:t xml:space="preserve">functions, </w:t>
      </w:r>
      <w:r>
        <w:t xml:space="preserve">such as </w:t>
      </w:r>
      <w:r w:rsidR="008734EE">
        <w:t>interference management and compliance and enforcement. The</w:t>
      </w:r>
      <w:r w:rsidR="005C768E">
        <w:t xml:space="preserve"> Department’s</w:t>
      </w:r>
      <w:r w:rsidR="008734EE">
        <w:t xml:space="preserve"> preferred approach is to not limit the kinds of functions that can be delegated, with the appropriateness of doing so to be considered at the time a proposal is put forward. It is expected that the ACMA would retain oversight of any functions delegated</w:t>
      </w:r>
      <w:r w:rsidR="00416B90">
        <w:t>, having regard to any Ministerial policy statements</w:t>
      </w:r>
      <w:r w:rsidR="008734EE">
        <w:t xml:space="preserve">. </w:t>
      </w:r>
    </w:p>
    <w:p w14:paraId="0FCEE4B5" w14:textId="77777777" w:rsidR="008C22F5" w:rsidRDefault="008C22F5" w:rsidP="00F8656F">
      <w:pPr>
        <w:pStyle w:val="DeptBodytext"/>
      </w:pPr>
      <w:r>
        <w:t>Some stakeholders suggested in submissions that industry codes may be a useful tool for users</w:t>
      </w:r>
      <w:r w:rsidR="006D7FAD">
        <w:t>’</w:t>
      </w:r>
      <w:r>
        <w:t xml:space="preserve"> involvement in spectrum management. Industry codes are most likely to be successful where</w:t>
      </w:r>
      <w:r w:rsidR="000B1C70" w:rsidRPr="000B1C70">
        <w:t xml:space="preserve"> </w:t>
      </w:r>
      <w:r w:rsidR="003C1485">
        <w:t>they deal with technical issues and the</w:t>
      </w:r>
      <w:r w:rsidR="000B1C70" w:rsidRPr="003B1D88">
        <w:t xml:space="preserve"> industry is clearly defined with </w:t>
      </w:r>
      <w:r w:rsidR="000B1C70">
        <w:t xml:space="preserve">a </w:t>
      </w:r>
      <w:r w:rsidR="000B1C70" w:rsidRPr="003B1D88">
        <w:t xml:space="preserve">small number of participants. </w:t>
      </w:r>
      <w:r w:rsidR="000B1C70">
        <w:t xml:space="preserve">The spectrum sector is more fragmented, with a large number of diverse users, and less suited to a co-regulatory approach where </w:t>
      </w:r>
      <w:r w:rsidR="000B1C70" w:rsidRPr="003B1D88">
        <w:t>codes are required to be agreed by all or a substantial sector of the affected parties.</w:t>
      </w:r>
      <w:r w:rsidR="000B1C70" w:rsidRPr="00365F3B">
        <w:t xml:space="preserve"> </w:t>
      </w:r>
      <w:r w:rsidR="00341771">
        <w:t xml:space="preserve">While the new Act </w:t>
      </w:r>
      <w:r w:rsidR="00D07E63">
        <w:t>w</w:t>
      </w:r>
      <w:r w:rsidR="00D07E63" w:rsidRPr="00761BE2">
        <w:t xml:space="preserve">ould </w:t>
      </w:r>
      <w:r w:rsidR="00C6492B" w:rsidRPr="00761BE2">
        <w:t xml:space="preserve">provide for industry codes, </w:t>
      </w:r>
      <w:r w:rsidR="00C6492B" w:rsidRPr="00C6492B">
        <w:t>t</w:t>
      </w:r>
      <w:r w:rsidRPr="00C6492B">
        <w:t>he</w:t>
      </w:r>
      <w:r>
        <w:t xml:space="preserve"> Department’s preferred approach is for </w:t>
      </w:r>
      <w:r w:rsidR="000B1C70">
        <w:t xml:space="preserve">user involvement in spectrum management </w:t>
      </w:r>
      <w:r>
        <w:t xml:space="preserve">to occur through self-regulation or the delegation of spectrum management functions by the ACMA. </w:t>
      </w:r>
    </w:p>
    <w:p w14:paraId="0F28A86F" w14:textId="77777777" w:rsidR="008734EE" w:rsidRDefault="008734EE" w:rsidP="00CB4498">
      <w:pPr>
        <w:pStyle w:val="DeptHeading5figurestables"/>
      </w:pPr>
      <w:r w:rsidRPr="00CB4498">
        <w:t>Allowing licensees to resolve interference disputes</w:t>
      </w:r>
    </w:p>
    <w:p w14:paraId="25D2520A" w14:textId="77777777" w:rsidR="00EB45B7" w:rsidRDefault="008734EE" w:rsidP="00F8656F">
      <w:pPr>
        <w:pStyle w:val="DeptBodytext"/>
      </w:pPr>
      <w:r>
        <w:t xml:space="preserve">The intention </w:t>
      </w:r>
      <w:r w:rsidR="00F73062">
        <w:t>is</w:t>
      </w:r>
      <w:r>
        <w:t xml:space="preserve"> to allow spectrum users in dispute over interference to </w:t>
      </w:r>
      <w:r w:rsidR="00EB45B7">
        <w:t xml:space="preserve">voluntarily </w:t>
      </w:r>
      <w:r>
        <w:t xml:space="preserve">attempt resolution </w:t>
      </w:r>
      <w:r w:rsidR="00EB45B7">
        <w:t xml:space="preserve">directly themselves or </w:t>
      </w:r>
      <w:r>
        <w:t xml:space="preserve">through alternative dispute resolution mechanisms, prior to approaching the ACMA. </w:t>
      </w:r>
      <w:r w:rsidR="00EB45B7">
        <w:t>In cases where this option is taken up, the ACMA would only become involved where a report from a conciliator or mediator indicates that no resolution is possible.</w:t>
      </w:r>
    </w:p>
    <w:p w14:paraId="10A20774" w14:textId="77777777" w:rsidR="008734EE" w:rsidRDefault="00EB45B7" w:rsidP="00F8656F">
      <w:pPr>
        <w:pStyle w:val="DeptBodytext"/>
      </w:pPr>
      <w:r>
        <w:t xml:space="preserve">To encourage this option to be used, the ACMA would be required to publish guidelines setting out its dispute handling process, including the expectation that users generally attempt to resolve an issue themselves before coming to the ACMA. These would be developed in consultation with the Minister and stakeholders. </w:t>
      </w:r>
      <w:r w:rsidR="008734EE">
        <w:t>The ACMA</w:t>
      </w:r>
      <w:r>
        <w:t>’s guidelines</w:t>
      </w:r>
      <w:r w:rsidR="008734EE">
        <w:t xml:space="preserve"> </w:t>
      </w:r>
      <w:r w:rsidR="008734EE" w:rsidRPr="00C9334C">
        <w:t xml:space="preserve">would include the process steps and outline the roles and responsibilities </w:t>
      </w:r>
      <w:r w:rsidR="008734EE">
        <w:t>of</w:t>
      </w:r>
      <w:r w:rsidR="008734EE" w:rsidRPr="00C9334C">
        <w:t xml:space="preserve"> all involved</w:t>
      </w:r>
      <w:r w:rsidR="00B24526">
        <w:t xml:space="preserve"> in a dispute.</w:t>
      </w:r>
      <w:r w:rsidR="008734EE">
        <w:t xml:space="preserve"> </w:t>
      </w:r>
      <w:r w:rsidR="008734EE" w:rsidRPr="00F97AB0">
        <w:t>The</w:t>
      </w:r>
      <w:r w:rsidR="008734EE">
        <w:t xml:space="preserve">se guidelines would form the basis of a standard approach to dispute resolution </w:t>
      </w:r>
      <w:r w:rsidR="00EE394A">
        <w:t>and</w:t>
      </w:r>
      <w:r w:rsidR="009E25BF">
        <w:t xml:space="preserve"> </w:t>
      </w:r>
      <w:r w:rsidR="008734EE">
        <w:t xml:space="preserve">guide the conduct of any </w:t>
      </w:r>
      <w:r w:rsidR="00EE394A">
        <w:t xml:space="preserve">independent </w:t>
      </w:r>
      <w:r w:rsidR="008734EE" w:rsidRPr="004658F9">
        <w:t>dispute resolution</w:t>
      </w:r>
      <w:r w:rsidR="008734EE">
        <w:t xml:space="preserve"> processes.</w:t>
      </w:r>
    </w:p>
    <w:p w14:paraId="33049AFF" w14:textId="77777777" w:rsidR="008734EE" w:rsidRDefault="008734EE" w:rsidP="00F8656F">
      <w:pPr>
        <w:pStyle w:val="DeptBodytext"/>
      </w:pPr>
      <w:r>
        <w:t xml:space="preserve">Interference protection is a primary concern of </w:t>
      </w:r>
      <w:r w:rsidR="00A96154">
        <w:t>stakeholders</w:t>
      </w:r>
      <w:r>
        <w:t xml:space="preserve">. It will not always be appropriate for users to resolve interference </w:t>
      </w:r>
      <w:r w:rsidR="00F73062">
        <w:t xml:space="preserve">issues </w:t>
      </w:r>
      <w:r>
        <w:t>themselves. In some cases the interfering party may not be readily identifiable</w:t>
      </w:r>
      <w:r w:rsidR="003F4F7F">
        <w:t xml:space="preserve"> and interference may have serious consequences</w:t>
      </w:r>
      <w:r>
        <w:t xml:space="preserve">. </w:t>
      </w:r>
      <w:r w:rsidR="00FB1A4A">
        <w:t xml:space="preserve">Under a user-managed arrangement, there </w:t>
      </w:r>
      <w:r w:rsidRPr="00FB1A4A">
        <w:t>would be a process to escalate interference disputes for resolution by the ACMA. Where interference is particularly serious, for example where it threatens</w:t>
      </w:r>
      <w:r>
        <w:t xml:space="preserve"> safety of life and/or property, </w:t>
      </w:r>
      <w:r w:rsidR="00BB06A7">
        <w:t xml:space="preserve">and for </w:t>
      </w:r>
      <w:r w:rsidR="00362D56">
        <w:t>interference</w:t>
      </w:r>
      <w:r w:rsidR="00BB06A7">
        <w:t xml:space="preserve"> of unknown origin, </w:t>
      </w:r>
      <w:r>
        <w:t>the ACMA would remain the most appropriate body to in</w:t>
      </w:r>
      <w:r w:rsidR="00AF3ECD">
        <w:t>vestigate and initiate action.</w:t>
      </w:r>
    </w:p>
    <w:p w14:paraId="52BB08C5" w14:textId="77777777" w:rsidR="00C6492B" w:rsidRDefault="008734EE" w:rsidP="00F8656F">
      <w:pPr>
        <w:pStyle w:val="DeptBodytext"/>
      </w:pPr>
      <w:r>
        <w:t xml:space="preserve">Spectrum licensees are currently able to undertake Federal Court civil proceedings against a person causing them interference. The proposal would expand eligibility to undertake civil proceedings to </w:t>
      </w:r>
      <w:r w:rsidR="0022172A">
        <w:t xml:space="preserve">a wider range of </w:t>
      </w:r>
      <w:r>
        <w:t>licensees</w:t>
      </w:r>
      <w:r w:rsidR="008C22F5">
        <w:t xml:space="preserve">. </w:t>
      </w:r>
      <w:r w:rsidR="00C6492B">
        <w:br w:type="page"/>
      </w:r>
    </w:p>
    <w:p w14:paraId="6C4C4920" w14:textId="77777777" w:rsidR="00F31542" w:rsidRPr="00303F88" w:rsidRDefault="00F31542" w:rsidP="000D57E8">
      <w:pPr>
        <w:pStyle w:val="DeptHeading2"/>
        <w:numPr>
          <w:ilvl w:val="1"/>
          <w:numId w:val="8"/>
        </w:numPr>
        <w:ind w:left="284" w:hanging="284"/>
        <w:rPr>
          <w:sz w:val="28"/>
          <w:szCs w:val="24"/>
        </w:rPr>
      </w:pPr>
      <w:bookmarkStart w:id="85" w:name="_Toc413139567"/>
      <w:r>
        <w:rPr>
          <w:sz w:val="28"/>
          <w:szCs w:val="24"/>
        </w:rPr>
        <w:lastRenderedPageBreak/>
        <w:t>Recommendation 1(</w:t>
      </w:r>
      <w:r w:rsidR="00A87D8F">
        <w:rPr>
          <w:sz w:val="28"/>
          <w:szCs w:val="24"/>
        </w:rPr>
        <w:t>f</w:t>
      </w:r>
      <w:r w:rsidRPr="00303F88">
        <w:rPr>
          <w:sz w:val="28"/>
          <w:szCs w:val="24"/>
        </w:rPr>
        <w:t xml:space="preserve">) </w:t>
      </w:r>
      <w:r>
        <w:rPr>
          <w:sz w:val="28"/>
          <w:szCs w:val="24"/>
        </w:rPr>
        <w:t>–</w:t>
      </w:r>
      <w:r w:rsidRPr="00303F88">
        <w:rPr>
          <w:sz w:val="28"/>
          <w:szCs w:val="24"/>
        </w:rPr>
        <w:t xml:space="preserve"> </w:t>
      </w:r>
      <w:r w:rsidR="00CB572C">
        <w:rPr>
          <w:sz w:val="28"/>
          <w:szCs w:val="24"/>
        </w:rPr>
        <w:t>Streamlin</w:t>
      </w:r>
      <w:r w:rsidR="00351CCE">
        <w:rPr>
          <w:sz w:val="28"/>
          <w:szCs w:val="24"/>
        </w:rPr>
        <w:t xml:space="preserve">ed </w:t>
      </w:r>
      <w:r w:rsidR="00CB572C">
        <w:rPr>
          <w:sz w:val="28"/>
          <w:szCs w:val="24"/>
        </w:rPr>
        <w:t>device supply schemes</w:t>
      </w:r>
      <w:bookmarkEnd w:id="85"/>
    </w:p>
    <w:p w14:paraId="459E4F7B" w14:textId="77777777" w:rsidR="00576DB4" w:rsidRPr="00D3598B" w:rsidRDefault="00576DB4" w:rsidP="00576DB4">
      <w:pPr>
        <w:pStyle w:val="Deptbulletlist1"/>
        <w:rPr>
          <w:i/>
        </w:rPr>
      </w:pPr>
      <w:bookmarkStart w:id="86" w:name="_Toc412214238"/>
      <w:bookmarkStart w:id="87" w:name="_Toc412814557"/>
      <w:bookmarkStart w:id="88" w:name="_Toc413136139"/>
      <w:r w:rsidRPr="00D3598B">
        <w:rPr>
          <w:i/>
        </w:rPr>
        <w:t>Streamlining device supply schemes by:</w:t>
      </w:r>
    </w:p>
    <w:p w14:paraId="655BE917" w14:textId="77777777" w:rsidR="00576DB4" w:rsidRPr="00D3598B" w:rsidRDefault="00576DB4" w:rsidP="00D81B73">
      <w:pPr>
        <w:pStyle w:val="Deptbulletlist2"/>
        <w:numPr>
          <w:ilvl w:val="0"/>
          <w:numId w:val="27"/>
        </w:numPr>
        <w:ind w:left="851" w:hanging="284"/>
        <w:rPr>
          <w:i/>
        </w:rPr>
      </w:pPr>
      <w:r w:rsidRPr="00D3598B">
        <w:rPr>
          <w:i/>
        </w:rPr>
        <w:t>authorising the ACMA to develop targeted device supply schemes commensurate with risk</w:t>
      </w:r>
    </w:p>
    <w:p w14:paraId="1209F52B" w14:textId="77777777" w:rsidR="00576DB4" w:rsidRPr="00D3598B" w:rsidRDefault="00576DB4" w:rsidP="00D81B73">
      <w:pPr>
        <w:pStyle w:val="Deptbulletlist2"/>
        <w:numPr>
          <w:ilvl w:val="0"/>
          <w:numId w:val="27"/>
        </w:numPr>
        <w:ind w:left="851" w:hanging="284"/>
        <w:rPr>
          <w:i/>
        </w:rPr>
      </w:pPr>
      <w:r w:rsidRPr="00D3598B">
        <w:rPr>
          <w:i/>
        </w:rPr>
        <w:t>allowing users of devices that are not subject to a specific scheme to manage their compliance obligations consistent with general interference management principles.</w:t>
      </w:r>
    </w:p>
    <w:p w14:paraId="230F35FC" w14:textId="77777777" w:rsidR="00F31542" w:rsidRPr="00CB572C" w:rsidRDefault="00F31542" w:rsidP="00CB572C">
      <w:pPr>
        <w:pStyle w:val="DeptHeading2"/>
        <w:rPr>
          <w:rFonts w:eastAsia="MS Gothic"/>
          <w:b/>
          <w:i/>
          <w:color w:val="4F81BD"/>
          <w:sz w:val="24"/>
          <w:szCs w:val="24"/>
        </w:rPr>
      </w:pPr>
      <w:bookmarkStart w:id="89" w:name="_Toc413139568"/>
      <w:r w:rsidRPr="00CB572C">
        <w:rPr>
          <w:rFonts w:eastAsia="MS Gothic"/>
          <w:b/>
          <w:i/>
          <w:color w:val="4F81BD"/>
          <w:sz w:val="24"/>
          <w:szCs w:val="24"/>
        </w:rPr>
        <w:t>Rationale for reform</w:t>
      </w:r>
      <w:bookmarkEnd w:id="86"/>
      <w:bookmarkEnd w:id="87"/>
      <w:bookmarkEnd w:id="88"/>
      <w:bookmarkEnd w:id="89"/>
    </w:p>
    <w:p w14:paraId="1996C357" w14:textId="77777777" w:rsidR="003E1DA6" w:rsidRPr="00365F3B" w:rsidRDefault="00533AA1" w:rsidP="00F8656F">
      <w:pPr>
        <w:pStyle w:val="DeptBodytext"/>
      </w:pPr>
      <w:r>
        <w:t xml:space="preserve">Supply regulation needs to be simplified and made less duplicative. </w:t>
      </w:r>
      <w:r w:rsidR="003E1DA6">
        <w:t xml:space="preserve">Supply regulation is necessary to </w:t>
      </w:r>
      <w:r w:rsidR="009A73AB">
        <w:t>limit the likelihood of</w:t>
      </w:r>
      <w:r w:rsidR="003E1DA6">
        <w:t xml:space="preserve"> non-compliant devices </w:t>
      </w:r>
      <w:r w:rsidR="009A73AB">
        <w:t>entering</w:t>
      </w:r>
      <w:r w:rsidR="003E1DA6">
        <w:t xml:space="preserve"> the market and creat</w:t>
      </w:r>
      <w:r w:rsidR="009A73AB">
        <w:t>ing</w:t>
      </w:r>
      <w:r w:rsidR="003E1DA6">
        <w:t xml:space="preserve"> interference to radio communications. </w:t>
      </w:r>
      <w:r w:rsidR="00215724" w:rsidRPr="00D07E63">
        <w:t>Currently</w:t>
      </w:r>
      <w:r w:rsidR="00215724">
        <w:t xml:space="preserve"> a</w:t>
      </w:r>
      <w:r w:rsidR="003E1DA6">
        <w:t xml:space="preserve">n </w:t>
      </w:r>
      <w:r w:rsidR="003E1DA6" w:rsidRPr="00365F3B">
        <w:t>ex ante</w:t>
      </w:r>
      <w:r w:rsidR="003E1DA6">
        <w:t xml:space="preserve"> approach is used as it </w:t>
      </w:r>
      <w:r w:rsidR="009A73AB">
        <w:t>is</w:t>
      </w:r>
      <w:r w:rsidR="003E1DA6">
        <w:t xml:space="preserve"> too difficult and costly to regulate use after the fact. The scope of regulation is broad</w:t>
      </w:r>
      <w:r w:rsidR="00242DA6">
        <w:t>. It</w:t>
      </w:r>
      <w:r w:rsidR="003E1DA6">
        <w:t xml:space="preserve"> includes </w:t>
      </w:r>
      <w:r w:rsidR="003E1DA6" w:rsidRPr="00A61949">
        <w:t>all</w:t>
      </w:r>
      <w:r w:rsidR="003E1DA6">
        <w:t xml:space="preserve"> electrical and electronic equipment to ensure their electromagnetic compatibility, as well as </w:t>
      </w:r>
      <w:r w:rsidR="00882623">
        <w:t>mandates</w:t>
      </w:r>
      <w:r w:rsidR="003E1DA6">
        <w:t xml:space="preserve"> specific performance characteristics for radio communications transmitters.</w:t>
      </w:r>
    </w:p>
    <w:p w14:paraId="47D09C53" w14:textId="77777777" w:rsidR="0009747B" w:rsidRPr="0009747B" w:rsidRDefault="003E1DA6" w:rsidP="00F8656F">
      <w:pPr>
        <w:pStyle w:val="DeptBodytext"/>
      </w:pPr>
      <w:r>
        <w:t>T</w:t>
      </w:r>
      <w:r w:rsidRPr="00F97AB0">
        <w:t xml:space="preserve">he </w:t>
      </w:r>
      <w:r w:rsidR="009A73AB">
        <w:t xml:space="preserve">current </w:t>
      </w:r>
      <w:r w:rsidRPr="00F97AB0">
        <w:t xml:space="preserve">Act </w:t>
      </w:r>
      <w:r w:rsidR="00215724">
        <w:t xml:space="preserve">is very </w:t>
      </w:r>
      <w:r w:rsidR="005E2FEC">
        <w:t>detailed</w:t>
      </w:r>
      <w:r w:rsidR="00215724">
        <w:t xml:space="preserve"> and</w:t>
      </w:r>
      <w:r w:rsidR="00FB568C">
        <w:t xml:space="preserve"> </w:t>
      </w:r>
      <w:r w:rsidR="005E2FEC">
        <w:t>allows for the ACMA to make</w:t>
      </w:r>
      <w:r w:rsidRPr="00F97AB0">
        <w:t xml:space="preserve"> standards, labelling and record-keeping requirements</w:t>
      </w:r>
      <w:r>
        <w:t xml:space="preserve"> </w:t>
      </w:r>
      <w:r w:rsidR="005E2FEC">
        <w:t xml:space="preserve">that </w:t>
      </w:r>
      <w:r>
        <w:t xml:space="preserve">are </w:t>
      </w:r>
      <w:r w:rsidRPr="00F97AB0">
        <w:t>burdensome</w:t>
      </w:r>
      <w:r>
        <w:t xml:space="preserve"> for</w:t>
      </w:r>
      <w:r w:rsidRPr="00F97AB0">
        <w:t xml:space="preserve"> business</w:t>
      </w:r>
      <w:r w:rsidR="00E40C5B">
        <w:t xml:space="preserve"> and the ACMA</w:t>
      </w:r>
      <w:r>
        <w:t>.</w:t>
      </w:r>
      <w:r w:rsidRPr="006540B7">
        <w:t xml:space="preserve"> </w:t>
      </w:r>
      <w:r w:rsidR="00223517">
        <w:t>It</w:t>
      </w:r>
      <w:r>
        <w:t xml:space="preserve"> also imposes an Australia-specific compliance burden </w:t>
      </w:r>
      <w:r w:rsidR="0061404E">
        <w:t xml:space="preserve">on suppliers </w:t>
      </w:r>
      <w:r>
        <w:t>that can act as a barrier to market entry and international trade.</w:t>
      </w:r>
      <w:r w:rsidR="009A73AB">
        <w:t xml:space="preserve"> </w:t>
      </w:r>
      <w:r w:rsidR="0009747B" w:rsidRPr="0009747B">
        <w:t xml:space="preserve">The globalisation of trade has also meant that the current </w:t>
      </w:r>
      <w:r w:rsidR="007A5368">
        <w:t>framework</w:t>
      </w:r>
      <w:r w:rsidR="0009747B" w:rsidRPr="0009747B">
        <w:t xml:space="preserve"> fails to capture all relevant parties in the supply chain such as some parallel imports and drop shipments.</w:t>
      </w:r>
      <w:r w:rsidR="00F31945" w:rsidRPr="00365F3B">
        <w:rPr>
          <w:vertAlign w:val="superscript"/>
        </w:rPr>
        <w:footnoteReference w:id="13"/>
      </w:r>
    </w:p>
    <w:p w14:paraId="2909ED14" w14:textId="77777777" w:rsidR="003E1DA6" w:rsidRDefault="003E1DA6" w:rsidP="00F8656F">
      <w:pPr>
        <w:pStyle w:val="DeptBodytext"/>
      </w:pPr>
      <w:r w:rsidRPr="00006B27">
        <w:t xml:space="preserve">Simplifying compliance </w:t>
      </w:r>
      <w:r>
        <w:t xml:space="preserve">is part of </w:t>
      </w:r>
      <w:r w:rsidRPr="00A971DC">
        <w:t xml:space="preserve">the </w:t>
      </w:r>
      <w:r>
        <w:t xml:space="preserve">Australian </w:t>
      </w:r>
      <w:r w:rsidRPr="00A971DC">
        <w:t>Government’s Industry Innovation and Competitiveness Agenda</w:t>
      </w:r>
      <w:r w:rsidR="002B4B34" w:rsidRPr="00214782">
        <w:rPr>
          <w:vertAlign w:val="superscript"/>
        </w:rPr>
        <w:footnoteReference w:id="14"/>
      </w:r>
      <w:r w:rsidRPr="004E2796">
        <w:t xml:space="preserve"> </w:t>
      </w:r>
      <w:r w:rsidR="0064001D">
        <w:t>to</w:t>
      </w:r>
      <w:r w:rsidRPr="00006B27">
        <w:t xml:space="preserve"> </w:t>
      </w:r>
      <w:r w:rsidR="00F73062">
        <w:t>assist</w:t>
      </w:r>
      <w:r w:rsidR="00F73062" w:rsidRPr="00006B27">
        <w:t xml:space="preserve"> </w:t>
      </w:r>
      <w:r w:rsidRPr="00006B27">
        <w:t xml:space="preserve">small and large businesses. Reducing </w:t>
      </w:r>
      <w:r>
        <w:t>the highly detailed requirements</w:t>
      </w:r>
      <w:r w:rsidRPr="00006B27">
        <w:t xml:space="preserve"> </w:t>
      </w:r>
      <w:r w:rsidR="005E2FEC">
        <w:t xml:space="preserve">where appropriate </w:t>
      </w:r>
      <w:r w:rsidR="009A3247">
        <w:t>would</w:t>
      </w:r>
      <w:r w:rsidRPr="00006B27">
        <w:t xml:space="preserve"> reduce costs and delays for businesses, increase the supply of products into the Australian market and allow regulatory authorities to focus on higher priorities.</w:t>
      </w:r>
    </w:p>
    <w:p w14:paraId="7CD8D255" w14:textId="77777777" w:rsidR="00F31542" w:rsidRPr="00CB572C" w:rsidRDefault="00CB572C" w:rsidP="00CB572C">
      <w:pPr>
        <w:pStyle w:val="DeptHeading2"/>
        <w:rPr>
          <w:rFonts w:eastAsia="MS Gothic"/>
          <w:b/>
          <w:i/>
          <w:color w:val="4F81BD"/>
          <w:sz w:val="24"/>
          <w:szCs w:val="24"/>
        </w:rPr>
      </w:pPr>
      <w:bookmarkStart w:id="90" w:name="_Toc412214239"/>
      <w:bookmarkStart w:id="91" w:name="_Toc412814558"/>
      <w:bookmarkStart w:id="92" w:name="_Toc413136140"/>
      <w:bookmarkStart w:id="93" w:name="_Toc413139569"/>
      <w:r>
        <w:rPr>
          <w:rFonts w:eastAsia="MS Gothic"/>
          <w:b/>
          <w:i/>
          <w:iCs/>
          <w:color w:val="4F81BD"/>
          <w:sz w:val="24"/>
          <w:szCs w:val="24"/>
        </w:rPr>
        <w:t>P</w:t>
      </w:r>
      <w:r w:rsidR="00F31542" w:rsidRPr="00CB572C">
        <w:rPr>
          <w:rFonts w:eastAsia="MS Gothic"/>
          <w:b/>
          <w:i/>
          <w:iCs/>
          <w:color w:val="4F81BD"/>
          <w:sz w:val="24"/>
          <w:szCs w:val="24"/>
        </w:rPr>
        <w:t>roposal</w:t>
      </w:r>
      <w:bookmarkEnd w:id="90"/>
      <w:bookmarkEnd w:id="91"/>
      <w:bookmarkEnd w:id="92"/>
      <w:bookmarkEnd w:id="93"/>
    </w:p>
    <w:p w14:paraId="2509FE51" w14:textId="77777777" w:rsidR="005B57D7" w:rsidRDefault="00D07E63" w:rsidP="00F8656F">
      <w:pPr>
        <w:pStyle w:val="DeptBodytext"/>
      </w:pPr>
      <w:r>
        <w:t>It is proposed that the</w:t>
      </w:r>
      <w:r w:rsidR="00674B22">
        <w:t xml:space="preserve"> </w:t>
      </w:r>
      <w:r w:rsidR="004B742B">
        <w:t xml:space="preserve">detail in the Radiocommunications Act around </w:t>
      </w:r>
      <w:r w:rsidR="00674B22">
        <w:t>labelling a</w:t>
      </w:r>
      <w:r w:rsidR="00215724">
        <w:t xml:space="preserve">nd record-keeping requirements </w:t>
      </w:r>
      <w:r w:rsidR="00674B22">
        <w:t xml:space="preserve">be removed and the ACMA </w:t>
      </w:r>
      <w:r w:rsidR="004B742B">
        <w:t xml:space="preserve">authorised </w:t>
      </w:r>
      <w:r w:rsidR="00674B22">
        <w:t>to develop device supply schemes in subordinate regulation</w:t>
      </w:r>
      <w:r w:rsidR="00906D7B">
        <w:t xml:space="preserve"> that are commensurate with risk</w:t>
      </w:r>
      <w:r w:rsidR="00674B22">
        <w:t xml:space="preserve">. </w:t>
      </w:r>
    </w:p>
    <w:p w14:paraId="0B6E3196" w14:textId="77777777" w:rsidR="00906D7B" w:rsidRDefault="00674B22" w:rsidP="00F8656F">
      <w:pPr>
        <w:pStyle w:val="DeptBodytext"/>
      </w:pPr>
      <w:r>
        <w:t>The</w:t>
      </w:r>
      <w:r w:rsidR="00F31542" w:rsidRPr="00F97AB0">
        <w:t xml:space="preserve"> </w:t>
      </w:r>
      <w:r w:rsidR="00906D7B">
        <w:t xml:space="preserve">primary </w:t>
      </w:r>
      <w:r w:rsidR="00F31542" w:rsidRPr="00F97AB0">
        <w:t>legislation</w:t>
      </w:r>
      <w:r w:rsidR="00906D7B">
        <w:t xml:space="preserve"> would</w:t>
      </w:r>
      <w:r w:rsidR="00F31542" w:rsidRPr="00F97AB0">
        <w:t xml:space="preserve"> </w:t>
      </w:r>
      <w:r w:rsidR="00F31542">
        <w:t xml:space="preserve">specify </w:t>
      </w:r>
      <w:r w:rsidR="00F31542" w:rsidRPr="00F97AB0">
        <w:t xml:space="preserve">the objectives to be </w:t>
      </w:r>
      <w:r w:rsidR="00F31542">
        <w:t>considered</w:t>
      </w:r>
      <w:r w:rsidR="00F31542" w:rsidRPr="00F97AB0">
        <w:t xml:space="preserve"> by the ACMA in </w:t>
      </w:r>
      <w:r w:rsidR="00906D7B">
        <w:t xml:space="preserve">developing and </w:t>
      </w:r>
      <w:r w:rsidR="00F31542" w:rsidRPr="00F97AB0">
        <w:t xml:space="preserve">applying </w:t>
      </w:r>
      <w:r w:rsidR="00906D7B">
        <w:t>supply</w:t>
      </w:r>
      <w:r w:rsidR="00906D7B" w:rsidRPr="00F97AB0">
        <w:t xml:space="preserve"> </w:t>
      </w:r>
      <w:r w:rsidR="00F31542" w:rsidRPr="00F97AB0">
        <w:t>schemes</w:t>
      </w:r>
      <w:r w:rsidR="00EF708D">
        <w:t>,</w:t>
      </w:r>
      <w:r w:rsidR="00906D7B">
        <w:t xml:space="preserve"> and amend the definition of supplier to capture all parties in the supply chain</w:t>
      </w:r>
      <w:r w:rsidR="00F31542" w:rsidRPr="00F97AB0">
        <w:t>.</w:t>
      </w:r>
      <w:r w:rsidR="00F31542">
        <w:t xml:space="preserve"> </w:t>
      </w:r>
      <w:r w:rsidR="00A00D8F">
        <w:t xml:space="preserve">General interference management principles/requirements could be specified in the primary legislation or in a generally applicable device supply scheme. </w:t>
      </w:r>
      <w:r w:rsidR="004B742B">
        <w:t xml:space="preserve">A preferred </w:t>
      </w:r>
      <w:r w:rsidR="00215724">
        <w:t xml:space="preserve">approach </w:t>
      </w:r>
      <w:r w:rsidR="00D07E63">
        <w:t xml:space="preserve">would </w:t>
      </w:r>
      <w:r w:rsidR="00A00D8F">
        <w:t xml:space="preserve">be developed through the </w:t>
      </w:r>
      <w:r w:rsidR="00A00D8F">
        <w:lastRenderedPageBreak/>
        <w:t>drafting process in consultation with stakeholders.</w:t>
      </w:r>
      <w:r w:rsidR="004B742B">
        <w:t xml:space="preserve"> Cons</w:t>
      </w:r>
      <w:r w:rsidR="00215724">
        <w:t xml:space="preserve">istency with other legislation </w:t>
      </w:r>
      <w:r w:rsidR="00D07E63">
        <w:t xml:space="preserve">would </w:t>
      </w:r>
      <w:r w:rsidR="004B742B">
        <w:t>also be considered when drafting the new arrangements.</w:t>
      </w:r>
      <w:r w:rsidR="00215724">
        <w:t xml:space="preserve"> </w:t>
      </w:r>
    </w:p>
    <w:p w14:paraId="1D70F7E6" w14:textId="77777777" w:rsidR="00F31542" w:rsidRDefault="00215724" w:rsidP="00F8656F">
      <w:pPr>
        <w:pStyle w:val="DeptBodytext"/>
      </w:pPr>
      <w:r>
        <w:t xml:space="preserve">The ACMA </w:t>
      </w:r>
      <w:r w:rsidR="00EC2039">
        <w:t xml:space="preserve">would </w:t>
      </w:r>
      <w:r w:rsidR="00906D7B">
        <w:t xml:space="preserve">be required to develop device </w:t>
      </w:r>
      <w:r w:rsidR="00F31542">
        <w:t xml:space="preserve">supply schemes </w:t>
      </w:r>
      <w:r w:rsidR="00906D7B">
        <w:t>that</w:t>
      </w:r>
      <w:r w:rsidR="00F31542">
        <w:t>:</w:t>
      </w:r>
    </w:p>
    <w:p w14:paraId="11E2F312" w14:textId="77777777" w:rsidR="00F31542" w:rsidRPr="00DA7DDE" w:rsidRDefault="00906D7B" w:rsidP="00CB572C">
      <w:pPr>
        <w:pStyle w:val="Deptbulletlist1"/>
        <w:numPr>
          <w:ilvl w:val="0"/>
          <w:numId w:val="3"/>
        </w:numPr>
        <w:ind w:left="357" w:hanging="357"/>
      </w:pPr>
      <w:r>
        <w:t>are</w:t>
      </w:r>
      <w:r w:rsidR="00674B22">
        <w:t xml:space="preserve"> </w:t>
      </w:r>
      <w:r w:rsidR="00F31542" w:rsidRPr="00DA7DDE">
        <w:t>appropriate to the level of risk posed by the equipment</w:t>
      </w:r>
      <w:r w:rsidR="008A4696">
        <w:t xml:space="preserve"> in terms of risk of interference and/or risks to health and safety</w:t>
      </w:r>
    </w:p>
    <w:p w14:paraId="4A93BC13" w14:textId="77777777" w:rsidR="00674B22" w:rsidRDefault="00906D7B" w:rsidP="00CB572C">
      <w:pPr>
        <w:pStyle w:val="Deptbulletlist1"/>
        <w:numPr>
          <w:ilvl w:val="0"/>
          <w:numId w:val="3"/>
        </w:numPr>
        <w:ind w:left="357" w:hanging="357"/>
      </w:pPr>
      <w:r>
        <w:t>are</w:t>
      </w:r>
      <w:r w:rsidR="00674B22">
        <w:t xml:space="preserve"> </w:t>
      </w:r>
      <w:r w:rsidR="00F31542">
        <w:t>targeted</w:t>
      </w:r>
      <w:r w:rsidR="00F31542" w:rsidRPr="00DA7DDE">
        <w:t xml:space="preserve"> to ensure compliance obligations are met by the most appropriate party in modern</w:t>
      </w:r>
      <w:r w:rsidR="00C25CB0">
        <w:t>,</w:t>
      </w:r>
      <w:r w:rsidR="00F31542" w:rsidRPr="00DA7DDE">
        <w:t xml:space="preserve"> </w:t>
      </w:r>
      <w:r w:rsidR="00F31542">
        <w:t xml:space="preserve">complex and globalised </w:t>
      </w:r>
      <w:r w:rsidR="00F31542" w:rsidRPr="00DA7DDE">
        <w:t>supply chains</w:t>
      </w:r>
    </w:p>
    <w:p w14:paraId="20A30A22" w14:textId="77777777" w:rsidR="00F31542" w:rsidRPr="00DA7DDE" w:rsidRDefault="00674B22" w:rsidP="00C25CB0">
      <w:pPr>
        <w:pStyle w:val="Deptbulletlist1"/>
        <w:numPr>
          <w:ilvl w:val="0"/>
          <w:numId w:val="3"/>
        </w:numPr>
        <w:spacing w:after="240"/>
        <w:ind w:left="357" w:hanging="357"/>
      </w:pPr>
      <w:r>
        <w:t>define the party bearing the compliance burden for a particular supply chain – to mitigate industry concern that ambiguity of responsibility creates regulatory burden</w:t>
      </w:r>
      <w:r w:rsidR="00F31542" w:rsidRPr="00DA7DDE">
        <w:t>.</w:t>
      </w:r>
    </w:p>
    <w:p w14:paraId="29C87D0A" w14:textId="77777777" w:rsidR="00BA5F00" w:rsidRDefault="00BA5F00" w:rsidP="00F8656F">
      <w:pPr>
        <w:pStyle w:val="DeptBodytext"/>
      </w:pPr>
      <w:r>
        <w:t>Device supply schemes developed by the ACMA may include elements of current requirements where the ACMA considers this is necessary based on the risk posed.</w:t>
      </w:r>
    </w:p>
    <w:p w14:paraId="0B71B570" w14:textId="77777777" w:rsidR="00C6492B" w:rsidRDefault="00327EF5" w:rsidP="00F8656F">
      <w:pPr>
        <w:pStyle w:val="DeptBodytext"/>
      </w:pPr>
      <w:r w:rsidRPr="008A4696">
        <w:t>Suppliers</w:t>
      </w:r>
      <w:r w:rsidR="00215724">
        <w:t xml:space="preserve"> </w:t>
      </w:r>
      <w:r w:rsidR="00EC2039">
        <w:t>w</w:t>
      </w:r>
      <w:r w:rsidR="00EC2039" w:rsidRPr="008A4696">
        <w:t xml:space="preserve">ould </w:t>
      </w:r>
      <w:r w:rsidR="00820999" w:rsidRPr="008A4696">
        <w:t xml:space="preserve">be free to choose how they comply with </w:t>
      </w:r>
      <w:r w:rsidR="008A4696" w:rsidRPr="008A4696">
        <w:t>general interference management principles/requirements</w:t>
      </w:r>
      <w:r w:rsidR="00820999" w:rsidRPr="008A4696">
        <w:t xml:space="preserve"> unless the ACMA has </w:t>
      </w:r>
      <w:r w:rsidR="006420CB" w:rsidRPr="008A4696">
        <w:t>set out</w:t>
      </w:r>
      <w:r w:rsidR="007C573C" w:rsidRPr="008A4696">
        <w:t xml:space="preserve"> </w:t>
      </w:r>
      <w:r w:rsidR="007C573C" w:rsidRPr="008A4696" w:rsidDel="00A00D8F">
        <w:t xml:space="preserve">specific </w:t>
      </w:r>
      <w:r w:rsidR="007C573C" w:rsidRPr="008A4696">
        <w:t xml:space="preserve">obligations in </w:t>
      </w:r>
      <w:r w:rsidR="00F07361" w:rsidRPr="008A4696">
        <w:t xml:space="preserve">a </w:t>
      </w:r>
      <w:r w:rsidR="007C573C" w:rsidRPr="008A4696">
        <w:t>device supply scheme</w:t>
      </w:r>
      <w:r w:rsidR="00820999" w:rsidRPr="008A4696">
        <w:t xml:space="preserve">. </w:t>
      </w:r>
      <w:r w:rsidR="009D079D" w:rsidRPr="008A4696">
        <w:t>For example</w:t>
      </w:r>
      <w:r w:rsidR="00F07361" w:rsidRPr="008A4696">
        <w:t>, if a system, service or product has been</w:t>
      </w:r>
      <w:r w:rsidR="00F07361" w:rsidRPr="00F07361">
        <w:t xml:space="preserve"> approved under a trusted international standard or risk assessment, then </w:t>
      </w:r>
      <w:r w:rsidR="002E5C4D">
        <w:t xml:space="preserve">the </w:t>
      </w:r>
      <w:r w:rsidR="00F07361" w:rsidRPr="00F07361">
        <w:t xml:space="preserve">ACMA </w:t>
      </w:r>
      <w:r w:rsidR="00EC2039">
        <w:t>sh</w:t>
      </w:r>
      <w:r w:rsidR="00EC2039" w:rsidRPr="00F07361">
        <w:t xml:space="preserve">ould </w:t>
      </w:r>
      <w:r w:rsidR="00F07361" w:rsidRPr="00F07361">
        <w:t xml:space="preserve">not impose any additional requirements for approval in Australia, except in cases where </w:t>
      </w:r>
      <w:r w:rsidR="00F73062">
        <w:t xml:space="preserve">the need for </w:t>
      </w:r>
      <w:r w:rsidR="00F07361" w:rsidRPr="00F07361">
        <w:t xml:space="preserve">unique Australian regulations can be </w:t>
      </w:r>
      <w:r w:rsidR="00F73062">
        <w:t>demonstrat</w:t>
      </w:r>
      <w:r w:rsidR="00F73062" w:rsidRPr="00F07361">
        <w:t>ed</w:t>
      </w:r>
      <w:r w:rsidR="00F07361" w:rsidRPr="00F07361">
        <w:t>.</w:t>
      </w:r>
    </w:p>
    <w:p w14:paraId="244A4422" w14:textId="77777777" w:rsidR="00C6492B" w:rsidRDefault="00C6492B">
      <w:r>
        <w:br w:type="page"/>
      </w:r>
    </w:p>
    <w:p w14:paraId="502499E7" w14:textId="77777777" w:rsidR="0089460A" w:rsidRDefault="0089460A" w:rsidP="000D57E8">
      <w:pPr>
        <w:pStyle w:val="DeptHeading2"/>
        <w:numPr>
          <w:ilvl w:val="1"/>
          <w:numId w:val="8"/>
        </w:numPr>
        <w:ind w:left="284" w:hanging="284"/>
        <w:rPr>
          <w:sz w:val="28"/>
          <w:szCs w:val="24"/>
        </w:rPr>
      </w:pPr>
      <w:bookmarkStart w:id="94" w:name="_Toc413139570"/>
      <w:r>
        <w:rPr>
          <w:sz w:val="28"/>
          <w:szCs w:val="24"/>
        </w:rPr>
        <w:lastRenderedPageBreak/>
        <w:t>Recommendation 1(</w:t>
      </w:r>
      <w:r w:rsidR="00A87D8F">
        <w:rPr>
          <w:sz w:val="28"/>
          <w:szCs w:val="24"/>
        </w:rPr>
        <w:t>g</w:t>
      </w:r>
      <w:r w:rsidRPr="00303F88">
        <w:rPr>
          <w:sz w:val="28"/>
          <w:szCs w:val="24"/>
        </w:rPr>
        <w:t xml:space="preserve">) </w:t>
      </w:r>
      <w:r>
        <w:rPr>
          <w:sz w:val="28"/>
          <w:szCs w:val="24"/>
        </w:rPr>
        <w:t>–</w:t>
      </w:r>
      <w:r w:rsidR="00351CCE">
        <w:rPr>
          <w:sz w:val="28"/>
          <w:szCs w:val="24"/>
        </w:rPr>
        <w:t xml:space="preserve"> Improved c</w:t>
      </w:r>
      <w:r w:rsidR="00B77D40">
        <w:rPr>
          <w:sz w:val="28"/>
          <w:szCs w:val="24"/>
        </w:rPr>
        <w:t>ompliance and enforcement</w:t>
      </w:r>
      <w:bookmarkEnd w:id="94"/>
    </w:p>
    <w:p w14:paraId="27310CAF" w14:textId="77777777" w:rsidR="008B6838" w:rsidRPr="00D3598B" w:rsidRDefault="008B6838" w:rsidP="008B6838">
      <w:pPr>
        <w:pStyle w:val="Deptbulletlist1"/>
        <w:rPr>
          <w:i/>
        </w:rPr>
      </w:pPr>
      <w:bookmarkStart w:id="95" w:name="_Toc412214241"/>
      <w:bookmarkStart w:id="96" w:name="_Toc412814560"/>
      <w:bookmarkStart w:id="97" w:name="_Toc413136142"/>
      <w:r w:rsidRPr="00D3598B">
        <w:rPr>
          <w:i/>
        </w:rPr>
        <w:t>Improving compliance and enforcement by introducing proportionate and graduated enforcement mechanisms for breaches of the legislative framework, including:</w:t>
      </w:r>
    </w:p>
    <w:p w14:paraId="1FC06048" w14:textId="77777777" w:rsidR="008B6838" w:rsidRPr="00D3598B" w:rsidRDefault="008B6838" w:rsidP="00D81B73">
      <w:pPr>
        <w:pStyle w:val="Deptbulletlist2"/>
        <w:numPr>
          <w:ilvl w:val="0"/>
          <w:numId w:val="28"/>
        </w:numPr>
        <w:ind w:left="851" w:hanging="284"/>
        <w:rPr>
          <w:i/>
        </w:rPr>
      </w:pPr>
      <w:r w:rsidRPr="00D3598B">
        <w:rPr>
          <w:i/>
        </w:rPr>
        <w:t>enabling the ACMA to impose civil penalties, issue recalls or interim bans and issue remedial directions and formal warnings</w:t>
      </w:r>
    </w:p>
    <w:p w14:paraId="323A614E" w14:textId="77777777" w:rsidR="008B6838" w:rsidRPr="00D3598B" w:rsidRDefault="008B6838" w:rsidP="00D81B73">
      <w:pPr>
        <w:pStyle w:val="Deptbulletlist2"/>
        <w:numPr>
          <w:ilvl w:val="0"/>
          <w:numId w:val="28"/>
        </w:numPr>
        <w:ind w:left="851" w:hanging="284"/>
        <w:rPr>
          <w:i/>
        </w:rPr>
      </w:pPr>
      <w:r w:rsidRPr="00D3598B">
        <w:rPr>
          <w:i/>
        </w:rPr>
        <w:t>applying strict liability provisions and infringement notices to a broader range of offences.</w:t>
      </w:r>
    </w:p>
    <w:p w14:paraId="04B3BB31" w14:textId="77777777" w:rsidR="000301B9" w:rsidRPr="004F328F" w:rsidRDefault="000301B9" w:rsidP="000301B9">
      <w:pPr>
        <w:pStyle w:val="DeptHeading2"/>
        <w:rPr>
          <w:rFonts w:eastAsia="MS Gothic"/>
          <w:b/>
          <w:i/>
          <w:iCs/>
          <w:color w:val="4F81BD"/>
          <w:sz w:val="24"/>
          <w:szCs w:val="24"/>
        </w:rPr>
      </w:pPr>
      <w:bookmarkStart w:id="98" w:name="_Toc413139571"/>
      <w:r>
        <w:rPr>
          <w:rFonts w:eastAsia="MS Gothic"/>
          <w:b/>
          <w:i/>
          <w:iCs/>
          <w:color w:val="4F81BD"/>
          <w:sz w:val="24"/>
          <w:szCs w:val="24"/>
        </w:rPr>
        <w:t>Rationale for reform</w:t>
      </w:r>
      <w:bookmarkEnd w:id="95"/>
      <w:bookmarkEnd w:id="96"/>
      <w:bookmarkEnd w:id="97"/>
      <w:bookmarkEnd w:id="98"/>
    </w:p>
    <w:p w14:paraId="7E20EFB5" w14:textId="77777777" w:rsidR="009F0241" w:rsidRDefault="00533AA1" w:rsidP="00F8656F">
      <w:pPr>
        <w:pStyle w:val="DeptBodytext"/>
      </w:pPr>
      <w:r>
        <w:t xml:space="preserve">The ACMA needs a better range of compliance and enforcement tools. </w:t>
      </w:r>
    </w:p>
    <w:p w14:paraId="5098F9B3" w14:textId="77777777" w:rsidR="00D8335F" w:rsidRDefault="009F0241" w:rsidP="00F8656F">
      <w:pPr>
        <w:pStyle w:val="DeptBodytext"/>
      </w:pPr>
      <w:r w:rsidRPr="00ED0E8C">
        <w:t xml:space="preserve">The </w:t>
      </w:r>
      <w:r w:rsidR="00956940">
        <w:t xml:space="preserve">Radiocommunications </w:t>
      </w:r>
      <w:r w:rsidRPr="00ED0E8C">
        <w:t xml:space="preserve">Act </w:t>
      </w:r>
      <w:r>
        <w:t xml:space="preserve">is </w:t>
      </w:r>
      <w:r w:rsidRPr="00ED0E8C">
        <w:t>relian</w:t>
      </w:r>
      <w:r>
        <w:t>t</w:t>
      </w:r>
      <w:r w:rsidRPr="00ED0E8C">
        <w:t xml:space="preserve"> on criminal sanctions </w:t>
      </w:r>
      <w:r>
        <w:t>which applies a higher standard of proof than for civil actions</w:t>
      </w:r>
      <w:r w:rsidR="005E2FEC">
        <w:t>. It is the ACMA’s responsibility to collect evidence that meets the standard of proof required to prosecute an offence</w:t>
      </w:r>
      <w:r w:rsidRPr="00ED0E8C">
        <w:t xml:space="preserve">. </w:t>
      </w:r>
      <w:r>
        <w:t>There are strict liability provisions but these apply to a limited number of offences. In the event of a breach of a spectrum licence condition, the ACMA is limited to suspending or cancelling the licence, rather than using more graduated tools such as remedial directions and formal warnings.</w:t>
      </w:r>
    </w:p>
    <w:p w14:paraId="17B0271D" w14:textId="77777777" w:rsidR="009F0241" w:rsidRDefault="009F0241" w:rsidP="00F8656F">
      <w:pPr>
        <w:pStyle w:val="DeptBodytext"/>
      </w:pPr>
      <w:r>
        <w:t>The ACMA also has limited flexibility in terms of its technical regulation. In contrast, electromagnetic compatibility non-compliance is commonly managed through recalls in Norway and Sweden and bans in the U</w:t>
      </w:r>
      <w:r w:rsidR="00A813C6">
        <w:t xml:space="preserve">nited </w:t>
      </w:r>
      <w:r>
        <w:t>K</w:t>
      </w:r>
      <w:r w:rsidR="00A813C6">
        <w:t>ingdom</w:t>
      </w:r>
      <w:r>
        <w:t>.</w:t>
      </w:r>
    </w:p>
    <w:p w14:paraId="5BD94A44" w14:textId="77777777" w:rsidR="0013314E" w:rsidRDefault="0013314E" w:rsidP="00F8656F">
      <w:pPr>
        <w:pStyle w:val="DeptBodytext"/>
      </w:pPr>
      <w:r>
        <w:t xml:space="preserve">Stakeholders are seeking </w:t>
      </w:r>
      <w:r w:rsidR="003F7853">
        <w:t>a more effective approach to compliance and enforcement</w:t>
      </w:r>
      <w:r w:rsidR="00802C13">
        <w:t>.</w:t>
      </w:r>
    </w:p>
    <w:p w14:paraId="3A02FE87" w14:textId="77777777" w:rsidR="00B5539A" w:rsidRPr="00CB572C" w:rsidRDefault="00B5539A" w:rsidP="00B5539A">
      <w:pPr>
        <w:pStyle w:val="DeptHeading2"/>
        <w:rPr>
          <w:rFonts w:eastAsia="MS Gothic"/>
          <w:b/>
          <w:i/>
          <w:color w:val="4F81BD"/>
          <w:sz w:val="24"/>
          <w:szCs w:val="24"/>
        </w:rPr>
      </w:pPr>
      <w:bookmarkStart w:id="99" w:name="_Toc412214242"/>
      <w:bookmarkStart w:id="100" w:name="_Toc412814561"/>
      <w:bookmarkStart w:id="101" w:name="_Toc413136143"/>
      <w:bookmarkStart w:id="102" w:name="_Toc413139572"/>
      <w:r>
        <w:rPr>
          <w:rFonts w:eastAsia="MS Gothic"/>
          <w:b/>
          <w:i/>
          <w:iCs/>
          <w:color w:val="4F81BD"/>
          <w:sz w:val="24"/>
          <w:szCs w:val="24"/>
        </w:rPr>
        <w:t>P</w:t>
      </w:r>
      <w:r w:rsidRPr="00CB572C">
        <w:rPr>
          <w:rFonts w:eastAsia="MS Gothic"/>
          <w:b/>
          <w:i/>
          <w:iCs/>
          <w:color w:val="4F81BD"/>
          <w:sz w:val="24"/>
          <w:szCs w:val="24"/>
        </w:rPr>
        <w:t>roposal</w:t>
      </w:r>
      <w:bookmarkEnd w:id="99"/>
      <w:bookmarkEnd w:id="100"/>
      <w:bookmarkEnd w:id="101"/>
      <w:bookmarkEnd w:id="102"/>
    </w:p>
    <w:p w14:paraId="1FEB4322" w14:textId="77777777" w:rsidR="00413F4F" w:rsidRPr="00413F4F" w:rsidRDefault="00552C03" w:rsidP="00F8656F">
      <w:pPr>
        <w:pStyle w:val="DeptBodytext"/>
      </w:pPr>
      <w:r>
        <w:t>The</w:t>
      </w:r>
      <w:r w:rsidRPr="0043433C">
        <w:t xml:space="preserve"> </w:t>
      </w:r>
      <w:r w:rsidR="00215724">
        <w:t>proposal</w:t>
      </w:r>
      <w:r>
        <w:t xml:space="preserve"> is to introduce</w:t>
      </w:r>
      <w:r w:rsidR="003157C8">
        <w:t xml:space="preserve"> </w:t>
      </w:r>
      <w:r>
        <w:t xml:space="preserve">graduated compliance and enforcement </w:t>
      </w:r>
      <w:r w:rsidR="00235D81">
        <w:t>arrangements</w:t>
      </w:r>
      <w:r>
        <w:t xml:space="preserve">. This would enable more targeted responses to breaches </w:t>
      </w:r>
      <w:r w:rsidR="00EC61D0">
        <w:t xml:space="preserve">of the framework </w:t>
      </w:r>
      <w:r>
        <w:t>and a pathway of escalation, enabling the ACMA</w:t>
      </w:r>
      <w:r w:rsidRPr="0043433C">
        <w:t xml:space="preserve"> </w:t>
      </w:r>
      <w:r>
        <w:t>to take action which is more commensurate with the seriousness of the conduct.</w:t>
      </w:r>
      <w:r w:rsidR="00413F4F" w:rsidRPr="00413F4F">
        <w:t xml:space="preserve"> Additional enforcement powers and </w:t>
      </w:r>
      <w:r w:rsidR="00956940">
        <w:t xml:space="preserve">an </w:t>
      </w:r>
      <w:r w:rsidR="00413F4F" w:rsidRPr="00413F4F">
        <w:t>expanded range of penalties would better align the ACMA’s enforcement capabilities with those of other Australian regulators.</w:t>
      </w:r>
      <w:r w:rsidR="006E4008">
        <w:t xml:space="preserve"> </w:t>
      </w:r>
    </w:p>
    <w:p w14:paraId="1F7B2AC6" w14:textId="77777777" w:rsidR="00413F4F" w:rsidRPr="00413F4F" w:rsidRDefault="00413F4F" w:rsidP="00F8656F">
      <w:pPr>
        <w:pStyle w:val="DeptBodytext"/>
      </w:pPr>
      <w:r w:rsidRPr="00413F4F">
        <w:t xml:space="preserve">Criminal offences would be reviewed to take account of developments in policy and contemporary practice on the framing and operation of Commonwealth offences. </w:t>
      </w:r>
    </w:p>
    <w:p w14:paraId="5324A2FA" w14:textId="77777777" w:rsidR="00552C03" w:rsidRDefault="00552C03" w:rsidP="00C16774">
      <w:pPr>
        <w:pStyle w:val="DeptBodytext"/>
        <w:spacing w:after="120"/>
      </w:pPr>
      <w:r>
        <w:t>Specific proposals include:</w:t>
      </w:r>
    </w:p>
    <w:p w14:paraId="3F8D41BD" w14:textId="77777777" w:rsidR="00552C03" w:rsidRDefault="00890801" w:rsidP="00552C03">
      <w:pPr>
        <w:pStyle w:val="Deptbulletlist1"/>
        <w:numPr>
          <w:ilvl w:val="0"/>
          <w:numId w:val="3"/>
        </w:numPr>
        <w:ind w:left="357" w:hanging="357"/>
      </w:pPr>
      <w:r>
        <w:t>review</w:t>
      </w:r>
      <w:r w:rsidR="008951CA">
        <w:t>ing</w:t>
      </w:r>
      <w:r>
        <w:t xml:space="preserve"> (in consultation with the Attorney-General’s Department) what criminal and/or civil penalties should apply under the reformed framework</w:t>
      </w:r>
      <w:r w:rsidR="00552C03">
        <w:t xml:space="preserve"> – civil penalties are available to other regulators in Australia and overseas, including measures available to the ACMA under the </w:t>
      </w:r>
      <w:r w:rsidR="00552C03" w:rsidRPr="00552C03">
        <w:rPr>
          <w:i/>
        </w:rPr>
        <w:t>Telecommunications Act 1997</w:t>
      </w:r>
      <w:r w:rsidR="00552C03" w:rsidRPr="00552C03">
        <w:t xml:space="preserve"> </w:t>
      </w:r>
      <w:r w:rsidR="00552C03">
        <w:t xml:space="preserve">and the </w:t>
      </w:r>
      <w:r w:rsidR="00552C03" w:rsidRPr="00552C03">
        <w:rPr>
          <w:i/>
        </w:rPr>
        <w:t>Broadcasting Services Act 1992</w:t>
      </w:r>
    </w:p>
    <w:p w14:paraId="291FBF3C" w14:textId="77777777" w:rsidR="00552C03" w:rsidRDefault="008F31DD" w:rsidP="00552C03">
      <w:pPr>
        <w:pStyle w:val="Deptbulletlist1"/>
        <w:numPr>
          <w:ilvl w:val="0"/>
          <w:numId w:val="3"/>
        </w:numPr>
        <w:ind w:left="357" w:hanging="357"/>
      </w:pPr>
      <w:r>
        <w:t>a</w:t>
      </w:r>
      <w:r w:rsidR="00552C03">
        <w:t>pplying strict liability provisions and infringement notices to a broader range of offences – this would reduce the evidentiary burden and enable minor offences to be responded to and resolved more quickly and efficiently</w:t>
      </w:r>
    </w:p>
    <w:p w14:paraId="41F836E4" w14:textId="77777777" w:rsidR="00552C03" w:rsidRDefault="008F31DD" w:rsidP="00552C03">
      <w:pPr>
        <w:pStyle w:val="Deptbulletlist1"/>
        <w:numPr>
          <w:ilvl w:val="0"/>
          <w:numId w:val="3"/>
        </w:numPr>
        <w:ind w:left="357" w:hanging="357"/>
      </w:pPr>
      <w:r>
        <w:lastRenderedPageBreak/>
        <w:t>e</w:t>
      </w:r>
      <w:r w:rsidR="00552C03">
        <w:t>nabling the ACMA to issue remedial directions and formal warnings – these are useful intermediary steps and would enhance the ACMA’s capacity to prevent or remediate interference and other non-compliance</w:t>
      </w:r>
      <w:r w:rsidR="00A813C6">
        <w:t xml:space="preserve"> matters</w:t>
      </w:r>
    </w:p>
    <w:p w14:paraId="6A5E975A" w14:textId="77777777" w:rsidR="00552C03" w:rsidRDefault="008F31DD" w:rsidP="00552C03">
      <w:pPr>
        <w:pStyle w:val="Deptbulletlist1"/>
        <w:numPr>
          <w:ilvl w:val="0"/>
          <w:numId w:val="3"/>
        </w:numPr>
        <w:ind w:left="357" w:hanging="357"/>
      </w:pPr>
      <w:r>
        <w:t>e</w:t>
      </w:r>
      <w:r w:rsidR="00552C03">
        <w:t>nabling the ACMA to seek court orders such as injunctions to restrain existing or future conduct</w:t>
      </w:r>
      <w:r w:rsidR="00956940">
        <w:t>,</w:t>
      </w:r>
      <w:r w:rsidR="00552C03">
        <w:t xml:space="preserve"> or requiring respondents to undertake certain action including publishing notices about their conduct</w:t>
      </w:r>
    </w:p>
    <w:p w14:paraId="49E13F52" w14:textId="77777777" w:rsidR="00552C03" w:rsidRDefault="008F31DD" w:rsidP="00552C03">
      <w:pPr>
        <w:pStyle w:val="Deptbulletlist1"/>
        <w:numPr>
          <w:ilvl w:val="0"/>
          <w:numId w:val="3"/>
        </w:numPr>
        <w:ind w:left="357" w:hanging="357"/>
      </w:pPr>
      <w:r>
        <w:t>e</w:t>
      </w:r>
      <w:r w:rsidR="00552C03">
        <w:t xml:space="preserve">mpowering the ACMA to issue recalls, interim bans, formal and public warnings and/or require consumer warning labels – </w:t>
      </w:r>
      <w:r w:rsidR="00956940">
        <w:t xml:space="preserve">this </w:t>
      </w:r>
      <w:r w:rsidR="00552C03">
        <w:t>would greatly assist the ACMA in its management of the supply of non-compliant devices</w:t>
      </w:r>
      <w:r w:rsidR="0080284C">
        <w:t xml:space="preserve">, </w:t>
      </w:r>
      <w:r w:rsidR="00552C03">
        <w:t xml:space="preserve">for example, when a product poses an interference risk and the supplier is not prepared to recall the goods voluntarily </w:t>
      </w:r>
      <w:r w:rsidR="00AF3ECD">
        <w:t>or a supplier cannot be found.</w:t>
      </w:r>
    </w:p>
    <w:p w14:paraId="61470EA5" w14:textId="77777777" w:rsidR="00C6492B" w:rsidRDefault="00552C03" w:rsidP="00F8656F">
      <w:pPr>
        <w:pStyle w:val="DeptBodytext"/>
      </w:pPr>
      <w:r>
        <w:t>Consultation with the Australian Competition and Consumer Commission and State and Territory fair trading agencies w</w:t>
      </w:r>
      <w:r w:rsidR="001B5827">
        <w:t xml:space="preserve">ould </w:t>
      </w:r>
      <w:r>
        <w:t xml:space="preserve">be undertaken in respect to the final proposal to ensure there is no overlap with existing legislative </w:t>
      </w:r>
      <w:r w:rsidR="007A5368">
        <w:t>framework</w:t>
      </w:r>
      <w:r w:rsidR="00956940">
        <w:t xml:space="preserve">s </w:t>
      </w:r>
      <w:r>
        <w:t>regarding consumer product safety.</w:t>
      </w:r>
    </w:p>
    <w:p w14:paraId="7E09B252" w14:textId="77777777" w:rsidR="00C6492B" w:rsidRDefault="00C6492B">
      <w:r>
        <w:br w:type="page"/>
      </w:r>
    </w:p>
    <w:p w14:paraId="550AE095" w14:textId="77777777" w:rsidR="0089460A" w:rsidRPr="00303F88" w:rsidRDefault="0089460A" w:rsidP="000D57E8">
      <w:pPr>
        <w:pStyle w:val="DeptHeading2"/>
        <w:numPr>
          <w:ilvl w:val="1"/>
          <w:numId w:val="8"/>
        </w:numPr>
        <w:ind w:left="284" w:hanging="284"/>
        <w:rPr>
          <w:sz w:val="28"/>
          <w:szCs w:val="24"/>
        </w:rPr>
      </w:pPr>
      <w:bookmarkStart w:id="103" w:name="_Toc413139573"/>
      <w:r>
        <w:rPr>
          <w:sz w:val="28"/>
          <w:szCs w:val="24"/>
        </w:rPr>
        <w:lastRenderedPageBreak/>
        <w:t>Recommendation 1(</w:t>
      </w:r>
      <w:r w:rsidR="00A87D8F">
        <w:rPr>
          <w:sz w:val="28"/>
          <w:szCs w:val="24"/>
        </w:rPr>
        <w:t>h</w:t>
      </w:r>
      <w:r>
        <w:rPr>
          <w:sz w:val="28"/>
          <w:szCs w:val="24"/>
        </w:rPr>
        <w:t>)</w:t>
      </w:r>
      <w:r w:rsidR="004F328F">
        <w:rPr>
          <w:sz w:val="28"/>
          <w:szCs w:val="24"/>
        </w:rPr>
        <w:t xml:space="preserve"> – </w:t>
      </w:r>
      <w:r w:rsidR="00A62C68">
        <w:rPr>
          <w:sz w:val="28"/>
          <w:szCs w:val="24"/>
        </w:rPr>
        <w:t>Transitional arrangements</w:t>
      </w:r>
      <w:bookmarkEnd w:id="103"/>
    </w:p>
    <w:p w14:paraId="1D56AA71" w14:textId="77777777" w:rsidR="008B6838" w:rsidRPr="00D3598B" w:rsidRDefault="008B6838" w:rsidP="008B6838">
      <w:pPr>
        <w:pStyle w:val="Deptbulletlist1"/>
        <w:rPr>
          <w:i/>
        </w:rPr>
      </w:pPr>
      <w:bookmarkStart w:id="104" w:name="_Toc412214244"/>
      <w:bookmarkStart w:id="105" w:name="_Toc412814563"/>
      <w:bookmarkStart w:id="106" w:name="_Toc413136145"/>
      <w:r w:rsidRPr="00D3598B">
        <w:rPr>
          <w:i/>
        </w:rPr>
        <w:t>Ensuring that the rights of existing licence holders are not diminished in the transition to the new framework by:</w:t>
      </w:r>
    </w:p>
    <w:p w14:paraId="20D583A0" w14:textId="77777777" w:rsidR="008B6838" w:rsidRPr="00D3598B" w:rsidRDefault="008B6838" w:rsidP="00D81B73">
      <w:pPr>
        <w:pStyle w:val="Deptbulletlist2"/>
        <w:numPr>
          <w:ilvl w:val="0"/>
          <w:numId w:val="29"/>
        </w:numPr>
        <w:ind w:left="851" w:hanging="284"/>
        <w:rPr>
          <w:i/>
        </w:rPr>
      </w:pPr>
      <w:r w:rsidRPr="00D3598B">
        <w:rPr>
          <w:i/>
        </w:rPr>
        <w:t xml:space="preserve">providing that allocation and reallocation processes underway at the time the new Act comes into effect would continue under the current arrangements </w:t>
      </w:r>
    </w:p>
    <w:p w14:paraId="3A274B0C" w14:textId="77777777" w:rsidR="008B6838" w:rsidRPr="00D3598B" w:rsidRDefault="008B6838" w:rsidP="00D81B73">
      <w:pPr>
        <w:pStyle w:val="Deptbulletlist2"/>
        <w:numPr>
          <w:ilvl w:val="0"/>
          <w:numId w:val="29"/>
        </w:numPr>
        <w:ind w:left="851" w:hanging="284"/>
        <w:rPr>
          <w:i/>
        </w:rPr>
      </w:pPr>
      <w:r w:rsidRPr="00D3598B">
        <w:rPr>
          <w:i/>
        </w:rPr>
        <w:t>allowing existing licences to continue under the old licensing arrangements until expiry, while also allowing these licences to transition earlier at the licensee’s discretion</w:t>
      </w:r>
    </w:p>
    <w:p w14:paraId="1076CE80" w14:textId="28919975" w:rsidR="008B6838" w:rsidRPr="00D3598B" w:rsidRDefault="008B6838" w:rsidP="00D81B73">
      <w:pPr>
        <w:pStyle w:val="Deptbulletlist2"/>
        <w:numPr>
          <w:ilvl w:val="0"/>
          <w:numId w:val="29"/>
        </w:numPr>
        <w:ind w:left="851" w:hanging="283"/>
        <w:rPr>
          <w:i/>
        </w:rPr>
      </w:pPr>
      <w:r w:rsidRPr="00D3598B">
        <w:rPr>
          <w:i/>
        </w:rPr>
        <w:t xml:space="preserve">providing certainty for current holders of broadcasting licences </w:t>
      </w:r>
      <w:r w:rsidR="001A0B27">
        <w:rPr>
          <w:i/>
        </w:rPr>
        <w:t xml:space="preserve">and national broadcasters </w:t>
      </w:r>
      <w:r w:rsidRPr="00D3598B">
        <w:rPr>
          <w:i/>
        </w:rPr>
        <w:t>that they would have continued access to spectrum</w:t>
      </w:r>
      <w:r w:rsidR="001A0B27">
        <w:rPr>
          <w:i/>
        </w:rPr>
        <w:t xml:space="preserve"> for the delivery of broadcasting services</w:t>
      </w:r>
      <w:r w:rsidRPr="00D3598B">
        <w:rPr>
          <w:i/>
        </w:rPr>
        <w:t xml:space="preserve">. </w:t>
      </w:r>
    </w:p>
    <w:p w14:paraId="38DCAE63" w14:textId="77777777" w:rsidR="004F328F" w:rsidRPr="004F328F" w:rsidRDefault="004F328F" w:rsidP="004F328F">
      <w:pPr>
        <w:pStyle w:val="DeptHeading2"/>
        <w:rPr>
          <w:rFonts w:eastAsia="MS Gothic"/>
          <w:b/>
          <w:i/>
          <w:iCs/>
          <w:color w:val="4F81BD"/>
          <w:sz w:val="24"/>
          <w:szCs w:val="24"/>
        </w:rPr>
      </w:pPr>
      <w:bookmarkStart w:id="107" w:name="_Toc413139574"/>
      <w:r>
        <w:rPr>
          <w:rFonts w:eastAsia="MS Gothic"/>
          <w:b/>
          <w:i/>
          <w:iCs/>
          <w:color w:val="4F81BD"/>
          <w:sz w:val="24"/>
          <w:szCs w:val="24"/>
        </w:rPr>
        <w:t>Rationale for reform</w:t>
      </w:r>
      <w:bookmarkEnd w:id="104"/>
      <w:bookmarkEnd w:id="105"/>
      <w:bookmarkEnd w:id="106"/>
      <w:bookmarkEnd w:id="107"/>
    </w:p>
    <w:p w14:paraId="051AD40D" w14:textId="77777777" w:rsidR="004F328F" w:rsidRDefault="004F328F" w:rsidP="00F8656F">
      <w:pPr>
        <w:pStyle w:val="DeptBodytext"/>
      </w:pPr>
      <w:r>
        <w:t>Transitional arrangements would need to be worked through carefully</w:t>
      </w:r>
      <w:r w:rsidR="00642BEB">
        <w:t xml:space="preserve"> with stakeholders</w:t>
      </w:r>
      <w:r>
        <w:t xml:space="preserve"> and the full transition to the new </w:t>
      </w:r>
      <w:r w:rsidR="007A5368">
        <w:t>framework</w:t>
      </w:r>
      <w:r>
        <w:t xml:space="preserve"> would take </w:t>
      </w:r>
      <w:r w:rsidR="00F73E6F">
        <w:t>place over a number of years</w:t>
      </w:r>
      <w:r>
        <w:t>. In addition to the new legislation coming into effect</w:t>
      </w:r>
      <w:r w:rsidR="00642BEB">
        <w:t>,</w:t>
      </w:r>
      <w:r>
        <w:t xml:space="preserve"> significant work </w:t>
      </w:r>
      <w:r w:rsidR="00296CC0">
        <w:t xml:space="preserve">would </w:t>
      </w:r>
      <w:r>
        <w:t xml:space="preserve">be required to prepare for implementation of the new </w:t>
      </w:r>
      <w:r w:rsidR="007A5368">
        <w:t>framework</w:t>
      </w:r>
      <w:r>
        <w:t xml:space="preserve">, including the </w:t>
      </w:r>
      <w:r w:rsidR="005659FD">
        <w:t>development of new standard licence options</w:t>
      </w:r>
      <w:r>
        <w:t>. In developing these arrangements</w:t>
      </w:r>
      <w:r w:rsidR="00F73E6F">
        <w:t xml:space="preserve">, ongoing assurance for </w:t>
      </w:r>
      <w:r>
        <w:t xml:space="preserve">existing licensees </w:t>
      </w:r>
      <w:r w:rsidR="00F73E6F">
        <w:t xml:space="preserve">and close engagement with stakeholders </w:t>
      </w:r>
      <w:r w:rsidR="00296CC0">
        <w:t xml:space="preserve">would </w:t>
      </w:r>
      <w:r w:rsidR="00F73E6F">
        <w:t>be</w:t>
      </w:r>
      <w:r>
        <w:t xml:space="preserve"> </w:t>
      </w:r>
      <w:r w:rsidR="005659FD">
        <w:t>paramount</w:t>
      </w:r>
      <w:r>
        <w:t>.</w:t>
      </w:r>
    </w:p>
    <w:p w14:paraId="7145A028" w14:textId="77777777" w:rsidR="004F328F" w:rsidRPr="004F328F" w:rsidRDefault="004F328F" w:rsidP="004F328F">
      <w:pPr>
        <w:pStyle w:val="DeptHeading2"/>
        <w:rPr>
          <w:rFonts w:eastAsia="MS Gothic"/>
          <w:b/>
          <w:i/>
          <w:iCs/>
          <w:color w:val="4F81BD"/>
          <w:sz w:val="24"/>
          <w:szCs w:val="24"/>
        </w:rPr>
      </w:pPr>
      <w:bookmarkStart w:id="108" w:name="_Toc412214245"/>
      <w:bookmarkStart w:id="109" w:name="_Toc412814564"/>
      <w:bookmarkStart w:id="110" w:name="_Toc413136146"/>
      <w:bookmarkStart w:id="111" w:name="_Toc413139575"/>
      <w:r w:rsidRPr="004F328F">
        <w:rPr>
          <w:rFonts w:eastAsia="MS Gothic"/>
          <w:b/>
          <w:i/>
          <w:iCs/>
          <w:color w:val="4F81BD"/>
          <w:sz w:val="24"/>
          <w:szCs w:val="24"/>
        </w:rPr>
        <w:t>Proposal</w:t>
      </w:r>
      <w:bookmarkEnd w:id="108"/>
      <w:bookmarkEnd w:id="109"/>
      <w:bookmarkEnd w:id="110"/>
      <w:bookmarkEnd w:id="111"/>
    </w:p>
    <w:p w14:paraId="171E0988" w14:textId="77777777" w:rsidR="004F328F" w:rsidRDefault="004F328F" w:rsidP="004F328F">
      <w:pPr>
        <w:pStyle w:val="DeptHeading5figurestables"/>
      </w:pPr>
      <w:r w:rsidRPr="004F328F">
        <w:t>Replanning and allocation activities</w:t>
      </w:r>
    </w:p>
    <w:p w14:paraId="76606891" w14:textId="77777777" w:rsidR="004F328F" w:rsidRDefault="004F328F" w:rsidP="00F8656F">
      <w:pPr>
        <w:pStyle w:val="DeptBodytext"/>
      </w:pPr>
      <w:r>
        <w:t>As a general principle, any processes, including allocation</w:t>
      </w:r>
      <w:r w:rsidR="007A2C6D">
        <w:t xml:space="preserve"> and reallo</w:t>
      </w:r>
      <w:r w:rsidR="001B5827">
        <w:t>c</w:t>
      </w:r>
      <w:r w:rsidR="007A2C6D">
        <w:t>ation</w:t>
      </w:r>
      <w:r>
        <w:t xml:space="preserve"> activities, underway at the time the new Act commences would continue under the </w:t>
      </w:r>
      <w:r w:rsidR="00F73E6F">
        <w:t>old</w:t>
      </w:r>
      <w:r>
        <w:t xml:space="preserve"> </w:t>
      </w:r>
      <w:r w:rsidR="007A5368">
        <w:t>framework</w:t>
      </w:r>
      <w:r>
        <w:t xml:space="preserve">. Any allocation </w:t>
      </w:r>
      <w:r w:rsidR="007A2C6D">
        <w:t xml:space="preserve">or reallocation </w:t>
      </w:r>
      <w:r>
        <w:t xml:space="preserve">activities that begin after the relevant part of the new Act commences would be conducted under the new </w:t>
      </w:r>
      <w:r w:rsidR="007A5368">
        <w:t>framework</w:t>
      </w:r>
      <w:r>
        <w:t>.</w:t>
      </w:r>
    </w:p>
    <w:p w14:paraId="6B986B6C" w14:textId="77777777" w:rsidR="004F328F" w:rsidRDefault="004F328F" w:rsidP="00F8656F">
      <w:pPr>
        <w:pStyle w:val="DeptBodytext"/>
      </w:pPr>
      <w:r>
        <w:t>Prior to the new Act commencing the ACMA would be expected to have regard to the outcomes of this review when considering implementation of any replanning or reviews of bands that are underway.</w:t>
      </w:r>
    </w:p>
    <w:p w14:paraId="515E0C0A" w14:textId="77777777" w:rsidR="004F328F" w:rsidRPr="004F328F" w:rsidRDefault="004F328F" w:rsidP="004F328F">
      <w:pPr>
        <w:pStyle w:val="DeptHeading5figurestables"/>
      </w:pPr>
      <w:r w:rsidRPr="004F328F">
        <w:t>Existing licences</w:t>
      </w:r>
    </w:p>
    <w:p w14:paraId="2000B493" w14:textId="77777777" w:rsidR="004F328F" w:rsidRDefault="004F328F" w:rsidP="00F8656F">
      <w:pPr>
        <w:pStyle w:val="DeptBodytext"/>
      </w:pPr>
      <w:r>
        <w:t xml:space="preserve">All existing licences would continue under the current </w:t>
      </w:r>
      <w:r w:rsidR="007A5368">
        <w:t>framework</w:t>
      </w:r>
      <w:r>
        <w:t xml:space="preserve"> with their current licence conditions until expiry (or revocation in the case of class licences). However, once the new </w:t>
      </w:r>
      <w:r w:rsidR="007A5368">
        <w:t>framework</w:t>
      </w:r>
      <w:r w:rsidR="008F569F">
        <w:t xml:space="preserve"> </w:t>
      </w:r>
      <w:r>
        <w:t xml:space="preserve">commences no new licences would be issued under the </w:t>
      </w:r>
      <w:r w:rsidR="00F73E6F">
        <w:t>old</w:t>
      </w:r>
      <w:r>
        <w:t xml:space="preserve"> </w:t>
      </w:r>
      <w:r w:rsidR="008F569F">
        <w:t xml:space="preserve">licensing </w:t>
      </w:r>
      <w:r w:rsidR="00235D81">
        <w:t>system</w:t>
      </w:r>
      <w:r>
        <w:t xml:space="preserve"> (other than </w:t>
      </w:r>
      <w:r w:rsidR="00A813C6">
        <w:t xml:space="preserve">designated </w:t>
      </w:r>
      <w:r>
        <w:t>processes underway at the time of commencement). The consequences for existing licensees would be:</w:t>
      </w:r>
    </w:p>
    <w:p w14:paraId="561C362E" w14:textId="77777777" w:rsidR="004F328F" w:rsidRDefault="004F328F" w:rsidP="004F328F">
      <w:pPr>
        <w:pStyle w:val="Deptbulletlist1"/>
        <w:numPr>
          <w:ilvl w:val="0"/>
          <w:numId w:val="3"/>
        </w:numPr>
        <w:ind w:left="357" w:hanging="357"/>
      </w:pPr>
      <w:r>
        <w:t xml:space="preserve">Apparatus licences – transition to the new arrangements as existing licences expire, however, all licensees </w:t>
      </w:r>
      <w:r w:rsidR="00296CC0">
        <w:t xml:space="preserve">would </w:t>
      </w:r>
      <w:r>
        <w:t>be given at least 12 months’ notice of the transition</w:t>
      </w:r>
      <w:r w:rsidR="00365F3B">
        <w:t>.</w:t>
      </w:r>
    </w:p>
    <w:p w14:paraId="13576731" w14:textId="77777777" w:rsidR="004F328F" w:rsidRDefault="004F328F" w:rsidP="004F328F">
      <w:pPr>
        <w:pStyle w:val="Deptbulletlist1"/>
        <w:numPr>
          <w:ilvl w:val="0"/>
          <w:numId w:val="3"/>
        </w:numPr>
        <w:ind w:left="357" w:hanging="357"/>
      </w:pPr>
      <w:r>
        <w:t xml:space="preserve">Spectrum licences – </w:t>
      </w:r>
      <w:r w:rsidR="00566275">
        <w:t>these</w:t>
      </w:r>
      <w:r>
        <w:t xml:space="preserve"> </w:t>
      </w:r>
      <w:r w:rsidR="00296CC0">
        <w:t xml:space="preserve">would </w:t>
      </w:r>
      <w:r>
        <w:t>be grandfathered and continue until expiry</w:t>
      </w:r>
      <w:r w:rsidR="00A3156F">
        <w:t xml:space="preserve"> unless users voluntarily transition to the new </w:t>
      </w:r>
      <w:r w:rsidR="007A5368">
        <w:t>framework</w:t>
      </w:r>
      <w:r w:rsidR="00365F3B">
        <w:t>.</w:t>
      </w:r>
    </w:p>
    <w:p w14:paraId="1B1E8C88" w14:textId="77777777" w:rsidR="004F328F" w:rsidRDefault="004F328F" w:rsidP="004F328F">
      <w:pPr>
        <w:pStyle w:val="Deptbulletlist1"/>
        <w:numPr>
          <w:ilvl w:val="0"/>
          <w:numId w:val="3"/>
        </w:numPr>
        <w:ind w:left="357" w:hanging="357"/>
      </w:pPr>
      <w:r>
        <w:lastRenderedPageBreak/>
        <w:t xml:space="preserve">Class licences – </w:t>
      </w:r>
      <w:r w:rsidR="00566275">
        <w:t>these</w:t>
      </w:r>
      <w:r>
        <w:t xml:space="preserve"> </w:t>
      </w:r>
      <w:r w:rsidR="00296CC0">
        <w:t xml:space="preserve">would </w:t>
      </w:r>
      <w:r>
        <w:t xml:space="preserve">continue until revoked by the ACMA. In general, revocation </w:t>
      </w:r>
      <w:r w:rsidR="00296CC0">
        <w:t xml:space="preserve">would </w:t>
      </w:r>
      <w:r>
        <w:t xml:space="preserve">occur when an appropriate replacement licence </w:t>
      </w:r>
      <w:r w:rsidR="00504547">
        <w:t xml:space="preserve">or regulation </w:t>
      </w:r>
      <w:r>
        <w:t xml:space="preserve">is available under the new </w:t>
      </w:r>
      <w:r w:rsidR="007A5368">
        <w:t>arrangements</w:t>
      </w:r>
      <w:r>
        <w:t xml:space="preserve">. </w:t>
      </w:r>
    </w:p>
    <w:p w14:paraId="7E020D0D" w14:textId="77777777" w:rsidR="004F328F" w:rsidRDefault="004F328F" w:rsidP="00F8656F">
      <w:pPr>
        <w:pStyle w:val="DeptBodytext"/>
      </w:pPr>
      <w:r>
        <w:t xml:space="preserve">The grandfathering of spectrum licences would result in a protracted transition period (up to 15 years) during which both </w:t>
      </w:r>
      <w:r w:rsidR="007A5368">
        <w:t>framework</w:t>
      </w:r>
      <w:r>
        <w:t xml:space="preserve">s would operate in parallel. Therefore consideration would be given to appropriate </w:t>
      </w:r>
      <w:r w:rsidR="00604C81">
        <w:t>arrangements</w:t>
      </w:r>
      <w:r w:rsidR="00AA2858">
        <w:t xml:space="preserve"> </w:t>
      </w:r>
      <w:r>
        <w:t xml:space="preserve">to encourage existing licensees to move to the new </w:t>
      </w:r>
      <w:r w:rsidR="00235D81">
        <w:t>system</w:t>
      </w:r>
      <w:r>
        <w:t xml:space="preserve"> p</w:t>
      </w:r>
      <w:r w:rsidR="00566275">
        <w:t>rior to expiry of their</w:t>
      </w:r>
      <w:r>
        <w:t xml:space="preserve"> licence. Any early migration would be at the licensee’s discretion.</w:t>
      </w:r>
    </w:p>
    <w:p w14:paraId="2FBBAF26" w14:textId="77777777" w:rsidR="00A63A08" w:rsidRDefault="00642BEB" w:rsidP="00A63A08">
      <w:pPr>
        <w:pStyle w:val="DeptHeading5figurestables"/>
      </w:pPr>
      <w:r>
        <w:t>Li</w:t>
      </w:r>
      <w:r w:rsidR="00A63A08">
        <w:t>cences</w:t>
      </w:r>
      <w:r w:rsidRPr="00642BEB">
        <w:t xml:space="preserve"> </w:t>
      </w:r>
      <w:r>
        <w:t>for broadcasting service providers</w:t>
      </w:r>
    </w:p>
    <w:p w14:paraId="4E3B0F5C" w14:textId="694B9298" w:rsidR="00642BEB" w:rsidRDefault="00A63A08" w:rsidP="009D323F">
      <w:pPr>
        <w:pStyle w:val="DeptHeading5figurestables"/>
        <w:spacing w:after="200"/>
        <w:ind w:left="0" w:firstLine="0"/>
        <w:rPr>
          <w:rFonts w:eastAsia="Cambria"/>
          <w:b w:val="0"/>
          <w:color w:val="3B3C3B"/>
        </w:rPr>
      </w:pPr>
      <w:r>
        <w:rPr>
          <w:rFonts w:eastAsia="Cambria"/>
          <w:b w:val="0"/>
          <w:color w:val="3B3C3B"/>
        </w:rPr>
        <w:t xml:space="preserve">Broadcasters would transition to the new arrangements on the same basis as other apparatus licensees, that is, they would continue to operate under current arrangements until their licences expire. They would then be issued licences under the new arrangements </w:t>
      </w:r>
      <w:r w:rsidR="00642BEB">
        <w:rPr>
          <w:rFonts w:eastAsia="Cambria"/>
          <w:b w:val="0"/>
          <w:color w:val="3B3C3B"/>
        </w:rPr>
        <w:t xml:space="preserve">with the technical features similar to </w:t>
      </w:r>
      <w:r>
        <w:rPr>
          <w:rFonts w:eastAsia="Cambria"/>
          <w:b w:val="0"/>
          <w:color w:val="3B3C3B"/>
        </w:rPr>
        <w:t>their current licences</w:t>
      </w:r>
      <w:r w:rsidR="00AF3ECD">
        <w:rPr>
          <w:rFonts w:eastAsia="Cambria"/>
          <w:b w:val="0"/>
          <w:color w:val="3B3C3B"/>
        </w:rPr>
        <w:t>.</w:t>
      </w:r>
    </w:p>
    <w:p w14:paraId="4AC90BFF" w14:textId="77777777" w:rsidR="00A63A08" w:rsidRPr="0074438B" w:rsidRDefault="001D2FDD" w:rsidP="00F8656F">
      <w:pPr>
        <w:pStyle w:val="DeptBodytext"/>
      </w:pPr>
      <w:r>
        <w:t>The pricing arrangements for broadcasters’ spectrum licences would be considered by the Government through the proposed review outlined at recommendation 3 and would also take into account the pricing arrangements that apply to broadcasters’ separate broadcasting service licences.</w:t>
      </w:r>
    </w:p>
    <w:p w14:paraId="1DDE0BBB" w14:textId="77777777" w:rsidR="00610D32" w:rsidRPr="00B56DC7" w:rsidRDefault="00F03D4D" w:rsidP="000D57E8">
      <w:pPr>
        <w:pStyle w:val="DeptHeading2"/>
        <w:numPr>
          <w:ilvl w:val="1"/>
          <w:numId w:val="8"/>
        </w:numPr>
        <w:ind w:left="284" w:hanging="284"/>
        <w:rPr>
          <w:sz w:val="28"/>
          <w:szCs w:val="24"/>
        </w:rPr>
      </w:pPr>
      <w:r>
        <w:br w:type="column"/>
      </w:r>
      <w:bookmarkStart w:id="112" w:name="_Toc413139576"/>
      <w:r w:rsidR="00610D32" w:rsidRPr="00B56DC7">
        <w:rPr>
          <w:sz w:val="28"/>
          <w:szCs w:val="24"/>
        </w:rPr>
        <w:lastRenderedPageBreak/>
        <w:t xml:space="preserve">Recommendation </w:t>
      </w:r>
      <w:r w:rsidR="00351CCE">
        <w:rPr>
          <w:sz w:val="28"/>
          <w:szCs w:val="24"/>
        </w:rPr>
        <w:t xml:space="preserve">2 – </w:t>
      </w:r>
      <w:r w:rsidR="00365F3B">
        <w:rPr>
          <w:sz w:val="28"/>
          <w:szCs w:val="24"/>
        </w:rPr>
        <w:t>G</w:t>
      </w:r>
      <w:r w:rsidR="00610D32">
        <w:rPr>
          <w:sz w:val="28"/>
          <w:szCs w:val="24"/>
        </w:rPr>
        <w:t>overnment</w:t>
      </w:r>
      <w:r w:rsidR="00351CCE">
        <w:rPr>
          <w:sz w:val="28"/>
          <w:szCs w:val="24"/>
        </w:rPr>
        <w:t xml:space="preserve"> spectrum use</w:t>
      </w:r>
      <w:bookmarkEnd w:id="112"/>
    </w:p>
    <w:p w14:paraId="6A74D375" w14:textId="77777777" w:rsidR="00D3598B" w:rsidRPr="005A39FF" w:rsidRDefault="00D3598B" w:rsidP="005A39FF">
      <w:pPr>
        <w:pStyle w:val="DeptBodytext"/>
        <w:spacing w:after="120"/>
        <w:rPr>
          <w:i/>
        </w:rPr>
      </w:pPr>
      <w:bookmarkStart w:id="113" w:name="_Toc412214247"/>
      <w:bookmarkStart w:id="114" w:name="_Toc412814566"/>
      <w:bookmarkStart w:id="115" w:name="_Toc413136148"/>
      <w:r w:rsidRPr="005A39FF">
        <w:rPr>
          <w:i/>
        </w:rPr>
        <w:t>Recognising that how public sector agencies account for and deal with assets is a separate policy matter for Government, the following approaches could be considered:</w:t>
      </w:r>
    </w:p>
    <w:p w14:paraId="1EE11722" w14:textId="77777777" w:rsidR="00D3598B" w:rsidRPr="005A39FF" w:rsidRDefault="00D3598B" w:rsidP="00D81B73">
      <w:pPr>
        <w:pStyle w:val="Deptbulletlist2"/>
        <w:numPr>
          <w:ilvl w:val="0"/>
          <w:numId w:val="35"/>
        </w:numPr>
        <w:spacing w:before="120"/>
        <w:rPr>
          <w:i/>
        </w:rPr>
      </w:pPr>
      <w:r w:rsidRPr="005A39FF">
        <w:rPr>
          <w:i/>
        </w:rPr>
        <w:t>requiring public sector agencies that hold spectrum to regularly report the value of their holdings</w:t>
      </w:r>
    </w:p>
    <w:p w14:paraId="3C412ED8" w14:textId="77777777" w:rsidR="00D3598B" w:rsidRPr="005A39FF" w:rsidRDefault="00D3598B" w:rsidP="00D81B73">
      <w:pPr>
        <w:pStyle w:val="Deptbulletlist2"/>
        <w:numPr>
          <w:ilvl w:val="0"/>
          <w:numId w:val="35"/>
        </w:numPr>
        <w:spacing w:before="120"/>
        <w:rPr>
          <w:i/>
        </w:rPr>
      </w:pPr>
      <w:r w:rsidRPr="005A39FF">
        <w:rPr>
          <w:i/>
        </w:rPr>
        <w:t>permitting agencies to either lease or sell the spectrum and retain the benefit of doing so.</w:t>
      </w:r>
    </w:p>
    <w:p w14:paraId="2BAEF6DA" w14:textId="77777777" w:rsidR="00144BD9" w:rsidRPr="004F328F" w:rsidRDefault="00144BD9" w:rsidP="00144BD9">
      <w:pPr>
        <w:pStyle w:val="DeptHeading2"/>
        <w:rPr>
          <w:rFonts w:eastAsia="MS Gothic"/>
          <w:b/>
          <w:i/>
          <w:iCs/>
          <w:color w:val="4F81BD"/>
          <w:sz w:val="24"/>
          <w:szCs w:val="24"/>
        </w:rPr>
      </w:pPr>
      <w:bookmarkStart w:id="116" w:name="_Toc413139577"/>
      <w:r>
        <w:rPr>
          <w:rFonts w:eastAsia="MS Gothic"/>
          <w:b/>
          <w:i/>
          <w:iCs/>
          <w:color w:val="4F81BD"/>
          <w:sz w:val="24"/>
          <w:szCs w:val="24"/>
        </w:rPr>
        <w:t>Rationale for reform</w:t>
      </w:r>
      <w:bookmarkEnd w:id="113"/>
      <w:bookmarkEnd w:id="114"/>
      <w:bookmarkEnd w:id="115"/>
      <w:bookmarkEnd w:id="116"/>
    </w:p>
    <w:p w14:paraId="7240CFA0" w14:textId="77777777" w:rsidR="00610D32" w:rsidRDefault="00610D32" w:rsidP="00F8656F">
      <w:pPr>
        <w:pStyle w:val="DeptBodytext"/>
      </w:pPr>
      <w:r w:rsidRPr="006161B8">
        <w:t>Government users of spectrum provide services that offer significant benefits to society beyond a</w:t>
      </w:r>
      <w:r w:rsidRPr="006068F3">
        <w:t xml:space="preserve"> pure commercial return. These users currently receive most of their spectrum administratively, and should they achieve efficiencies in its use are generally unable to fully realise these benefits. </w:t>
      </w:r>
    </w:p>
    <w:p w14:paraId="3B6A2370" w14:textId="77777777" w:rsidR="008642F3" w:rsidRPr="006068F3" w:rsidRDefault="008642F3" w:rsidP="00F8656F">
      <w:pPr>
        <w:pStyle w:val="DeptBodytext"/>
      </w:pPr>
      <w:r>
        <w:t xml:space="preserve">Treatment of </w:t>
      </w:r>
      <w:r w:rsidR="00AF3ECD">
        <w:t>G</w:t>
      </w:r>
      <w:r>
        <w:t xml:space="preserve">overnment assets is a matter of Government policy. However, from the perspective of a new framework, the policy objective of improving efficiency and </w:t>
      </w:r>
      <w:r w:rsidRPr="00913CBC">
        <w:t xml:space="preserve">treating spectrum users consistently </w:t>
      </w:r>
      <w:r w:rsidR="001B5827" w:rsidRPr="00913CBC">
        <w:t xml:space="preserve">would </w:t>
      </w:r>
      <w:r w:rsidR="00EA3E12">
        <w:t xml:space="preserve">be </w:t>
      </w:r>
      <w:r w:rsidR="009E57C1" w:rsidRPr="009D323F">
        <w:t>significantly enhanced</w:t>
      </w:r>
      <w:r>
        <w:t xml:space="preserve"> if </w:t>
      </w:r>
      <w:r w:rsidR="00AF3ECD">
        <w:t>G</w:t>
      </w:r>
      <w:r>
        <w:t>overnment users are able to benefit from trading and leasing of spectrum.</w:t>
      </w:r>
    </w:p>
    <w:p w14:paraId="71DE5255" w14:textId="77777777" w:rsidR="00144BD9" w:rsidRPr="004F328F" w:rsidRDefault="00144BD9" w:rsidP="00144BD9">
      <w:pPr>
        <w:pStyle w:val="DeptHeading2"/>
        <w:rPr>
          <w:rFonts w:eastAsia="MS Gothic"/>
          <w:b/>
          <w:i/>
          <w:iCs/>
          <w:color w:val="4F81BD"/>
          <w:sz w:val="24"/>
          <w:szCs w:val="24"/>
        </w:rPr>
      </w:pPr>
      <w:bookmarkStart w:id="117" w:name="_Toc412214248"/>
      <w:bookmarkStart w:id="118" w:name="_Toc412814567"/>
      <w:bookmarkStart w:id="119" w:name="_Toc413136149"/>
      <w:bookmarkStart w:id="120" w:name="_Toc413139578"/>
      <w:r w:rsidRPr="004F328F">
        <w:rPr>
          <w:rFonts w:eastAsia="MS Gothic"/>
          <w:b/>
          <w:i/>
          <w:iCs/>
          <w:color w:val="4F81BD"/>
          <w:sz w:val="24"/>
          <w:szCs w:val="24"/>
        </w:rPr>
        <w:t>Proposal</w:t>
      </w:r>
      <w:bookmarkEnd w:id="117"/>
      <w:bookmarkEnd w:id="118"/>
      <w:bookmarkEnd w:id="119"/>
      <w:bookmarkEnd w:id="120"/>
    </w:p>
    <w:p w14:paraId="79096E20" w14:textId="77777777" w:rsidR="004158B5" w:rsidRDefault="004158B5" w:rsidP="00F8656F">
      <w:pPr>
        <w:pStyle w:val="DeptBodytext"/>
      </w:pPr>
      <w:r>
        <w:t>It is proposed that</w:t>
      </w:r>
      <w:r w:rsidR="00642BEB">
        <w:t xml:space="preserve"> </w:t>
      </w:r>
      <w:r w:rsidR="001B5827">
        <w:t>the G</w:t>
      </w:r>
      <w:r w:rsidR="00642BEB">
        <w:t>overnment consider its policies regarding how public sector agencies account for and are permitted to deal with assets</w:t>
      </w:r>
      <w:r>
        <w:t>,</w:t>
      </w:r>
      <w:r w:rsidR="00610D32">
        <w:t xml:space="preserve"> </w:t>
      </w:r>
      <w:r w:rsidR="00642BEB">
        <w:t xml:space="preserve">such that agencies </w:t>
      </w:r>
      <w:r w:rsidR="00610D32">
        <w:t xml:space="preserve">can benefit from both the additional flexibility provided in the new </w:t>
      </w:r>
      <w:r w:rsidR="007A5368">
        <w:t>framework</w:t>
      </w:r>
      <w:r w:rsidR="00610D32">
        <w:t xml:space="preserve"> and more efficient use of their spectrum holdings.</w:t>
      </w:r>
      <w:r w:rsidR="001B5827">
        <w:t xml:space="preserve"> </w:t>
      </w:r>
      <w:r>
        <w:t>This would include considering:</w:t>
      </w:r>
    </w:p>
    <w:p w14:paraId="79D2CD83" w14:textId="77777777" w:rsidR="004158B5" w:rsidRDefault="004158B5" w:rsidP="004158B5">
      <w:pPr>
        <w:pStyle w:val="Deptbulletlist1"/>
        <w:numPr>
          <w:ilvl w:val="0"/>
          <w:numId w:val="3"/>
        </w:numPr>
        <w:ind w:left="357" w:hanging="357"/>
      </w:pPr>
      <w:r>
        <w:t>requiring public sector agencies that hold spectrum to regularly report the value of their holdings, and</w:t>
      </w:r>
    </w:p>
    <w:p w14:paraId="27231F97" w14:textId="77777777" w:rsidR="004158B5" w:rsidRDefault="004158B5" w:rsidP="004158B5">
      <w:pPr>
        <w:pStyle w:val="Deptbulletlist1"/>
        <w:numPr>
          <w:ilvl w:val="0"/>
          <w:numId w:val="3"/>
        </w:numPr>
        <w:ind w:left="357" w:hanging="357"/>
      </w:pPr>
      <w:r>
        <w:t>permitting agencies to either lease or sell the spectrum and retain the benefit of doing so.</w:t>
      </w:r>
    </w:p>
    <w:p w14:paraId="097FA738" w14:textId="77777777" w:rsidR="0085047C" w:rsidRDefault="0085047C" w:rsidP="0085047C">
      <w:pPr>
        <w:pStyle w:val="Deptbulletlist1"/>
      </w:pPr>
    </w:p>
    <w:p w14:paraId="013ECE23" w14:textId="77777777" w:rsidR="0085047C" w:rsidRDefault="0085047C">
      <w:r>
        <w:br w:type="page"/>
      </w:r>
    </w:p>
    <w:p w14:paraId="6176D06E" w14:textId="77777777" w:rsidR="00502F5C" w:rsidRDefault="00A31FAD" w:rsidP="000D57E8">
      <w:pPr>
        <w:pStyle w:val="DeptHeading2"/>
        <w:numPr>
          <w:ilvl w:val="1"/>
          <w:numId w:val="8"/>
        </w:numPr>
        <w:ind w:left="284" w:hanging="284"/>
        <w:rPr>
          <w:sz w:val="28"/>
          <w:szCs w:val="24"/>
        </w:rPr>
      </w:pPr>
      <w:bookmarkStart w:id="121" w:name="_Toc413139579"/>
      <w:r>
        <w:rPr>
          <w:sz w:val="28"/>
          <w:szCs w:val="24"/>
        </w:rPr>
        <w:lastRenderedPageBreak/>
        <w:t xml:space="preserve">Recommendation </w:t>
      </w:r>
      <w:r w:rsidR="00610D32">
        <w:rPr>
          <w:sz w:val="28"/>
          <w:szCs w:val="24"/>
        </w:rPr>
        <w:t>3</w:t>
      </w:r>
      <w:r w:rsidR="00351CCE">
        <w:rPr>
          <w:sz w:val="28"/>
          <w:szCs w:val="24"/>
        </w:rPr>
        <w:t xml:space="preserve"> – S</w:t>
      </w:r>
      <w:r w:rsidR="00074F25">
        <w:rPr>
          <w:sz w:val="28"/>
          <w:szCs w:val="24"/>
        </w:rPr>
        <w:t>pectrum</w:t>
      </w:r>
      <w:r w:rsidR="00351CCE">
        <w:rPr>
          <w:sz w:val="28"/>
          <w:szCs w:val="24"/>
        </w:rPr>
        <w:t xml:space="preserve"> pricing</w:t>
      </w:r>
      <w:bookmarkEnd w:id="121"/>
    </w:p>
    <w:p w14:paraId="26270340" w14:textId="77777777" w:rsidR="00476E94" w:rsidRPr="005A39FF" w:rsidRDefault="00476E94" w:rsidP="00476E94">
      <w:pPr>
        <w:pStyle w:val="DeptBodytext"/>
        <w:rPr>
          <w:i/>
        </w:rPr>
      </w:pPr>
      <w:bookmarkStart w:id="122" w:name="_Toc412214250"/>
      <w:bookmarkStart w:id="123" w:name="_Toc412814569"/>
      <w:bookmarkStart w:id="124" w:name="_Toc413136151"/>
      <w:bookmarkStart w:id="125" w:name="_Toc413139580"/>
      <w:r w:rsidRPr="005A39FF">
        <w:rPr>
          <w:i/>
        </w:rPr>
        <w:t xml:space="preserve">That the Department review the arrangements for pricing of spectrum (including exemptions, concessions, administrative charges and taxes) so that these are consistent, transparent and support efficient use in secondary markets. </w:t>
      </w:r>
    </w:p>
    <w:p w14:paraId="41B473C9" w14:textId="77777777" w:rsidR="00476E94" w:rsidRPr="005A39FF" w:rsidRDefault="00476E94" w:rsidP="00D81B73">
      <w:pPr>
        <w:pStyle w:val="Deptbulletlist2"/>
        <w:numPr>
          <w:ilvl w:val="0"/>
          <w:numId w:val="37"/>
        </w:numPr>
        <w:rPr>
          <w:i/>
        </w:rPr>
      </w:pPr>
      <w:r w:rsidRPr="005A39FF">
        <w:rPr>
          <w:i/>
        </w:rPr>
        <w:t>This review will take into account any relevant outcomes of the Review of Australian Government Charging.</w:t>
      </w:r>
    </w:p>
    <w:p w14:paraId="42CAAF13" w14:textId="77777777" w:rsidR="00144BD9" w:rsidRPr="004F328F" w:rsidRDefault="00144BD9" w:rsidP="00144BD9">
      <w:pPr>
        <w:pStyle w:val="DeptHeading2"/>
        <w:rPr>
          <w:rFonts w:eastAsia="MS Gothic"/>
          <w:b/>
          <w:i/>
          <w:iCs/>
          <w:color w:val="4F81BD"/>
          <w:sz w:val="24"/>
          <w:szCs w:val="24"/>
        </w:rPr>
      </w:pPr>
      <w:r>
        <w:rPr>
          <w:rFonts w:eastAsia="MS Gothic"/>
          <w:b/>
          <w:i/>
          <w:iCs/>
          <w:color w:val="4F81BD"/>
          <w:sz w:val="24"/>
          <w:szCs w:val="24"/>
        </w:rPr>
        <w:t>Rationale for reform</w:t>
      </w:r>
      <w:bookmarkEnd w:id="122"/>
      <w:bookmarkEnd w:id="123"/>
      <w:bookmarkEnd w:id="124"/>
      <w:bookmarkEnd w:id="125"/>
    </w:p>
    <w:p w14:paraId="74AB498F" w14:textId="77777777" w:rsidR="00EC2039" w:rsidRDefault="00EC2039" w:rsidP="00F8656F">
      <w:pPr>
        <w:pStyle w:val="DeptBodytext"/>
      </w:pPr>
      <w:r>
        <w:t>If the proposed changes to the legislation and licensing are agreed (recommendations 1 and 1(a)), then p</w:t>
      </w:r>
      <w:r w:rsidR="00A60089">
        <w:t>rices charged</w:t>
      </w:r>
      <w:r w:rsidR="00AB5141">
        <w:t xml:space="preserve"> for spectrum </w:t>
      </w:r>
      <w:r>
        <w:t>would need to be reviewed to ensure they are appropriate to the new arrangements</w:t>
      </w:r>
      <w:r w:rsidR="0091088E" w:rsidRPr="0091088E">
        <w:t xml:space="preserve">. </w:t>
      </w:r>
      <w:r>
        <w:t>For example, c</w:t>
      </w:r>
      <w:r w:rsidR="0091088E" w:rsidRPr="0091088E">
        <w:t xml:space="preserve">hanges to licence configuration and access rights may require adjustments to pricing. </w:t>
      </w:r>
    </w:p>
    <w:p w14:paraId="6A31F519" w14:textId="77777777" w:rsidR="0091088E" w:rsidRPr="00913CBC" w:rsidRDefault="0091088E" w:rsidP="00F8656F">
      <w:pPr>
        <w:pStyle w:val="DeptBodytext"/>
      </w:pPr>
      <w:r>
        <w:t xml:space="preserve">Current pricing arrangements </w:t>
      </w:r>
      <w:r w:rsidR="00AB5141">
        <w:t xml:space="preserve">are complex and </w:t>
      </w:r>
      <w:r>
        <w:t xml:space="preserve">may not always provide an incentive for efficient use. The approach to </w:t>
      </w:r>
      <w:r w:rsidR="00A813C6">
        <w:t xml:space="preserve">providing pricing discounts is unclear </w:t>
      </w:r>
      <w:r>
        <w:t xml:space="preserve">and needs to be </w:t>
      </w:r>
      <w:r w:rsidRPr="00913CBC">
        <w:t>examined.</w:t>
      </w:r>
    </w:p>
    <w:p w14:paraId="1994AD8E" w14:textId="77777777" w:rsidR="00144BD9" w:rsidRPr="004F328F" w:rsidRDefault="00144BD9" w:rsidP="00144BD9">
      <w:pPr>
        <w:pStyle w:val="DeptHeading2"/>
        <w:rPr>
          <w:rFonts w:eastAsia="MS Gothic"/>
          <w:b/>
          <w:i/>
          <w:iCs/>
          <w:color w:val="4F81BD"/>
          <w:sz w:val="24"/>
          <w:szCs w:val="24"/>
        </w:rPr>
      </w:pPr>
      <w:bookmarkStart w:id="126" w:name="_Toc412214251"/>
      <w:bookmarkStart w:id="127" w:name="_Toc412814570"/>
      <w:bookmarkStart w:id="128" w:name="_Toc413136152"/>
      <w:bookmarkStart w:id="129" w:name="_Toc413139581"/>
      <w:r w:rsidRPr="004F328F">
        <w:rPr>
          <w:rFonts w:eastAsia="MS Gothic"/>
          <w:b/>
          <w:i/>
          <w:iCs/>
          <w:color w:val="4F81BD"/>
          <w:sz w:val="24"/>
          <w:szCs w:val="24"/>
        </w:rPr>
        <w:t>Proposal</w:t>
      </w:r>
      <w:bookmarkEnd w:id="126"/>
      <w:bookmarkEnd w:id="127"/>
      <w:bookmarkEnd w:id="128"/>
      <w:bookmarkEnd w:id="129"/>
    </w:p>
    <w:p w14:paraId="77D2E285" w14:textId="77777777" w:rsidR="00EC2039" w:rsidRPr="00913CBC" w:rsidRDefault="002153D3" w:rsidP="00F8656F">
      <w:pPr>
        <w:pStyle w:val="DeptBodytext"/>
      </w:pPr>
      <w:r>
        <w:t xml:space="preserve">It is proposed that this </w:t>
      </w:r>
      <w:r w:rsidR="002E72AB" w:rsidRPr="00B56DC7">
        <w:t xml:space="preserve">review would consider the </w:t>
      </w:r>
      <w:r w:rsidR="009A55D4">
        <w:t>pricin</w:t>
      </w:r>
      <w:r w:rsidR="002E72AB" w:rsidRPr="00B56DC7">
        <w:t xml:space="preserve">g options and valuation approaches (for example, opportunity cost pricing or other forms of administered incentive pricing) which should be applied to </w:t>
      </w:r>
      <w:r w:rsidR="00A60089">
        <w:t>spectrum</w:t>
      </w:r>
      <w:r>
        <w:t xml:space="preserve"> under any new arrangements</w:t>
      </w:r>
      <w:r w:rsidR="002E72AB" w:rsidRPr="00B56DC7">
        <w:t xml:space="preserve">. It would also consider related pricing issues such as </w:t>
      </w:r>
      <w:r w:rsidR="00954D95">
        <w:t xml:space="preserve">taxes charged, </w:t>
      </w:r>
      <w:r w:rsidR="002E72AB" w:rsidRPr="00B56DC7">
        <w:t xml:space="preserve">the application of </w:t>
      </w:r>
      <w:r w:rsidR="002E72AB" w:rsidRPr="00913CBC">
        <w:t>concessional rates and recovery of administrative costs.</w:t>
      </w:r>
      <w:r w:rsidR="00954D95" w:rsidRPr="00913CBC">
        <w:t xml:space="preserve"> </w:t>
      </w:r>
    </w:p>
    <w:p w14:paraId="70490286" w14:textId="77777777" w:rsidR="00382507" w:rsidRDefault="00954D95" w:rsidP="00F8656F">
      <w:pPr>
        <w:pStyle w:val="DeptBodytext"/>
      </w:pPr>
      <w:r w:rsidRPr="009D323F">
        <w:t xml:space="preserve">The review would </w:t>
      </w:r>
      <w:r w:rsidR="00EC2039" w:rsidRPr="009D323F">
        <w:t>commence following Government</w:t>
      </w:r>
      <w:r w:rsidR="00C650D9" w:rsidRPr="009D323F">
        <w:t xml:space="preserve">’s approval of </w:t>
      </w:r>
      <w:r w:rsidR="002153D3" w:rsidRPr="009D323F">
        <w:t xml:space="preserve">a </w:t>
      </w:r>
      <w:r w:rsidR="00EC2039" w:rsidRPr="009D323F">
        <w:t>new</w:t>
      </w:r>
      <w:r w:rsidR="002153D3" w:rsidRPr="009D323F">
        <w:t xml:space="preserve"> legislative </w:t>
      </w:r>
      <w:r w:rsidR="00C650D9" w:rsidRPr="009D323F">
        <w:t>framework and would r</w:t>
      </w:r>
      <w:r w:rsidRPr="009D323F">
        <w:t xml:space="preserve">eport to the Minister </w:t>
      </w:r>
      <w:r w:rsidR="00EC2039" w:rsidRPr="009D323F">
        <w:t xml:space="preserve">in </w:t>
      </w:r>
      <w:r w:rsidR="00913CBC">
        <w:t>at the end of 2015</w:t>
      </w:r>
      <w:r w:rsidR="00C650D9" w:rsidRPr="009D323F">
        <w:t xml:space="preserve">. The </w:t>
      </w:r>
      <w:r w:rsidRPr="009D323F">
        <w:t xml:space="preserve">outcomes </w:t>
      </w:r>
      <w:r w:rsidR="009E57C1" w:rsidRPr="009D323F">
        <w:t xml:space="preserve">of the review </w:t>
      </w:r>
      <w:r w:rsidR="00C650D9" w:rsidRPr="009D323F">
        <w:t>would inform the charges for licences allocated under the new framework</w:t>
      </w:r>
      <w:r w:rsidRPr="009D323F">
        <w:t>.</w:t>
      </w:r>
    </w:p>
    <w:p w14:paraId="3BF2B269" w14:textId="77777777" w:rsidR="00236782" w:rsidRPr="00B56DC7" w:rsidRDefault="00236782" w:rsidP="00F8656F">
      <w:pPr>
        <w:pStyle w:val="DeptBodytext"/>
      </w:pPr>
    </w:p>
    <w:p w14:paraId="68B336FD" w14:textId="77777777" w:rsidR="005B4314" w:rsidRDefault="00E74BED" w:rsidP="000D57E8">
      <w:pPr>
        <w:pStyle w:val="DeptHeading2"/>
        <w:numPr>
          <w:ilvl w:val="0"/>
          <w:numId w:val="8"/>
        </w:numPr>
      </w:pPr>
      <w:r>
        <w:br w:type="column"/>
      </w:r>
      <w:bookmarkStart w:id="130" w:name="_Toc413139582"/>
      <w:r w:rsidR="005B4314">
        <w:lastRenderedPageBreak/>
        <w:t>Financial implications</w:t>
      </w:r>
      <w:bookmarkEnd w:id="130"/>
    </w:p>
    <w:p w14:paraId="3E5187BD" w14:textId="77777777" w:rsidR="006756F7" w:rsidRPr="00D3598B" w:rsidRDefault="00B90F79" w:rsidP="000D57E8">
      <w:pPr>
        <w:pStyle w:val="DeptHeading2"/>
        <w:numPr>
          <w:ilvl w:val="1"/>
          <w:numId w:val="11"/>
        </w:numPr>
        <w:ind w:left="284" w:hanging="284"/>
        <w:rPr>
          <w:sz w:val="28"/>
          <w:szCs w:val="24"/>
        </w:rPr>
      </w:pPr>
      <w:bookmarkStart w:id="131" w:name="_Toc412214253"/>
      <w:bookmarkStart w:id="132" w:name="_Toc412814572"/>
      <w:bookmarkStart w:id="133" w:name="_Toc413139583"/>
      <w:r w:rsidRPr="00D3598B">
        <w:rPr>
          <w:sz w:val="28"/>
          <w:szCs w:val="24"/>
        </w:rPr>
        <w:t>S</w:t>
      </w:r>
      <w:r w:rsidR="006756F7" w:rsidRPr="00D3598B">
        <w:rPr>
          <w:sz w:val="28"/>
          <w:szCs w:val="24"/>
        </w:rPr>
        <w:t xml:space="preserve">ingle licensing </w:t>
      </w:r>
      <w:r w:rsidR="006161B8" w:rsidRPr="00D3598B">
        <w:rPr>
          <w:sz w:val="28"/>
          <w:szCs w:val="24"/>
        </w:rPr>
        <w:t>system</w:t>
      </w:r>
      <w:r w:rsidR="007A5368" w:rsidRPr="00D3598B">
        <w:rPr>
          <w:sz w:val="28"/>
          <w:szCs w:val="24"/>
        </w:rPr>
        <w:t xml:space="preserve"> </w:t>
      </w:r>
      <w:r w:rsidR="006756F7" w:rsidRPr="00D3598B">
        <w:rPr>
          <w:sz w:val="28"/>
          <w:szCs w:val="24"/>
        </w:rPr>
        <w:t>– implications for charging and revenues</w:t>
      </w:r>
      <w:bookmarkEnd w:id="131"/>
      <w:bookmarkEnd w:id="132"/>
      <w:bookmarkEnd w:id="133"/>
    </w:p>
    <w:p w14:paraId="58D132DA" w14:textId="77777777" w:rsidR="006756F7" w:rsidRDefault="00C6492B" w:rsidP="00F8656F">
      <w:pPr>
        <w:pStyle w:val="DeptBodytext"/>
      </w:pPr>
      <w:r>
        <w:t xml:space="preserve">The current </w:t>
      </w:r>
      <w:r w:rsidR="006756F7">
        <w:t>licen</w:t>
      </w:r>
      <w:r w:rsidR="00233CB6">
        <w:t>c</w:t>
      </w:r>
      <w:r w:rsidR="006756F7">
        <w:t>e</w:t>
      </w:r>
      <w:r>
        <w:t xml:space="preserve"> types </w:t>
      </w:r>
      <w:r w:rsidR="006756F7">
        <w:t xml:space="preserve">have different payment structures. </w:t>
      </w:r>
      <w:r w:rsidR="00AA4AF6">
        <w:t>A move to a single licen</w:t>
      </w:r>
      <w:r w:rsidR="00233CB6">
        <w:t>s</w:t>
      </w:r>
      <w:r w:rsidR="00AA4AF6">
        <w:t xml:space="preserve">ing </w:t>
      </w:r>
      <w:r w:rsidR="006161B8">
        <w:t>system</w:t>
      </w:r>
      <w:r w:rsidR="00AA4AF6">
        <w:t xml:space="preserve"> that provides for greater payment flexibility, while not affecting currently issued licen</w:t>
      </w:r>
      <w:r w:rsidR="00233CB6">
        <w:t>c</w:t>
      </w:r>
      <w:r w:rsidR="00AA4AF6">
        <w:t>es and their associated payment arr</w:t>
      </w:r>
      <w:r w:rsidR="006A283F">
        <w:t>an</w:t>
      </w:r>
      <w:r w:rsidR="00AA4AF6">
        <w:t>gements, has the potential to provide greater certainty around revenue forecasts.</w:t>
      </w:r>
    </w:p>
    <w:p w14:paraId="6C98C330" w14:textId="77777777" w:rsidR="006161B8" w:rsidRDefault="006756F7" w:rsidP="00F8656F">
      <w:pPr>
        <w:pStyle w:val="DeptBodytext"/>
      </w:pPr>
      <w:r w:rsidRPr="00283BB4">
        <w:t xml:space="preserve">As noted in recommendation </w:t>
      </w:r>
      <w:r w:rsidR="00A60089">
        <w:t>3</w:t>
      </w:r>
      <w:r w:rsidRPr="00283BB4">
        <w:t xml:space="preserve">, moving to a single licensing </w:t>
      </w:r>
      <w:r w:rsidR="006161B8">
        <w:t>system</w:t>
      </w:r>
      <w:r w:rsidRPr="00283BB4">
        <w:t xml:space="preserve"> </w:t>
      </w:r>
      <w:r w:rsidR="003F4F7F">
        <w:t>would</w:t>
      </w:r>
      <w:r w:rsidR="003F4F7F" w:rsidRPr="00283BB4">
        <w:t xml:space="preserve"> </w:t>
      </w:r>
      <w:r w:rsidRPr="00283BB4">
        <w:t xml:space="preserve">also necessitate a review of </w:t>
      </w:r>
      <w:r w:rsidR="006161B8">
        <w:t xml:space="preserve">spectrum </w:t>
      </w:r>
      <w:r w:rsidRPr="00283BB4">
        <w:t xml:space="preserve">pricing arrangements. Charges, pricing and implications for </w:t>
      </w:r>
      <w:r w:rsidR="006068F3">
        <w:t>G</w:t>
      </w:r>
      <w:r w:rsidRPr="00283BB4">
        <w:t xml:space="preserve">overnment revenue </w:t>
      </w:r>
      <w:r w:rsidR="003F4F7F">
        <w:t>would</w:t>
      </w:r>
      <w:r w:rsidR="003F4F7F" w:rsidRPr="00283BB4">
        <w:t xml:space="preserve"> </w:t>
      </w:r>
      <w:r w:rsidRPr="00283BB4">
        <w:t xml:space="preserve">be reported to </w:t>
      </w:r>
      <w:r w:rsidR="003D27E0">
        <w:t>the Minister</w:t>
      </w:r>
      <w:r w:rsidRPr="00283BB4">
        <w:t xml:space="preserve"> as part o</w:t>
      </w:r>
      <w:r w:rsidR="003D27E0">
        <w:t xml:space="preserve">f that review. </w:t>
      </w:r>
    </w:p>
    <w:p w14:paraId="3B84FB27" w14:textId="77777777" w:rsidR="006756F7" w:rsidRPr="00D3598B" w:rsidRDefault="006756F7" w:rsidP="000D57E8">
      <w:pPr>
        <w:pStyle w:val="DeptHeading2"/>
        <w:numPr>
          <w:ilvl w:val="1"/>
          <w:numId w:val="11"/>
        </w:numPr>
        <w:ind w:left="284" w:hanging="284"/>
        <w:rPr>
          <w:sz w:val="28"/>
          <w:szCs w:val="24"/>
        </w:rPr>
      </w:pPr>
      <w:bookmarkStart w:id="134" w:name="_Toc412214254"/>
      <w:bookmarkStart w:id="135" w:name="_Toc412814573"/>
      <w:bookmarkStart w:id="136" w:name="_Toc413139584"/>
      <w:r w:rsidRPr="00D3598B">
        <w:rPr>
          <w:sz w:val="28"/>
          <w:szCs w:val="24"/>
        </w:rPr>
        <w:t>Compensation</w:t>
      </w:r>
      <w:bookmarkEnd w:id="134"/>
      <w:bookmarkEnd w:id="135"/>
      <w:bookmarkEnd w:id="136"/>
    </w:p>
    <w:p w14:paraId="77A3E49A" w14:textId="77777777" w:rsidR="005A5F8A" w:rsidRDefault="005A5F8A" w:rsidP="005A5F8A">
      <w:pPr>
        <w:rPr>
          <w:color w:val="auto"/>
          <w:sz w:val="22"/>
          <w:szCs w:val="22"/>
        </w:rPr>
      </w:pPr>
      <w:r>
        <w:t xml:space="preserve">Compensation is currently payable under the </w:t>
      </w:r>
      <w:r w:rsidRPr="00AD62AF">
        <w:rPr>
          <w:iCs/>
        </w:rPr>
        <w:t>Radiocommunications Act</w:t>
      </w:r>
      <w:r>
        <w:rPr>
          <w:i/>
          <w:iCs/>
        </w:rPr>
        <w:t xml:space="preserve"> </w:t>
      </w:r>
      <w:r>
        <w:t>to spectrum licensees if the ACMA resumes part or all of a licence (s</w:t>
      </w:r>
      <w:r w:rsidR="00AD62AF">
        <w:t xml:space="preserve">ection </w:t>
      </w:r>
      <w:r>
        <w:t>93). The ACMA must not compulsorily resume a licence wi</w:t>
      </w:r>
      <w:r w:rsidR="001136E0">
        <w:t xml:space="preserve">thout the Minister’s approval. </w:t>
      </w:r>
      <w:r>
        <w:t xml:space="preserve">Statutory compensation is not available to apparatus or class licensees. </w:t>
      </w:r>
    </w:p>
    <w:p w14:paraId="6585D530" w14:textId="77777777" w:rsidR="005A0AB4" w:rsidRDefault="005A0AB4" w:rsidP="005A0AB4">
      <w:pPr>
        <w:pStyle w:val="DeptBodytext"/>
      </w:pPr>
      <w:r>
        <w:t>It is proposed that the right to compensation</w:t>
      </w:r>
      <w:r w:rsidR="005A5F8A">
        <w:t xml:space="preserve"> would continue to be a</w:t>
      </w:r>
      <w:r>
        <w:t xml:space="preserve"> last resort </w:t>
      </w:r>
      <w:r w:rsidR="005A5F8A">
        <w:t>in limited circumstances and similarly require Ministerial approval.</w:t>
      </w:r>
    </w:p>
    <w:p w14:paraId="5A508C58" w14:textId="77777777" w:rsidR="006756F7" w:rsidRDefault="006756F7" w:rsidP="00F8656F">
      <w:pPr>
        <w:pStyle w:val="DeptBodytext"/>
      </w:pPr>
      <w:r>
        <w:t xml:space="preserve">Stakeholders have asked for compensation and/or financial assistance to cover </w:t>
      </w:r>
      <w:r w:rsidR="00AC63C7">
        <w:t xml:space="preserve">the </w:t>
      </w:r>
      <w:r>
        <w:t>costs of relocation when bands are replanned.</w:t>
      </w:r>
      <w:r w:rsidR="005A0AB4">
        <w:t xml:space="preserve"> The Department proposes that</w:t>
      </w:r>
      <w:r>
        <w:t xml:space="preserve"> </w:t>
      </w:r>
      <w:r w:rsidR="005A0AB4">
        <w:t>financial assistance for relocation not be provided</w:t>
      </w:r>
      <w:r w:rsidR="001B5827">
        <w:t xml:space="preserve">. </w:t>
      </w:r>
      <w:r w:rsidR="00AC63C7">
        <w:t>R</w:t>
      </w:r>
      <w:r>
        <w:t>eplanning would continue to be managed through notice periods and the provision of information to assist affected stakeholders</w:t>
      </w:r>
      <w:r w:rsidR="007932DF">
        <w:t xml:space="preserve">. Any assistance would be considered on a case-by-case basis by </w:t>
      </w:r>
      <w:r w:rsidR="001B5827">
        <w:t>the G</w:t>
      </w:r>
      <w:r w:rsidR="007932DF">
        <w:t>overnment as occurred with the recent digital television switch-over and restack process.</w:t>
      </w:r>
    </w:p>
    <w:p w14:paraId="5F24FA1D" w14:textId="77777777" w:rsidR="006756F7" w:rsidRDefault="006756F7" w:rsidP="000D57E8">
      <w:pPr>
        <w:pStyle w:val="DeptHeading2"/>
        <w:numPr>
          <w:ilvl w:val="1"/>
          <w:numId w:val="11"/>
        </w:numPr>
        <w:ind w:left="284" w:hanging="284"/>
        <w:rPr>
          <w:sz w:val="28"/>
          <w:szCs w:val="24"/>
        </w:rPr>
      </w:pPr>
      <w:bookmarkStart w:id="137" w:name="_Toc413139585"/>
      <w:r>
        <w:rPr>
          <w:sz w:val="28"/>
          <w:szCs w:val="24"/>
        </w:rPr>
        <w:t>Costs of implementation</w:t>
      </w:r>
      <w:bookmarkEnd w:id="137"/>
    </w:p>
    <w:p w14:paraId="289C04D3" w14:textId="77777777" w:rsidR="001B5827" w:rsidRDefault="001B5827" w:rsidP="00F8656F">
      <w:pPr>
        <w:pStyle w:val="DeptBodytext"/>
      </w:pPr>
      <w:r>
        <w:t>The intention of the proposed changes is to simplify / streamline administration of spectrum regulatory arrangements. Cost of regulation is therefore expected to decline</w:t>
      </w:r>
      <w:r w:rsidR="00B90F79">
        <w:t xml:space="preserve"> over time</w:t>
      </w:r>
      <w:r>
        <w:t xml:space="preserve"> although timing of this</w:t>
      </w:r>
      <w:r w:rsidR="00B90F79">
        <w:t>,</w:t>
      </w:r>
      <w:r>
        <w:t xml:space="preserve"> including provision for any transitional costs</w:t>
      </w:r>
      <w:r w:rsidR="00B90F79">
        <w:t>,</w:t>
      </w:r>
      <w:r>
        <w:t xml:space="preserve"> </w:t>
      </w:r>
      <w:r w:rsidR="003F4F7F">
        <w:t xml:space="preserve">would </w:t>
      </w:r>
      <w:r>
        <w:t xml:space="preserve">need to be assessed. It is proposed that this occur through normal </w:t>
      </w:r>
      <w:r w:rsidR="00AF3ECD">
        <w:t>G</w:t>
      </w:r>
      <w:r>
        <w:t xml:space="preserve">overnment budgetary processes. </w:t>
      </w:r>
    </w:p>
    <w:p w14:paraId="0471E7C6" w14:textId="77777777" w:rsidR="006756F7" w:rsidRDefault="007E4C23" w:rsidP="00F8656F">
      <w:pPr>
        <w:pStyle w:val="DeptBodytext"/>
      </w:pPr>
      <w:r>
        <w:t>T</w:t>
      </w:r>
      <w:r w:rsidR="006756F7">
        <w:t xml:space="preserve">he ACMA has </w:t>
      </w:r>
      <w:r w:rsidR="007932DF">
        <w:t>indicated a need for</w:t>
      </w:r>
      <w:r w:rsidR="006756F7">
        <w:t xml:space="preserve"> </w:t>
      </w:r>
      <w:r w:rsidR="001B5827">
        <w:t xml:space="preserve">transitional funding </w:t>
      </w:r>
      <w:r w:rsidR="006756F7">
        <w:t xml:space="preserve">to undertake work </w:t>
      </w:r>
      <w:r w:rsidR="001B5827">
        <w:t xml:space="preserve">such </w:t>
      </w:r>
      <w:r w:rsidR="006756F7">
        <w:t xml:space="preserve">as reviewing administrative instruments, implementing enhanced compliance and enforcement requirements, stakeholder engagement and developing systems and support for the single licensing </w:t>
      </w:r>
      <w:r w:rsidR="007A5368">
        <w:t>arrangements</w:t>
      </w:r>
      <w:r w:rsidR="00AC63C7">
        <w:t xml:space="preserve"> </w:t>
      </w:r>
      <w:r w:rsidR="006756F7">
        <w:t xml:space="preserve">and changes in charging and pricing. </w:t>
      </w:r>
    </w:p>
    <w:p w14:paraId="20D55798" w14:textId="77777777" w:rsidR="00FC1A1A" w:rsidRDefault="00FC1A1A" w:rsidP="00F8656F">
      <w:pPr>
        <w:pStyle w:val="DeptBodytext"/>
      </w:pPr>
    </w:p>
    <w:p w14:paraId="338E32B1" w14:textId="77777777" w:rsidR="006756F7" w:rsidRDefault="006756F7" w:rsidP="00F8656F">
      <w:pPr>
        <w:pStyle w:val="DeptBodytext"/>
      </w:pPr>
    </w:p>
    <w:p w14:paraId="713B8D49" w14:textId="77777777" w:rsidR="005B4314" w:rsidRDefault="00F03D4D" w:rsidP="000D57E8">
      <w:pPr>
        <w:pStyle w:val="DeptHeading2"/>
        <w:numPr>
          <w:ilvl w:val="0"/>
          <w:numId w:val="8"/>
        </w:numPr>
      </w:pPr>
      <w:r>
        <w:br w:type="column"/>
      </w:r>
      <w:bookmarkStart w:id="138" w:name="_Toc413139586"/>
      <w:r w:rsidR="005B4314">
        <w:lastRenderedPageBreak/>
        <w:t>Implementation</w:t>
      </w:r>
      <w:bookmarkEnd w:id="138"/>
      <w:r w:rsidR="00A62C68">
        <w:t xml:space="preserve"> </w:t>
      </w:r>
    </w:p>
    <w:p w14:paraId="14A81352" w14:textId="77777777" w:rsidR="00E74BED" w:rsidRPr="00236782" w:rsidRDefault="00E74BED" w:rsidP="00F8656F">
      <w:pPr>
        <w:pStyle w:val="DeptBodytext"/>
      </w:pPr>
      <w:r w:rsidRPr="00236782">
        <w:t xml:space="preserve">Were </w:t>
      </w:r>
      <w:r w:rsidR="001B5827">
        <w:t xml:space="preserve">Government </w:t>
      </w:r>
      <w:r w:rsidRPr="00236782">
        <w:t xml:space="preserve">policy approval to implement the proposed reforms </w:t>
      </w:r>
      <w:r w:rsidR="00900CD7">
        <w:t xml:space="preserve">to </w:t>
      </w:r>
      <w:r w:rsidRPr="00236782">
        <w:t>be announced by mid-2015</w:t>
      </w:r>
      <w:r w:rsidR="00900CD7">
        <w:t>,</w:t>
      </w:r>
      <w:r w:rsidRPr="00236782">
        <w:t xml:space="preserve"> the</w:t>
      </w:r>
      <w:r w:rsidR="001B5827">
        <w:t>n</w:t>
      </w:r>
      <w:r w:rsidRPr="00236782">
        <w:t xml:space="preserve"> </w:t>
      </w:r>
      <w:r w:rsidR="001B5827">
        <w:t xml:space="preserve">the </w:t>
      </w:r>
      <w:r w:rsidRPr="00236782">
        <w:t xml:space="preserve">broad activities and indicative timing for the major work streams to be completed by late 2016 are: </w:t>
      </w:r>
    </w:p>
    <w:p w14:paraId="0EF9F68D" w14:textId="77777777" w:rsidR="00E74BED" w:rsidRPr="00236782" w:rsidRDefault="00D3598B" w:rsidP="00697497">
      <w:pPr>
        <w:pStyle w:val="Deptbulletlist1"/>
      </w:pPr>
      <w:r>
        <w:t xml:space="preserve">1. </w:t>
      </w:r>
      <w:r w:rsidR="001B5827">
        <w:t>N</w:t>
      </w:r>
      <w:r w:rsidR="00E74BED" w:rsidRPr="00236782">
        <w:t xml:space="preserve">ew </w:t>
      </w:r>
      <w:r w:rsidR="001B5827">
        <w:t>legislation</w:t>
      </w:r>
      <w:r w:rsidR="00D971AC" w:rsidRPr="00236782">
        <w:t xml:space="preserve"> and related legislative changes</w:t>
      </w:r>
      <w:r w:rsidR="008520A8">
        <w:t>.</w:t>
      </w:r>
    </w:p>
    <w:p w14:paraId="267436D2" w14:textId="77777777" w:rsidR="00E74BED" w:rsidRPr="00D3598B" w:rsidRDefault="00E74BED" w:rsidP="00697497">
      <w:pPr>
        <w:pStyle w:val="Deptbulletlist1"/>
        <w:numPr>
          <w:ilvl w:val="0"/>
          <w:numId w:val="3"/>
        </w:numPr>
        <w:tabs>
          <w:tab w:val="clear" w:pos="0"/>
        </w:tabs>
        <w:ind w:left="709" w:hanging="425"/>
      </w:pPr>
      <w:r w:rsidRPr="00D3598B">
        <w:t>Detailed stakeholder consultation and development of draft legislative propo</w:t>
      </w:r>
      <w:r w:rsidR="008520A8">
        <w:t>sals </w:t>
      </w:r>
      <w:r w:rsidRPr="00D3598B">
        <w:t xml:space="preserve">– </w:t>
      </w:r>
      <w:r w:rsidR="001B5827" w:rsidRPr="00D3598B">
        <w:t xml:space="preserve">announcement </w:t>
      </w:r>
      <w:r w:rsidRPr="00D3598B">
        <w:t>to September 2015.</w:t>
      </w:r>
    </w:p>
    <w:p w14:paraId="5367E796" w14:textId="77777777" w:rsidR="00E74BED" w:rsidRPr="00D3598B" w:rsidRDefault="00E74BED" w:rsidP="00697497">
      <w:pPr>
        <w:pStyle w:val="Deptbulletlist1"/>
        <w:numPr>
          <w:ilvl w:val="0"/>
          <w:numId w:val="3"/>
        </w:numPr>
        <w:tabs>
          <w:tab w:val="clear" w:pos="0"/>
        </w:tabs>
        <w:ind w:left="709" w:hanging="425"/>
      </w:pPr>
      <w:r w:rsidRPr="00D3598B">
        <w:t>Release of consolidated legislative reform package – September 2015.</w:t>
      </w:r>
    </w:p>
    <w:p w14:paraId="542C4267" w14:textId="77777777" w:rsidR="00E74BED" w:rsidRPr="00D3598B" w:rsidRDefault="00E74BED" w:rsidP="00697497">
      <w:pPr>
        <w:pStyle w:val="Deptbulletlist1"/>
        <w:numPr>
          <w:ilvl w:val="0"/>
          <w:numId w:val="3"/>
        </w:numPr>
        <w:tabs>
          <w:tab w:val="clear" w:pos="0"/>
        </w:tabs>
        <w:ind w:left="709" w:hanging="425"/>
      </w:pPr>
      <w:r w:rsidRPr="00D3598B">
        <w:t>Passage of legislative package by early to mid-2016.</w:t>
      </w:r>
    </w:p>
    <w:p w14:paraId="40FC4C40" w14:textId="77777777" w:rsidR="00E74BED" w:rsidRPr="00236782" w:rsidRDefault="00D3598B" w:rsidP="00F8656F">
      <w:pPr>
        <w:pStyle w:val="DeptBodytext"/>
      </w:pPr>
      <w:r>
        <w:t xml:space="preserve">2. </w:t>
      </w:r>
      <w:r w:rsidR="00E74BED" w:rsidRPr="00236782">
        <w:t>Initial policy statements and subordinate regulation</w:t>
      </w:r>
      <w:r w:rsidR="008520A8">
        <w:t>.</w:t>
      </w:r>
    </w:p>
    <w:p w14:paraId="2A05FD22" w14:textId="77777777" w:rsidR="00E74BED" w:rsidRPr="00D3598B" w:rsidRDefault="00E74BED" w:rsidP="00D81B73">
      <w:pPr>
        <w:pStyle w:val="Deptbulletlist1"/>
        <w:numPr>
          <w:ilvl w:val="0"/>
          <w:numId w:val="30"/>
        </w:numPr>
      </w:pPr>
      <w:r w:rsidRPr="00D3598B">
        <w:t xml:space="preserve">Policy priorities and the development of the ACMA annual work </w:t>
      </w:r>
      <w:r w:rsidR="00BD718A" w:rsidRPr="00D3598B">
        <w:t>program</w:t>
      </w:r>
      <w:r w:rsidR="00697497">
        <w:t>.</w:t>
      </w:r>
    </w:p>
    <w:p w14:paraId="42CCB893" w14:textId="77777777" w:rsidR="00E74BED" w:rsidRPr="00697497" w:rsidRDefault="00E74BED" w:rsidP="00D81B73">
      <w:pPr>
        <w:pStyle w:val="Deptbulletlist1"/>
        <w:numPr>
          <w:ilvl w:val="0"/>
          <w:numId w:val="31"/>
        </w:numPr>
        <w:ind w:left="1134" w:hanging="425"/>
      </w:pPr>
      <w:r w:rsidRPr="00697497">
        <w:t>Consultation on scope and detail of policy statement – mid to late 2015.</w:t>
      </w:r>
    </w:p>
    <w:p w14:paraId="42D1B439" w14:textId="77777777" w:rsidR="00E74BED" w:rsidRPr="00697497" w:rsidRDefault="00E74BED" w:rsidP="00D81B73">
      <w:pPr>
        <w:pStyle w:val="Deptbulletlist1"/>
        <w:numPr>
          <w:ilvl w:val="0"/>
          <w:numId w:val="31"/>
        </w:numPr>
        <w:ind w:left="1134" w:hanging="425"/>
      </w:pPr>
      <w:r w:rsidRPr="00697497">
        <w:t>Release of policy statement – following passage of legislative package.</w:t>
      </w:r>
    </w:p>
    <w:p w14:paraId="01FBB9DD" w14:textId="77777777" w:rsidR="00E74BED" w:rsidRPr="00697497" w:rsidRDefault="00E74BED" w:rsidP="00D81B73">
      <w:pPr>
        <w:pStyle w:val="Deptbulletlist1"/>
        <w:numPr>
          <w:ilvl w:val="0"/>
          <w:numId w:val="31"/>
        </w:numPr>
        <w:ind w:left="1134" w:hanging="425"/>
      </w:pPr>
      <w:r w:rsidRPr="00697497">
        <w:t xml:space="preserve">ACMA commences formal consultation on draft annual work </w:t>
      </w:r>
      <w:r w:rsidR="00BD718A" w:rsidRPr="00697497">
        <w:t>program</w:t>
      </w:r>
      <w:r w:rsidRPr="00697497">
        <w:t>, including transition arrangements – mid-2016</w:t>
      </w:r>
      <w:r w:rsidR="00D971AC" w:rsidRPr="00697497">
        <w:t>.</w:t>
      </w:r>
    </w:p>
    <w:p w14:paraId="31160DE1" w14:textId="77777777" w:rsidR="00E74BED" w:rsidRPr="00697497" w:rsidRDefault="00E74BED" w:rsidP="00D81B73">
      <w:pPr>
        <w:pStyle w:val="Deptbulletlist1"/>
        <w:numPr>
          <w:ilvl w:val="0"/>
          <w:numId w:val="31"/>
        </w:numPr>
        <w:ind w:left="1134" w:hanging="425"/>
      </w:pPr>
      <w:r w:rsidRPr="00697497">
        <w:t xml:space="preserve">First annual work </w:t>
      </w:r>
      <w:r w:rsidR="00BD718A" w:rsidRPr="00697497">
        <w:t>program</w:t>
      </w:r>
      <w:r w:rsidRPr="00697497">
        <w:t xml:space="preserve"> finalised – mid-2016</w:t>
      </w:r>
      <w:r w:rsidR="00D971AC" w:rsidRPr="00697497">
        <w:t>.</w:t>
      </w:r>
    </w:p>
    <w:p w14:paraId="361F4C3B" w14:textId="77777777" w:rsidR="00E74BED" w:rsidRPr="00697497" w:rsidRDefault="00E74BED" w:rsidP="00D81B73">
      <w:pPr>
        <w:pStyle w:val="Deptbulletlist1"/>
        <w:numPr>
          <w:ilvl w:val="0"/>
          <w:numId w:val="31"/>
        </w:numPr>
        <w:ind w:left="1134" w:hanging="425"/>
      </w:pPr>
      <w:r w:rsidRPr="00697497">
        <w:t>Single licen</w:t>
      </w:r>
      <w:r w:rsidR="00477349" w:rsidRPr="00697497">
        <w:t>s</w:t>
      </w:r>
      <w:r w:rsidRPr="00697497">
        <w:t xml:space="preserve">ing </w:t>
      </w:r>
      <w:r w:rsidR="00D971AC" w:rsidRPr="00697497">
        <w:t>system:</w:t>
      </w:r>
    </w:p>
    <w:p w14:paraId="69BC3598" w14:textId="77777777" w:rsidR="009A0622" w:rsidRPr="00697497" w:rsidRDefault="009A0622" w:rsidP="00D81B73">
      <w:pPr>
        <w:pStyle w:val="Deptbulletlist1"/>
        <w:numPr>
          <w:ilvl w:val="0"/>
          <w:numId w:val="32"/>
        </w:numPr>
      </w:pPr>
      <w:r w:rsidRPr="00697497">
        <w:t xml:space="preserve">Initial examples of model licences prepared for release with exposure draft of legislation – </w:t>
      </w:r>
      <w:r w:rsidR="00B90F79" w:rsidRPr="00697497">
        <w:t xml:space="preserve">from </w:t>
      </w:r>
      <w:r w:rsidRPr="00697497">
        <w:t>mid-</w:t>
      </w:r>
      <w:r w:rsidR="00B90F79" w:rsidRPr="00697497">
        <w:t>2015</w:t>
      </w:r>
      <w:r w:rsidR="008520A8">
        <w:t>.</w:t>
      </w:r>
    </w:p>
    <w:p w14:paraId="7460F0F7" w14:textId="77777777" w:rsidR="00E74BED" w:rsidRPr="00697497" w:rsidRDefault="00D971AC" w:rsidP="00D81B73">
      <w:pPr>
        <w:pStyle w:val="Deptbulletlist1"/>
        <w:numPr>
          <w:ilvl w:val="0"/>
          <w:numId w:val="32"/>
        </w:numPr>
      </w:pPr>
      <w:r w:rsidRPr="00697497">
        <w:t>C</w:t>
      </w:r>
      <w:r w:rsidR="00E74BED" w:rsidRPr="00697497">
        <w:t>onsultation on the detail of the single licen</w:t>
      </w:r>
      <w:r w:rsidR="00477349" w:rsidRPr="00697497">
        <w:t>s</w:t>
      </w:r>
      <w:r w:rsidR="00E74BED" w:rsidRPr="00697497">
        <w:t xml:space="preserve">ing </w:t>
      </w:r>
      <w:r w:rsidRPr="00697497">
        <w:t>system</w:t>
      </w:r>
      <w:r w:rsidR="00E74BED" w:rsidRPr="00697497">
        <w:t xml:space="preserve"> – mid-2015 to early</w:t>
      </w:r>
      <w:r w:rsidRPr="00697497">
        <w:t xml:space="preserve"> 2016.</w:t>
      </w:r>
    </w:p>
    <w:p w14:paraId="46093163" w14:textId="77777777" w:rsidR="00E74BED" w:rsidRPr="00697497" w:rsidRDefault="00E74BED" w:rsidP="00D81B73">
      <w:pPr>
        <w:pStyle w:val="Deptbulletlist1"/>
        <w:numPr>
          <w:ilvl w:val="0"/>
          <w:numId w:val="32"/>
        </w:numPr>
      </w:pPr>
      <w:r w:rsidRPr="00697497">
        <w:t>Release of policy statement – followin</w:t>
      </w:r>
      <w:r w:rsidR="00D971AC" w:rsidRPr="00697497">
        <w:t xml:space="preserve">g passage of legislative </w:t>
      </w:r>
      <w:r w:rsidRPr="00697497">
        <w:t>package</w:t>
      </w:r>
      <w:r w:rsidR="00D971AC" w:rsidRPr="00697497">
        <w:t>.</w:t>
      </w:r>
    </w:p>
    <w:p w14:paraId="69B86DF7" w14:textId="77777777" w:rsidR="00E74BED" w:rsidRPr="00697497" w:rsidRDefault="00E74BED" w:rsidP="00D81B73">
      <w:pPr>
        <w:pStyle w:val="Deptbulletlist1"/>
        <w:numPr>
          <w:ilvl w:val="0"/>
          <w:numId w:val="32"/>
        </w:numPr>
      </w:pPr>
      <w:r w:rsidRPr="00697497">
        <w:t>ACMA commences formal c</w:t>
      </w:r>
      <w:r w:rsidR="00D971AC" w:rsidRPr="00697497">
        <w:t>onsultation on draft licen</w:t>
      </w:r>
      <w:r w:rsidR="00477349" w:rsidRPr="00697497">
        <w:t>s</w:t>
      </w:r>
      <w:r w:rsidR="00D971AC" w:rsidRPr="00697497">
        <w:t>ing option</w:t>
      </w:r>
      <w:r w:rsidRPr="00697497">
        <w:t>s – mid-2016.</w:t>
      </w:r>
    </w:p>
    <w:p w14:paraId="635F961D" w14:textId="77777777" w:rsidR="00E74BED" w:rsidRPr="00697497" w:rsidRDefault="00E74BED" w:rsidP="00D81B73">
      <w:pPr>
        <w:pStyle w:val="Deptbulletlist1"/>
        <w:numPr>
          <w:ilvl w:val="0"/>
          <w:numId w:val="32"/>
        </w:numPr>
      </w:pPr>
      <w:r w:rsidRPr="00697497">
        <w:t>ACMA commence progressive implementation of new licen</w:t>
      </w:r>
      <w:r w:rsidR="00477349" w:rsidRPr="00697497">
        <w:t>s</w:t>
      </w:r>
      <w:r w:rsidRPr="00697497">
        <w:t xml:space="preserve">ing </w:t>
      </w:r>
      <w:r w:rsidR="00D971AC" w:rsidRPr="00697497">
        <w:t>system</w:t>
      </w:r>
      <w:r w:rsidRPr="00697497">
        <w:t xml:space="preserve"> – late 2016.</w:t>
      </w:r>
    </w:p>
    <w:p w14:paraId="650EBA43" w14:textId="77777777" w:rsidR="00E74BED" w:rsidRPr="00236782" w:rsidRDefault="00E74BED" w:rsidP="00D81B73">
      <w:pPr>
        <w:pStyle w:val="Deptbulletlist1"/>
        <w:numPr>
          <w:ilvl w:val="0"/>
          <w:numId w:val="30"/>
        </w:numPr>
      </w:pPr>
      <w:r w:rsidRPr="00697497">
        <w:t xml:space="preserve">Further measures to fully operationalise the new framework including </w:t>
      </w:r>
      <w:r w:rsidR="00D971AC" w:rsidRPr="00697497">
        <w:t xml:space="preserve">allocation and reallocation processes, </w:t>
      </w:r>
      <w:r w:rsidRPr="00697497">
        <w:t>technical regulation and compliance and enforcement measures to take place during the course of 2016 and 2017.</w:t>
      </w:r>
    </w:p>
    <w:p w14:paraId="010C937B" w14:textId="77777777" w:rsidR="00E74BED" w:rsidRPr="00236782" w:rsidRDefault="00D3598B" w:rsidP="00F8656F">
      <w:pPr>
        <w:pStyle w:val="DeptBodytext"/>
      </w:pPr>
      <w:r>
        <w:t xml:space="preserve">3. </w:t>
      </w:r>
      <w:r w:rsidR="00697497">
        <w:t>Review of pricing arrangements.</w:t>
      </w:r>
    </w:p>
    <w:p w14:paraId="5A8281D1" w14:textId="77777777" w:rsidR="00E74BED" w:rsidRPr="00D3598B" w:rsidRDefault="00E74BED" w:rsidP="00D3598B">
      <w:pPr>
        <w:pStyle w:val="Deptbulletlist1"/>
        <w:numPr>
          <w:ilvl w:val="0"/>
          <w:numId w:val="3"/>
        </w:numPr>
        <w:ind w:left="357" w:hanging="357"/>
      </w:pPr>
      <w:r w:rsidRPr="00D3598B">
        <w:t xml:space="preserve">Consultation and preparation of report on revised arrangements – mid-2015 to </w:t>
      </w:r>
      <w:r w:rsidR="008A419E">
        <w:t>late 2015</w:t>
      </w:r>
      <w:r w:rsidR="005A39FF">
        <w:t>.</w:t>
      </w:r>
    </w:p>
    <w:p w14:paraId="5BBB083D" w14:textId="77777777" w:rsidR="00F03D4D" w:rsidRDefault="00E74BED" w:rsidP="00B03653">
      <w:pPr>
        <w:pStyle w:val="Deptbulletlist1"/>
        <w:numPr>
          <w:ilvl w:val="0"/>
          <w:numId w:val="3"/>
        </w:numPr>
        <w:ind w:left="357" w:hanging="357"/>
      </w:pPr>
      <w:r w:rsidRPr="00D3598B">
        <w:t xml:space="preserve">Outcomes to inform implementation of draft licensing </w:t>
      </w:r>
      <w:r w:rsidR="00D971AC" w:rsidRPr="00D3598B">
        <w:t>option</w:t>
      </w:r>
      <w:r w:rsidRPr="00D3598B">
        <w:t xml:space="preserve">s – </w:t>
      </w:r>
      <w:r w:rsidR="008A419E">
        <w:t>mid</w:t>
      </w:r>
      <w:r w:rsidRPr="00D3598B">
        <w:t>-2016 onwards.</w:t>
      </w:r>
    </w:p>
    <w:p w14:paraId="3138053F" w14:textId="77777777" w:rsidR="00825EFE" w:rsidRDefault="00F03D4D" w:rsidP="00825EFE">
      <w:pPr>
        <w:pStyle w:val="DeptHeading2"/>
        <w:ind w:left="0" w:firstLine="0"/>
      </w:pPr>
      <w:r>
        <w:br w:type="column"/>
      </w:r>
      <w:bookmarkStart w:id="139" w:name="_Toc412814576"/>
      <w:bookmarkStart w:id="140" w:name="_Toc413136158"/>
      <w:bookmarkStart w:id="141" w:name="_Toc413139587"/>
      <w:r w:rsidR="005B4314">
        <w:lastRenderedPageBreak/>
        <w:t>Attachments</w:t>
      </w:r>
      <w:bookmarkEnd w:id="139"/>
      <w:bookmarkEnd w:id="140"/>
      <w:bookmarkEnd w:id="141"/>
    </w:p>
    <w:p w14:paraId="4D2E09BE" w14:textId="77777777" w:rsidR="00F03D4D" w:rsidRDefault="00351CCE" w:rsidP="000D57E8">
      <w:pPr>
        <w:pStyle w:val="DeptHeading3"/>
        <w:numPr>
          <w:ilvl w:val="0"/>
          <w:numId w:val="9"/>
        </w:numPr>
      </w:pPr>
      <w:r>
        <w:t>S</w:t>
      </w:r>
      <w:r w:rsidR="002E5C4D">
        <w:t>pectrum review process</w:t>
      </w:r>
    </w:p>
    <w:p w14:paraId="7A389F47" w14:textId="77777777" w:rsidR="00A62C68" w:rsidRDefault="00351CCE" w:rsidP="000D57E8">
      <w:pPr>
        <w:pStyle w:val="DeptHeading3"/>
        <w:numPr>
          <w:ilvl w:val="0"/>
          <w:numId w:val="9"/>
        </w:numPr>
      </w:pPr>
      <w:r>
        <w:t>C</w:t>
      </w:r>
      <w:r w:rsidR="00A62C68" w:rsidRPr="000D38F0">
        <w:t>urrent spectrum management framework</w:t>
      </w:r>
    </w:p>
    <w:p w14:paraId="69435E27" w14:textId="77777777" w:rsidR="00BF11F6" w:rsidRPr="000D38F0" w:rsidRDefault="00351CCE" w:rsidP="000D57E8">
      <w:pPr>
        <w:pStyle w:val="DeptHeading3"/>
        <w:numPr>
          <w:ilvl w:val="0"/>
          <w:numId w:val="9"/>
        </w:numPr>
      </w:pPr>
      <w:r>
        <w:t>C</w:t>
      </w:r>
      <w:r w:rsidR="00BF11F6">
        <w:t>urrent spectrum reallocation process</w:t>
      </w:r>
    </w:p>
    <w:p w14:paraId="587FE5A5" w14:textId="77777777" w:rsidR="00F03D4D" w:rsidRPr="00825EFE" w:rsidRDefault="00F03D4D" w:rsidP="00825EFE">
      <w:pPr>
        <w:pStyle w:val="DeptHeading2"/>
        <w:ind w:left="0" w:firstLine="0"/>
      </w:pPr>
    </w:p>
    <w:p w14:paraId="3D99BEDD" w14:textId="77777777" w:rsidR="00825EFE" w:rsidRPr="00825EFE" w:rsidRDefault="00825EFE" w:rsidP="00825EFE">
      <w:pPr>
        <w:ind w:left="432"/>
      </w:pPr>
    </w:p>
    <w:p w14:paraId="4E3BE88B" w14:textId="77777777" w:rsidR="00825EFE" w:rsidRDefault="00825EFE" w:rsidP="00825EFE"/>
    <w:p w14:paraId="6B55088A" w14:textId="77777777" w:rsidR="00F03D4D" w:rsidRDefault="00F03D4D" w:rsidP="00825EFE"/>
    <w:p w14:paraId="3835937D" w14:textId="77777777" w:rsidR="00F03D4D" w:rsidRDefault="00F03D4D" w:rsidP="00825EFE"/>
    <w:p w14:paraId="7A67F7E6" w14:textId="77777777" w:rsidR="00F03D4D" w:rsidRDefault="00F03D4D" w:rsidP="00825EFE"/>
    <w:p w14:paraId="019E3C6D" w14:textId="77777777" w:rsidR="00F03D4D" w:rsidRDefault="00F03D4D" w:rsidP="00825EFE"/>
    <w:p w14:paraId="2E80DD77" w14:textId="77777777" w:rsidR="00F03D4D" w:rsidRDefault="00F03D4D" w:rsidP="00825EFE"/>
    <w:p w14:paraId="20BCFD18" w14:textId="77777777" w:rsidR="00F03D4D" w:rsidRDefault="00F03D4D" w:rsidP="00825EFE"/>
    <w:p w14:paraId="0D463F0D" w14:textId="77777777" w:rsidR="00F03D4D" w:rsidRDefault="00F03D4D" w:rsidP="00825EFE"/>
    <w:p w14:paraId="5AED8FD4" w14:textId="77777777" w:rsidR="00F03D4D" w:rsidRDefault="00F03D4D" w:rsidP="00825EFE"/>
    <w:p w14:paraId="66B39FC0" w14:textId="77777777" w:rsidR="00F03D4D" w:rsidRDefault="00F03D4D" w:rsidP="00825EFE"/>
    <w:p w14:paraId="14048848" w14:textId="77777777" w:rsidR="00F03D4D" w:rsidRDefault="00F03D4D" w:rsidP="00825EFE"/>
    <w:p w14:paraId="0CECEB7B" w14:textId="77777777" w:rsidR="00F03D4D" w:rsidRDefault="00F03D4D" w:rsidP="00825EFE"/>
    <w:p w14:paraId="78127F6F" w14:textId="77777777" w:rsidR="00F03D4D" w:rsidRDefault="00F03D4D" w:rsidP="00825EFE"/>
    <w:p w14:paraId="78AFB68A" w14:textId="77777777" w:rsidR="00F03D4D" w:rsidRDefault="00F03D4D" w:rsidP="00825EFE"/>
    <w:p w14:paraId="07FAB7A9" w14:textId="77777777" w:rsidR="00F03D4D" w:rsidRDefault="00F03D4D" w:rsidP="00825EFE"/>
    <w:p w14:paraId="386474AF" w14:textId="77777777" w:rsidR="00F03D4D" w:rsidRDefault="00F03D4D" w:rsidP="00825EFE"/>
    <w:p w14:paraId="00DD3073" w14:textId="77777777" w:rsidR="00F03D4D" w:rsidRDefault="00F03D4D" w:rsidP="00825EFE"/>
    <w:p w14:paraId="40985B35" w14:textId="77777777" w:rsidR="00F03D4D" w:rsidRDefault="00F03D4D" w:rsidP="00825EFE"/>
    <w:p w14:paraId="2FEFD945" w14:textId="77777777" w:rsidR="00F03D4D" w:rsidRDefault="00F03D4D" w:rsidP="00825EFE"/>
    <w:p w14:paraId="1F6F0948" w14:textId="77777777" w:rsidR="00F03D4D" w:rsidRDefault="00F03D4D" w:rsidP="00825EFE"/>
    <w:p w14:paraId="01C3C123" w14:textId="77777777" w:rsidR="00F03D4D" w:rsidRDefault="00F03D4D" w:rsidP="00825EFE"/>
    <w:p w14:paraId="4DD5151C" w14:textId="77777777" w:rsidR="00F03D4D" w:rsidRDefault="00F03D4D" w:rsidP="00825EFE"/>
    <w:p w14:paraId="0297B243" w14:textId="77777777" w:rsidR="00F03D4D" w:rsidRDefault="00F03D4D" w:rsidP="00825EFE"/>
    <w:p w14:paraId="109E6BB7" w14:textId="77777777" w:rsidR="00F03D4D" w:rsidRDefault="00F03D4D" w:rsidP="00825EFE"/>
    <w:p w14:paraId="289707E0" w14:textId="77777777" w:rsidR="00F03D4D" w:rsidRDefault="00F03D4D" w:rsidP="00825EFE"/>
    <w:p w14:paraId="4515F64A" w14:textId="77777777" w:rsidR="00F03D4D" w:rsidRDefault="00F03D4D" w:rsidP="00825EFE"/>
    <w:p w14:paraId="76964D85" w14:textId="77777777" w:rsidR="00F03D4D" w:rsidRDefault="00F03D4D" w:rsidP="00825EFE"/>
    <w:p w14:paraId="7F28E2F2" w14:textId="77777777" w:rsidR="00F03D4D" w:rsidRDefault="00F03D4D" w:rsidP="00825EFE"/>
    <w:p w14:paraId="5E975307" w14:textId="77777777" w:rsidR="00F03D4D" w:rsidRDefault="00F03D4D" w:rsidP="00825EFE"/>
    <w:p w14:paraId="6E5909C8" w14:textId="77777777" w:rsidR="00F03D4D" w:rsidRDefault="00F03D4D" w:rsidP="00825EFE"/>
    <w:p w14:paraId="68D9407B" w14:textId="77777777" w:rsidR="00F03D4D" w:rsidRDefault="00F03D4D" w:rsidP="00825EFE"/>
    <w:p w14:paraId="718B8E37" w14:textId="77777777" w:rsidR="00F03D4D" w:rsidRDefault="00F03D4D" w:rsidP="00825EFE"/>
    <w:p w14:paraId="11DBC487" w14:textId="77777777" w:rsidR="00F03D4D" w:rsidRDefault="00F03D4D" w:rsidP="00825EFE"/>
    <w:p w14:paraId="370F1BED" w14:textId="77777777" w:rsidR="00F03D4D" w:rsidRPr="00825EFE" w:rsidRDefault="00F03D4D" w:rsidP="00825EFE"/>
    <w:p w14:paraId="59AF255E" w14:textId="77777777" w:rsidR="001A585E" w:rsidRDefault="001A585E" w:rsidP="001A585E">
      <w:pPr>
        <w:pStyle w:val="DeptHeading1"/>
        <w:spacing w:before="0" w:after="240"/>
      </w:pPr>
      <w:bookmarkStart w:id="142" w:name="_Toc413139588"/>
      <w:r>
        <w:lastRenderedPageBreak/>
        <w:t>Attachment A</w:t>
      </w:r>
      <w:bookmarkEnd w:id="142"/>
    </w:p>
    <w:p w14:paraId="2F3971EC" w14:textId="77777777" w:rsidR="001A585E" w:rsidRPr="00FD41F0" w:rsidRDefault="00351CCE" w:rsidP="001A585E">
      <w:pPr>
        <w:pStyle w:val="DeptHeading2"/>
        <w:spacing w:before="0" w:after="240"/>
      </w:pPr>
      <w:bookmarkStart w:id="143" w:name="_Toc413139589"/>
      <w:r>
        <w:t>S</w:t>
      </w:r>
      <w:r w:rsidR="001A585E">
        <w:t xml:space="preserve">pectrum </w:t>
      </w:r>
      <w:r w:rsidR="00244E10">
        <w:t>r</w:t>
      </w:r>
      <w:r w:rsidR="001A585E">
        <w:t>eview process</w:t>
      </w:r>
      <w:bookmarkEnd w:id="143"/>
    </w:p>
    <w:p w14:paraId="49D43E5B" w14:textId="77777777" w:rsidR="001A585E" w:rsidRPr="00FD41F0" w:rsidRDefault="001A585E" w:rsidP="001A585E">
      <w:pPr>
        <w:pStyle w:val="DeptHeading3"/>
        <w:spacing w:before="0" w:after="240"/>
      </w:pPr>
      <w:r w:rsidRPr="00FD41F0">
        <w:t>Overview</w:t>
      </w:r>
    </w:p>
    <w:p w14:paraId="6E68F7CE" w14:textId="77777777" w:rsidR="001A585E" w:rsidRDefault="001A585E" w:rsidP="00F8656F">
      <w:pPr>
        <w:pStyle w:val="DeptBodytext"/>
      </w:pPr>
      <w:r w:rsidRPr="00FD41F0">
        <w:t>The Department undertook extensive consultation during th</w:t>
      </w:r>
      <w:r w:rsidR="001B5827">
        <w:t xml:space="preserve">is </w:t>
      </w:r>
      <w:r w:rsidR="00244E10">
        <w:t>r</w:t>
      </w:r>
      <w:r w:rsidRPr="00FD41F0">
        <w:t xml:space="preserve">eview. This included the release of two discussion papers to which over 80 submissions were received, over 40 meetings with industry, </w:t>
      </w:r>
      <w:r w:rsidR="00244E10">
        <w:t>G</w:t>
      </w:r>
      <w:r w:rsidRPr="00FD41F0">
        <w:t xml:space="preserve">overnment and community stakeholders – both bilaterally and in focus groups – and conducting a stakeholder workshop with over 100 attendees. </w:t>
      </w:r>
    </w:p>
    <w:p w14:paraId="4BF7965E" w14:textId="77777777" w:rsidR="001A585E" w:rsidRPr="00FD41F0" w:rsidRDefault="001A585E" w:rsidP="00F8656F">
      <w:pPr>
        <w:pStyle w:val="DeptBodytext"/>
      </w:pPr>
      <w:r w:rsidRPr="00FD41F0">
        <w:t>Each of these consultation activities and key outcomes are outlined further below.</w:t>
      </w:r>
    </w:p>
    <w:p w14:paraId="745069CA" w14:textId="77777777" w:rsidR="001A585E" w:rsidRPr="00FD41F0" w:rsidRDefault="001A585E" w:rsidP="001A585E">
      <w:pPr>
        <w:pStyle w:val="DeptHeading3"/>
        <w:spacing w:before="0" w:after="240"/>
      </w:pPr>
      <w:r w:rsidRPr="00FD41F0">
        <w:t>Issues Paper</w:t>
      </w:r>
    </w:p>
    <w:p w14:paraId="4BF75BD3" w14:textId="77777777" w:rsidR="001A585E" w:rsidRPr="00FD41F0" w:rsidRDefault="001A585E" w:rsidP="00F8656F">
      <w:pPr>
        <w:pStyle w:val="DeptBodytext"/>
      </w:pPr>
      <w:r w:rsidRPr="00FD41F0">
        <w:t xml:space="preserve">On 23 May 2014, the Minister announced the </w:t>
      </w:r>
      <w:r w:rsidR="00244E10">
        <w:t>r</w:t>
      </w:r>
      <w:r w:rsidRPr="00FD41F0">
        <w:t xml:space="preserve">eview. At the same time an issues paper </w:t>
      </w:r>
      <w:r>
        <w:t xml:space="preserve">was released </w:t>
      </w:r>
      <w:r w:rsidRPr="00FD41F0">
        <w:t xml:space="preserve">which outlined the terms of reference for the review and discussed their broader context. </w:t>
      </w:r>
    </w:p>
    <w:p w14:paraId="6B8A87CA" w14:textId="77777777" w:rsidR="001A585E" w:rsidRPr="00FD41F0" w:rsidRDefault="001A585E" w:rsidP="00F8656F">
      <w:pPr>
        <w:pStyle w:val="DeptBodytext"/>
      </w:pPr>
      <w:r w:rsidRPr="00FD41F0">
        <w:t xml:space="preserve">The Department received a total of 38 submissions to the issues paper, of which 35 were published on the Department’s website. The remaining three were confidential. </w:t>
      </w:r>
    </w:p>
    <w:p w14:paraId="3C883DEE" w14:textId="77777777" w:rsidR="001A585E" w:rsidRPr="00FD41F0" w:rsidRDefault="001A585E" w:rsidP="001A585E">
      <w:pPr>
        <w:pStyle w:val="DeptHeading3"/>
        <w:spacing w:before="0" w:after="240"/>
      </w:pPr>
      <w:r w:rsidRPr="00FD41F0">
        <w:t>Consultation</w:t>
      </w:r>
      <w:r>
        <w:t xml:space="preserve"> on the Issues Paper</w:t>
      </w:r>
      <w:r w:rsidRPr="00FD41F0">
        <w:t xml:space="preserve"> – individual and group meetings</w:t>
      </w:r>
    </w:p>
    <w:p w14:paraId="51BC9C84" w14:textId="77777777" w:rsidR="001A585E" w:rsidRPr="00FD41F0" w:rsidRDefault="001A585E" w:rsidP="00F8656F">
      <w:pPr>
        <w:pStyle w:val="DeptBodytext"/>
      </w:pPr>
      <w:r w:rsidRPr="00FD41F0">
        <w:t>The Department consulted with over 30 stakeholder</w:t>
      </w:r>
      <w:r>
        <w:t>s</w:t>
      </w:r>
      <w:r w:rsidRPr="00FD41F0">
        <w:t xml:space="preserve"> either on an individual basis or in group meetings. These discussions allowed the stakeholders to highlight concerns and offer proposals regarding the direction and scope of the review. </w:t>
      </w:r>
    </w:p>
    <w:p w14:paraId="4BCD519D" w14:textId="77777777" w:rsidR="00EB41C6" w:rsidRPr="0064646A" w:rsidRDefault="00EB41C6" w:rsidP="00EB41C6">
      <w:pPr>
        <w:pStyle w:val="DeptHeading2"/>
        <w:ind w:left="0" w:firstLine="0"/>
        <w:rPr>
          <w:rFonts w:eastAsia="MS Gothic"/>
          <w:b/>
          <w:i/>
          <w:iCs/>
          <w:color w:val="4F81BD"/>
          <w:sz w:val="24"/>
          <w:szCs w:val="24"/>
        </w:rPr>
      </w:pPr>
      <w:bookmarkStart w:id="144" w:name="_Toc412214260"/>
      <w:bookmarkStart w:id="145" w:name="_Toc412814579"/>
      <w:bookmarkStart w:id="146" w:name="_Toc413136161"/>
      <w:bookmarkStart w:id="147" w:name="_Toc413139590"/>
      <w:r>
        <w:rPr>
          <w:rFonts w:eastAsia="MS Gothic"/>
          <w:b/>
          <w:i/>
          <w:iCs/>
          <w:color w:val="4F81BD"/>
          <w:sz w:val="24"/>
          <w:szCs w:val="24"/>
        </w:rPr>
        <w:t>Industry groups and associations</w:t>
      </w:r>
      <w:bookmarkEnd w:id="144"/>
      <w:bookmarkEnd w:id="145"/>
      <w:bookmarkEnd w:id="146"/>
      <w:bookmarkEnd w:id="147"/>
    </w:p>
    <w:p w14:paraId="1EC0CFD3" w14:textId="77777777" w:rsidR="00EB41C6" w:rsidRDefault="00EB41C6" w:rsidP="00F8656F">
      <w:pPr>
        <w:pStyle w:val="DeptBodytext"/>
      </w:pPr>
      <w:r>
        <w:t>The Department held individual meetings with over 15 key industry stakeholders, including:</w:t>
      </w:r>
    </w:p>
    <w:p w14:paraId="65F198AF" w14:textId="77777777" w:rsidR="00EB41C6" w:rsidRDefault="00EB41C6" w:rsidP="00EB41C6">
      <w:pPr>
        <w:pStyle w:val="Deptbulletlist1"/>
        <w:numPr>
          <w:ilvl w:val="0"/>
          <w:numId w:val="3"/>
        </w:numPr>
        <w:spacing w:after="240"/>
        <w:ind w:left="357" w:hanging="357"/>
      </w:pPr>
      <w:r w:rsidRPr="0026669A">
        <w:t>telecommunications companies (Telstra, Optus, Vodafone, the Communications Alliance and the Australian Mobile Telecommunications Association</w:t>
      </w:r>
      <w:r>
        <w:t>)</w:t>
      </w:r>
    </w:p>
    <w:p w14:paraId="007B52E9" w14:textId="77777777" w:rsidR="00EB41C6" w:rsidRDefault="00EB41C6" w:rsidP="00EB41C6">
      <w:pPr>
        <w:pStyle w:val="Deptbulletlist1"/>
        <w:numPr>
          <w:ilvl w:val="0"/>
          <w:numId w:val="3"/>
        </w:numPr>
        <w:spacing w:after="240"/>
        <w:ind w:left="357" w:hanging="357"/>
      </w:pPr>
      <w:r w:rsidRPr="0026669A">
        <w:t>broadcasters (Free TV Australia</w:t>
      </w:r>
      <w:r w:rsidR="00AD62AF">
        <w:t xml:space="preserve">, </w:t>
      </w:r>
      <w:r w:rsidRPr="0026669A">
        <w:t>all three commercial broadcasters, the ABC and SBS, the Australian Subscription Television and Radio Association and Commercial Radio Australia)</w:t>
      </w:r>
    </w:p>
    <w:p w14:paraId="16286640" w14:textId="77777777" w:rsidR="00EB41C6" w:rsidRDefault="00EB41C6" w:rsidP="00EB41C6">
      <w:pPr>
        <w:pStyle w:val="Deptbulletlist1"/>
        <w:numPr>
          <w:ilvl w:val="0"/>
          <w:numId w:val="3"/>
        </w:numPr>
        <w:spacing w:before="120" w:after="120"/>
        <w:ind w:left="357" w:hanging="357"/>
      </w:pPr>
      <w:r>
        <w:t xml:space="preserve">specific service providers </w:t>
      </w:r>
      <w:r w:rsidRPr="0026669A">
        <w:t>(</w:t>
      </w:r>
      <w:r>
        <w:t>Australian Commercial and Entertainment Technologies Association, Australian Radio Communications Industry Association, Broadcast Australia, Satellite Industry Association of Australia, and the Wireless Institute of Australia).</w:t>
      </w:r>
    </w:p>
    <w:p w14:paraId="26E7622B" w14:textId="77777777" w:rsidR="00EB41C6" w:rsidRPr="00FD41F0" w:rsidRDefault="00EB41C6" w:rsidP="00EB41C6">
      <w:pPr>
        <w:pStyle w:val="Deptbulletlist1"/>
        <w:spacing w:before="120" w:after="120"/>
      </w:pPr>
      <w:r>
        <w:t xml:space="preserve">Most of these </w:t>
      </w:r>
      <w:r w:rsidR="0028573E">
        <w:t xml:space="preserve">stakeholders </w:t>
      </w:r>
      <w:r>
        <w:t>were involved in subsequent engagement activities (such as the Workshop) and made submissions to the review.</w:t>
      </w:r>
    </w:p>
    <w:p w14:paraId="15ADE474" w14:textId="77777777" w:rsidR="001A585E" w:rsidRPr="0064646A" w:rsidRDefault="001A585E" w:rsidP="0064646A">
      <w:pPr>
        <w:pStyle w:val="DeptHeading2"/>
        <w:ind w:left="0" w:firstLine="0"/>
        <w:rPr>
          <w:rFonts w:eastAsia="MS Gothic"/>
          <w:b/>
          <w:i/>
          <w:iCs/>
          <w:color w:val="4F81BD"/>
          <w:sz w:val="24"/>
          <w:szCs w:val="24"/>
        </w:rPr>
      </w:pPr>
      <w:bookmarkStart w:id="148" w:name="_Toc412214261"/>
      <w:bookmarkStart w:id="149" w:name="_Toc412814580"/>
      <w:bookmarkStart w:id="150" w:name="_Toc413136162"/>
      <w:bookmarkStart w:id="151" w:name="_Toc413139591"/>
      <w:r w:rsidRPr="0064646A">
        <w:rPr>
          <w:rFonts w:eastAsia="MS Gothic"/>
          <w:b/>
          <w:i/>
          <w:iCs/>
          <w:color w:val="4F81BD"/>
          <w:sz w:val="24"/>
          <w:szCs w:val="24"/>
        </w:rPr>
        <w:lastRenderedPageBreak/>
        <w:t>Interdepartmental Government Meetings</w:t>
      </w:r>
      <w:bookmarkEnd w:id="148"/>
      <w:bookmarkEnd w:id="149"/>
      <w:bookmarkEnd w:id="150"/>
      <w:bookmarkEnd w:id="151"/>
    </w:p>
    <w:p w14:paraId="4B21E349" w14:textId="77777777" w:rsidR="001A585E" w:rsidRPr="00FD41F0" w:rsidRDefault="001A585E" w:rsidP="00F8656F">
      <w:pPr>
        <w:pStyle w:val="DeptBodytext"/>
      </w:pPr>
      <w:r>
        <w:t>An</w:t>
      </w:r>
      <w:r w:rsidRPr="00FD41F0">
        <w:t xml:space="preserve"> </w:t>
      </w:r>
      <w:r>
        <w:t xml:space="preserve">interdepartmental </w:t>
      </w:r>
      <w:r w:rsidRPr="00FD41F0">
        <w:t>meeting</w:t>
      </w:r>
      <w:r>
        <w:t xml:space="preserve"> wa</w:t>
      </w:r>
      <w:r w:rsidRPr="00FD41F0">
        <w:t>s held in August 2014</w:t>
      </w:r>
      <w:r>
        <w:t xml:space="preserve"> which brought together 17 Australian Government agencies to discuss aspects of the </w:t>
      </w:r>
      <w:r w:rsidR="00244E10">
        <w:t>r</w:t>
      </w:r>
      <w:r>
        <w:t>eview.</w:t>
      </w:r>
    </w:p>
    <w:p w14:paraId="6E193EFF" w14:textId="77777777" w:rsidR="001A585E" w:rsidRPr="00FD41F0" w:rsidRDefault="001A585E" w:rsidP="00F8656F">
      <w:pPr>
        <w:pStyle w:val="DeptBodytext"/>
      </w:pPr>
      <w:r>
        <w:t>Separate m</w:t>
      </w:r>
      <w:r w:rsidRPr="00FD41F0">
        <w:t>eetings were also held with the central agencies</w:t>
      </w:r>
      <w:r>
        <w:t>: the Department of</w:t>
      </w:r>
      <w:r w:rsidRPr="00FD41F0">
        <w:t xml:space="preserve"> Prime Minister and Cabinet, the Treasury and </w:t>
      </w:r>
      <w:r>
        <w:t xml:space="preserve">the </w:t>
      </w:r>
      <w:r w:rsidRPr="00FD41F0">
        <w:t>Department of Finance.</w:t>
      </w:r>
      <w:r>
        <w:t xml:space="preserve"> </w:t>
      </w:r>
    </w:p>
    <w:p w14:paraId="5992AC21" w14:textId="77777777" w:rsidR="001A585E" w:rsidRPr="0064646A" w:rsidRDefault="001A585E" w:rsidP="0064646A">
      <w:pPr>
        <w:pStyle w:val="DeptHeading2"/>
        <w:ind w:left="0" w:firstLine="0"/>
        <w:rPr>
          <w:rFonts w:eastAsia="MS Gothic"/>
          <w:b/>
          <w:i/>
          <w:iCs/>
          <w:color w:val="4F81BD"/>
          <w:sz w:val="24"/>
          <w:szCs w:val="24"/>
        </w:rPr>
      </w:pPr>
      <w:bookmarkStart w:id="152" w:name="_Toc412214263"/>
      <w:bookmarkStart w:id="153" w:name="_Toc412814582"/>
      <w:bookmarkStart w:id="154" w:name="_Toc413136163"/>
      <w:bookmarkStart w:id="155" w:name="_Toc413139592"/>
      <w:r w:rsidRPr="0064646A">
        <w:rPr>
          <w:rFonts w:eastAsia="MS Gothic"/>
          <w:b/>
          <w:i/>
          <w:iCs/>
          <w:color w:val="4F81BD"/>
          <w:sz w:val="24"/>
          <w:szCs w:val="24"/>
        </w:rPr>
        <w:t>Scientific stakeholders</w:t>
      </w:r>
      <w:bookmarkEnd w:id="152"/>
      <w:bookmarkEnd w:id="153"/>
      <w:bookmarkEnd w:id="154"/>
      <w:bookmarkEnd w:id="155"/>
      <w:r w:rsidRPr="0064646A">
        <w:rPr>
          <w:rFonts w:eastAsia="MS Gothic"/>
          <w:b/>
          <w:i/>
          <w:iCs/>
          <w:color w:val="4F81BD"/>
          <w:sz w:val="24"/>
          <w:szCs w:val="24"/>
        </w:rPr>
        <w:t xml:space="preserve"> </w:t>
      </w:r>
    </w:p>
    <w:p w14:paraId="6AE2529D" w14:textId="77777777" w:rsidR="001A585E" w:rsidRPr="00FD41F0" w:rsidRDefault="001A585E" w:rsidP="00F8656F">
      <w:pPr>
        <w:pStyle w:val="DeptBodytext"/>
      </w:pPr>
      <w:r w:rsidRPr="00FD41F0">
        <w:t xml:space="preserve">Meetings were also held with scientific stakeholders </w:t>
      </w:r>
      <w:r>
        <w:t xml:space="preserve">from the </w:t>
      </w:r>
      <w:r w:rsidRPr="00FD41F0">
        <w:t>Australian Maritime Safety Authority</w:t>
      </w:r>
      <w:r>
        <w:t xml:space="preserve">, </w:t>
      </w:r>
      <w:r w:rsidRPr="00FD41F0">
        <w:t>Civil Aviation Safety Authority</w:t>
      </w:r>
      <w:r>
        <w:t xml:space="preserve">, </w:t>
      </w:r>
      <w:r w:rsidRPr="00FD41F0">
        <w:t>Department of Infrastructure and Regional Development, and</w:t>
      </w:r>
      <w:r>
        <w:t xml:space="preserve"> </w:t>
      </w:r>
      <w:r w:rsidRPr="00FD41F0">
        <w:t>Geoscience Australia.</w:t>
      </w:r>
      <w:r>
        <w:t xml:space="preserve"> </w:t>
      </w:r>
    </w:p>
    <w:p w14:paraId="07884F11" w14:textId="77777777" w:rsidR="001A585E" w:rsidRPr="00FD41F0" w:rsidRDefault="001A585E" w:rsidP="001A585E">
      <w:pPr>
        <w:pStyle w:val="DeptHeading3"/>
        <w:spacing w:before="0" w:after="240"/>
      </w:pPr>
      <w:r w:rsidRPr="00FD41F0">
        <w:t>Minister’s Keynote Address at the ACMA’s RadComms Conference 2014</w:t>
      </w:r>
    </w:p>
    <w:p w14:paraId="134E06BC" w14:textId="77777777" w:rsidR="001A585E" w:rsidRDefault="001A585E" w:rsidP="00F8656F">
      <w:pPr>
        <w:pStyle w:val="DeptBodytext"/>
      </w:pPr>
      <w:r w:rsidRPr="00FD41F0">
        <w:t xml:space="preserve">On 10 September 2014, the Minister provided a keynote address at the ACMA RadComms 2014 conference. </w:t>
      </w:r>
    </w:p>
    <w:p w14:paraId="33651FAE" w14:textId="77777777" w:rsidR="001A585E" w:rsidRPr="00FD41F0" w:rsidRDefault="001A585E" w:rsidP="00F8656F">
      <w:pPr>
        <w:pStyle w:val="DeptBodytext"/>
      </w:pPr>
      <w:r w:rsidRPr="00FD41F0">
        <w:t xml:space="preserve">This speech provided more context for the review and identified three areas of potential reform: </w:t>
      </w:r>
    </w:p>
    <w:p w14:paraId="497D37B1" w14:textId="77777777" w:rsidR="001A585E" w:rsidRPr="00244E10" w:rsidRDefault="001A585E" w:rsidP="00244E10">
      <w:pPr>
        <w:pStyle w:val="Deptbulletlist1"/>
        <w:numPr>
          <w:ilvl w:val="0"/>
          <w:numId w:val="3"/>
        </w:numPr>
        <w:ind w:left="357" w:hanging="357"/>
      </w:pPr>
      <w:r w:rsidRPr="00244E10">
        <w:t>a clearer and simplified policy framework to ensure transparency and accountability in decision-making (for example, by way of Government policy statements and specific Ministerial powers of intervention)</w:t>
      </w:r>
    </w:p>
    <w:p w14:paraId="63CE6734" w14:textId="77777777" w:rsidR="001A585E" w:rsidRPr="00244E10" w:rsidRDefault="001A585E" w:rsidP="00244E10">
      <w:pPr>
        <w:pStyle w:val="Deptbulletlist1"/>
        <w:numPr>
          <w:ilvl w:val="0"/>
          <w:numId w:val="3"/>
        </w:numPr>
        <w:ind w:left="357" w:hanging="357"/>
      </w:pPr>
      <w:r w:rsidRPr="00244E10">
        <w:t xml:space="preserve">a simplified and more flexible licensing </w:t>
      </w:r>
      <w:r w:rsidR="00FD159C">
        <w:t>system</w:t>
      </w:r>
      <w:r w:rsidR="00FD159C" w:rsidRPr="00244E10">
        <w:t xml:space="preserve"> </w:t>
      </w:r>
      <w:r w:rsidRPr="00244E10">
        <w:t>based on a parameter-based single licen</w:t>
      </w:r>
      <w:r w:rsidR="00477349">
        <w:t>s</w:t>
      </w:r>
      <w:r w:rsidRPr="00244E10">
        <w:t>ing framework (as opposed to the current three types of licences)</w:t>
      </w:r>
    </w:p>
    <w:p w14:paraId="005A10EF" w14:textId="77777777" w:rsidR="001A585E" w:rsidRPr="00244E10" w:rsidRDefault="001A585E" w:rsidP="0028573E">
      <w:pPr>
        <w:pStyle w:val="Deptbulletlist1"/>
        <w:numPr>
          <w:ilvl w:val="0"/>
          <w:numId w:val="3"/>
        </w:numPr>
        <w:spacing w:after="240"/>
        <w:ind w:left="357" w:hanging="357"/>
      </w:pPr>
      <w:r w:rsidRPr="00244E10">
        <w:t>introducing greater flexibility into the current television broadcasting framework through a variety of measures.</w:t>
      </w:r>
    </w:p>
    <w:p w14:paraId="1A48488A" w14:textId="77777777" w:rsidR="001A585E" w:rsidRPr="00FD41F0" w:rsidRDefault="001A585E" w:rsidP="001A585E">
      <w:pPr>
        <w:pStyle w:val="DeptHeading3"/>
        <w:spacing w:before="0" w:after="240"/>
      </w:pPr>
      <w:r w:rsidRPr="00FD41F0">
        <w:t>Potential Reform Directions Paper</w:t>
      </w:r>
    </w:p>
    <w:p w14:paraId="621393F3" w14:textId="77777777" w:rsidR="001A585E" w:rsidRPr="00FD41F0" w:rsidRDefault="001A585E" w:rsidP="00F8656F">
      <w:pPr>
        <w:pStyle w:val="DeptBodytext"/>
      </w:pPr>
      <w:r w:rsidRPr="00FD41F0">
        <w:t xml:space="preserve">On 11 November 2014, the Minister announced the release of the </w:t>
      </w:r>
      <w:r w:rsidRPr="00244E10">
        <w:t>Spectrum Review – Potential Reform Directions</w:t>
      </w:r>
      <w:r w:rsidRPr="00FD41F0">
        <w:t xml:space="preserve"> paper. The paper </w:t>
      </w:r>
      <w:r>
        <w:t>outlined</w:t>
      </w:r>
      <w:r w:rsidRPr="00FD41F0">
        <w:t xml:space="preserve"> five reform principles and 11 potential reform proposals</w:t>
      </w:r>
      <w:r>
        <w:t xml:space="preserve"> and invited</w:t>
      </w:r>
      <w:r w:rsidRPr="00FD41F0">
        <w:t xml:space="preserve"> comment</w:t>
      </w:r>
      <w:r>
        <w:t>s from interested parties</w:t>
      </w:r>
      <w:r w:rsidRPr="00FD41F0">
        <w:t xml:space="preserve">. </w:t>
      </w:r>
    </w:p>
    <w:p w14:paraId="241FB3DE" w14:textId="77777777" w:rsidR="001A585E" w:rsidRPr="00FD41F0" w:rsidRDefault="001A585E" w:rsidP="00F8656F">
      <w:pPr>
        <w:pStyle w:val="DeptBodytext"/>
      </w:pPr>
      <w:r>
        <w:t>T</w:t>
      </w:r>
      <w:r w:rsidRPr="00FD41F0">
        <w:t xml:space="preserve">he Department received 46 submissions to </w:t>
      </w:r>
      <w:r>
        <w:t>this</w:t>
      </w:r>
      <w:r w:rsidRPr="00FD41F0">
        <w:t xml:space="preserve"> paper</w:t>
      </w:r>
      <w:r>
        <w:t xml:space="preserve"> of which 38 are published on the Department’s website</w:t>
      </w:r>
      <w:r w:rsidRPr="00FD41F0">
        <w:t>.</w:t>
      </w:r>
      <w:r>
        <w:t xml:space="preserve"> The remaining eight submissions are confidential.</w:t>
      </w:r>
    </w:p>
    <w:p w14:paraId="6F44087D" w14:textId="77777777" w:rsidR="001A585E" w:rsidRPr="00FD159C" w:rsidRDefault="001A585E" w:rsidP="00E74BED">
      <w:pPr>
        <w:pStyle w:val="Deptbulletlist1"/>
        <w:rPr>
          <w:rFonts w:eastAsia="MS Gothic"/>
          <w:b/>
          <w:i/>
          <w:iCs/>
          <w:color w:val="4F81BD"/>
        </w:rPr>
      </w:pPr>
      <w:r w:rsidRPr="00FD159C">
        <w:rPr>
          <w:rFonts w:eastAsia="MS Gothic"/>
          <w:b/>
          <w:i/>
          <w:iCs/>
          <w:color w:val="4F81BD"/>
        </w:rPr>
        <w:t>Consultation – individual and group meetings</w:t>
      </w:r>
    </w:p>
    <w:p w14:paraId="20069022" w14:textId="77777777" w:rsidR="001A585E" w:rsidRPr="00FD41F0" w:rsidRDefault="001A585E" w:rsidP="00F8656F">
      <w:pPr>
        <w:pStyle w:val="DeptBodytext"/>
      </w:pPr>
      <w:r w:rsidRPr="00FD41F0">
        <w:t xml:space="preserve">Following the release of the Potential Reform Directions Paper, the Department undertook additional consultation </w:t>
      </w:r>
      <w:r>
        <w:t xml:space="preserve">(including an interdepartmental </w:t>
      </w:r>
      <w:r w:rsidRPr="00FD41F0">
        <w:t>meeting</w:t>
      </w:r>
      <w:r>
        <w:t xml:space="preserve"> in December 2014 and </w:t>
      </w:r>
      <w:r w:rsidR="007F0E34">
        <w:t xml:space="preserve">a </w:t>
      </w:r>
      <w:r>
        <w:t xml:space="preserve">central agencies meeting in January 2015) </w:t>
      </w:r>
      <w:r w:rsidRPr="00FD41F0">
        <w:t xml:space="preserve">to update stakeholders on progress in the review process and to provide an opportunity for stakeholders to </w:t>
      </w:r>
      <w:r>
        <w:t xml:space="preserve">ask questions and </w:t>
      </w:r>
      <w:r w:rsidR="0028573E">
        <w:t xml:space="preserve">make </w:t>
      </w:r>
      <w:r>
        <w:t>further comment</w:t>
      </w:r>
      <w:r w:rsidRPr="00FD41F0">
        <w:t>.</w:t>
      </w:r>
    </w:p>
    <w:p w14:paraId="36D43168" w14:textId="77777777" w:rsidR="001A585E" w:rsidRPr="0064646A" w:rsidRDefault="001A585E" w:rsidP="0064646A">
      <w:pPr>
        <w:pStyle w:val="DeptHeading2"/>
        <w:ind w:left="0" w:firstLine="0"/>
        <w:rPr>
          <w:rFonts w:eastAsia="MS Gothic"/>
          <w:b/>
          <w:i/>
          <w:iCs/>
          <w:color w:val="4F81BD"/>
          <w:sz w:val="24"/>
          <w:szCs w:val="24"/>
        </w:rPr>
      </w:pPr>
      <w:bookmarkStart w:id="156" w:name="_Toc412214264"/>
      <w:bookmarkStart w:id="157" w:name="_Toc412814583"/>
      <w:bookmarkStart w:id="158" w:name="_Toc413136164"/>
      <w:bookmarkStart w:id="159" w:name="_Toc413139593"/>
      <w:r w:rsidRPr="0064646A">
        <w:rPr>
          <w:rFonts w:eastAsia="MS Gothic"/>
          <w:b/>
          <w:i/>
          <w:iCs/>
          <w:color w:val="4F81BD"/>
          <w:sz w:val="24"/>
          <w:szCs w:val="24"/>
        </w:rPr>
        <w:lastRenderedPageBreak/>
        <w:t>State and Territory Governments</w:t>
      </w:r>
      <w:bookmarkEnd w:id="156"/>
      <w:bookmarkEnd w:id="157"/>
      <w:bookmarkEnd w:id="158"/>
      <w:bookmarkEnd w:id="159"/>
    </w:p>
    <w:p w14:paraId="05784072" w14:textId="77777777" w:rsidR="001A585E" w:rsidRPr="00FD41F0" w:rsidRDefault="001A585E" w:rsidP="00F8656F">
      <w:pPr>
        <w:pStyle w:val="DeptBodytext"/>
      </w:pPr>
      <w:r w:rsidRPr="00FD41F0">
        <w:t xml:space="preserve">Meetings were </w:t>
      </w:r>
      <w:r>
        <w:t xml:space="preserve">also </w:t>
      </w:r>
      <w:r w:rsidRPr="00FD41F0">
        <w:t>held with representatives from the</w:t>
      </w:r>
      <w:r>
        <w:t xml:space="preserve"> New South Wales, Queensland, Tasmanian, Victorian and Western Australian Governments, including a representative from </w:t>
      </w:r>
      <w:r w:rsidRPr="00FD41F0">
        <w:t>the National Coordination Committee for Government Radiocommunications.</w:t>
      </w:r>
    </w:p>
    <w:p w14:paraId="714D0AD6" w14:textId="77777777" w:rsidR="001A585E" w:rsidRPr="00684B0F" w:rsidRDefault="00B90F79" w:rsidP="001A585E">
      <w:pPr>
        <w:pStyle w:val="DeptHeading3"/>
        <w:spacing w:before="0" w:after="240"/>
      </w:pPr>
      <w:r>
        <w:t xml:space="preserve">Stakeholder </w:t>
      </w:r>
      <w:r w:rsidR="001A585E" w:rsidRPr="00684B0F">
        <w:t>Workshop</w:t>
      </w:r>
    </w:p>
    <w:p w14:paraId="33A5A123" w14:textId="77777777" w:rsidR="001A585E" w:rsidRDefault="001A585E" w:rsidP="00F8656F">
      <w:pPr>
        <w:pStyle w:val="DeptBodytext"/>
      </w:pPr>
      <w:r>
        <w:t>On Wednesday 28 January 2015, the Department conducted a full-day stakeholder workshop on the review. The workshop was convened to provide further information on proposals to stakeholders and gather additional feedback by allowing stakeholders to discuss proposals, ask questions and raise new issues in an open forum.</w:t>
      </w:r>
    </w:p>
    <w:p w14:paraId="74239D0B" w14:textId="77777777" w:rsidR="001A585E" w:rsidRDefault="001A585E" w:rsidP="00F8656F">
      <w:pPr>
        <w:pStyle w:val="DeptBodytext"/>
      </w:pPr>
      <w:r>
        <w:t>There were 103 attendees at the workshop, representing 57 organisations.</w:t>
      </w:r>
    </w:p>
    <w:p w14:paraId="154CAD54" w14:textId="77777777" w:rsidR="001A585E" w:rsidRDefault="001A585E" w:rsidP="00F8656F">
      <w:pPr>
        <w:pStyle w:val="DeptBodytext"/>
      </w:pPr>
      <w:r>
        <w:t>The workshop heard presentations from</w:t>
      </w:r>
      <w:r w:rsidR="0045654F">
        <w:t xml:space="preserve"> the Parliamentary Secretary, the </w:t>
      </w:r>
      <w:r w:rsidR="00A57631">
        <w:t>Hon Paul Fletcher MP, and</w:t>
      </w:r>
      <w:r>
        <w:t xml:space="preserve"> </w:t>
      </w:r>
      <w:r w:rsidR="003630DF">
        <w:t xml:space="preserve">12 </w:t>
      </w:r>
      <w:r>
        <w:t xml:space="preserve">speakers from industry, </w:t>
      </w:r>
      <w:r w:rsidR="00B90F79">
        <w:t xml:space="preserve">other </w:t>
      </w:r>
      <w:r>
        <w:t xml:space="preserve">stakeholders and </w:t>
      </w:r>
      <w:r w:rsidR="00244E10">
        <w:t>G</w:t>
      </w:r>
      <w:r>
        <w:t xml:space="preserve">overnment who discussed opportunities and ideas presented by the reform process. </w:t>
      </w:r>
    </w:p>
    <w:p w14:paraId="39A22C95" w14:textId="77777777" w:rsidR="001A585E" w:rsidRPr="00FB1762" w:rsidRDefault="001A585E" w:rsidP="001A585E">
      <w:pPr>
        <w:spacing w:after="240"/>
      </w:pPr>
    </w:p>
    <w:p w14:paraId="1D952B65" w14:textId="77777777" w:rsidR="001A585E" w:rsidRDefault="001A585E" w:rsidP="001A585E">
      <w:pPr>
        <w:spacing w:after="240"/>
      </w:pPr>
    </w:p>
    <w:p w14:paraId="7EAE7E4E" w14:textId="77777777" w:rsidR="001A585E" w:rsidRDefault="001A585E" w:rsidP="001A585E">
      <w:pPr>
        <w:pStyle w:val="DeptHeading1"/>
        <w:spacing w:before="0" w:after="240"/>
      </w:pPr>
      <w:r>
        <w:rPr>
          <w:sz w:val="40"/>
        </w:rPr>
        <w:br w:type="page"/>
      </w:r>
      <w:bookmarkStart w:id="160" w:name="_Toc413139594"/>
      <w:r>
        <w:lastRenderedPageBreak/>
        <w:t>Attachment B</w:t>
      </w:r>
      <w:bookmarkEnd w:id="160"/>
    </w:p>
    <w:p w14:paraId="07307485" w14:textId="77777777" w:rsidR="001A585E" w:rsidRPr="00B261F4" w:rsidRDefault="00351CCE" w:rsidP="001A585E">
      <w:pPr>
        <w:pStyle w:val="DeptHeading2"/>
        <w:spacing w:before="0" w:after="240" w:line="259" w:lineRule="auto"/>
        <w:ind w:left="0" w:firstLine="0"/>
      </w:pPr>
      <w:bookmarkStart w:id="161" w:name="_Toc413139595"/>
      <w:r>
        <w:t>C</w:t>
      </w:r>
      <w:r w:rsidR="001A585E" w:rsidRPr="00B261F4">
        <w:t>urrent spectrum management framework</w:t>
      </w:r>
      <w:bookmarkEnd w:id="161"/>
    </w:p>
    <w:p w14:paraId="68F2C14B" w14:textId="77777777" w:rsidR="001A585E" w:rsidRPr="00244E10" w:rsidRDefault="001A585E" w:rsidP="00F8656F">
      <w:pPr>
        <w:pStyle w:val="DeptBodytext"/>
      </w:pPr>
      <w:r w:rsidRPr="00244E10">
        <w:t xml:space="preserve">Australia’s spectrum management framework is established under the </w:t>
      </w:r>
      <w:r w:rsidR="00244E10">
        <w:t xml:space="preserve">Radiocommunications </w:t>
      </w:r>
      <w:r w:rsidRPr="00244E10">
        <w:t xml:space="preserve">Act, related legislation and subordinate instruments. The </w:t>
      </w:r>
      <w:r w:rsidR="00AD62AF">
        <w:t>o</w:t>
      </w:r>
      <w:r w:rsidRPr="00244E10">
        <w:t xml:space="preserve">bjects of the </w:t>
      </w:r>
      <w:r w:rsidR="00244E10">
        <w:t xml:space="preserve">Radiocommunications </w:t>
      </w:r>
      <w:r w:rsidRPr="00244E10">
        <w:t xml:space="preserve">Act broadly outline the framework’s objectives, including maximising the public benefit through spectrum’s efficient allocation and use, making adequate provision for </w:t>
      </w:r>
      <w:r w:rsidR="00B90F79">
        <w:t>public and community</w:t>
      </w:r>
      <w:r w:rsidRPr="00244E10">
        <w:t xml:space="preserve"> services such as defence, security and emergency services, and promoting international harmonisation in Australia’s interests. </w:t>
      </w:r>
    </w:p>
    <w:p w14:paraId="43EE562D" w14:textId="77777777" w:rsidR="001A585E" w:rsidRPr="00B261F4" w:rsidRDefault="001A585E" w:rsidP="001A585E">
      <w:pPr>
        <w:pStyle w:val="DeptHeading3"/>
        <w:spacing w:before="0" w:after="240"/>
      </w:pPr>
      <w:r>
        <w:t>The</w:t>
      </w:r>
      <w:r w:rsidRPr="00B261F4">
        <w:t xml:space="preserve"> </w:t>
      </w:r>
      <w:r>
        <w:t xml:space="preserve">role of the </w:t>
      </w:r>
      <w:r w:rsidR="00244E10">
        <w:t xml:space="preserve">Radiocommunications </w:t>
      </w:r>
      <w:r w:rsidRPr="00B261F4">
        <w:t xml:space="preserve">Act </w:t>
      </w:r>
    </w:p>
    <w:p w14:paraId="296CE6D3" w14:textId="77777777" w:rsidR="001A585E" w:rsidRPr="00B261F4" w:rsidRDefault="001A585E" w:rsidP="00F8656F">
      <w:pPr>
        <w:pStyle w:val="DeptBodytext"/>
      </w:pPr>
      <w:r w:rsidRPr="00B261F4">
        <w:t xml:space="preserve">The </w:t>
      </w:r>
      <w:r w:rsidR="00244E10">
        <w:t xml:space="preserve">Radiocommunications </w:t>
      </w:r>
      <w:r w:rsidRPr="00B261F4">
        <w:t xml:space="preserve">Act introduced market-based </w:t>
      </w:r>
      <w:r>
        <w:t>arrangements</w:t>
      </w:r>
      <w:r w:rsidRPr="00B261F4">
        <w:t xml:space="preserve"> of spectrum allocation and pricing to operate alongside the existing administrative </w:t>
      </w:r>
      <w:r>
        <w:t>framework</w:t>
      </w:r>
      <w:r w:rsidRPr="00B261F4">
        <w:t>. The</w:t>
      </w:r>
      <w:r>
        <w:t>se</w:t>
      </w:r>
      <w:r w:rsidRPr="00B261F4">
        <w:t xml:space="preserve"> market-based </w:t>
      </w:r>
      <w:r>
        <w:t>arrangements</w:t>
      </w:r>
      <w:r w:rsidRPr="00B261F4">
        <w:t xml:space="preserve"> </w:t>
      </w:r>
      <w:r>
        <w:t>were designed to promote more efficient allocation and use through</w:t>
      </w:r>
      <w:r w:rsidRPr="00B261F4">
        <w:t xml:space="preserve"> the use of auctions to allocate spectrum access rights, as well as allowing secondary trading of those rights.</w:t>
      </w:r>
    </w:p>
    <w:p w14:paraId="51DFE466" w14:textId="77777777" w:rsidR="001A585E" w:rsidRPr="00244E10" w:rsidRDefault="001A585E" w:rsidP="00F8656F">
      <w:pPr>
        <w:pStyle w:val="DeptBodytext"/>
      </w:pPr>
      <w:r w:rsidRPr="00244E10">
        <w:t xml:space="preserve">This hybrid administrative/market model preserves the central role of Government in planning and administering spectrum while allowing for a market-based approach in areas of commercially-driven demand. </w:t>
      </w:r>
    </w:p>
    <w:p w14:paraId="1549FC4B" w14:textId="77777777" w:rsidR="001A585E" w:rsidRPr="00BC3349" w:rsidRDefault="001A585E" w:rsidP="00F8656F">
      <w:pPr>
        <w:pStyle w:val="DeptBodytext"/>
      </w:pPr>
      <w:r w:rsidRPr="00BC3349">
        <w:t xml:space="preserve">The </w:t>
      </w:r>
      <w:r w:rsidR="00EC3BD5">
        <w:t xml:space="preserve">Radiocommunications </w:t>
      </w:r>
      <w:r w:rsidRPr="00BC3349">
        <w:t>Act defines three separate licence categories</w:t>
      </w:r>
      <w:r>
        <w:t xml:space="preserve"> for spectrum</w:t>
      </w:r>
      <w:r w:rsidR="00EC3BD5">
        <w:t>.</w:t>
      </w:r>
      <w:r w:rsidRPr="00BC3349">
        <w:t xml:space="preserve"> </w:t>
      </w:r>
    </w:p>
    <w:p w14:paraId="5260778D" w14:textId="77777777" w:rsidR="001A585E" w:rsidRPr="00BC3349" w:rsidRDefault="001A585E" w:rsidP="00244E10">
      <w:pPr>
        <w:pStyle w:val="Deptbulletlist1"/>
        <w:numPr>
          <w:ilvl w:val="0"/>
          <w:numId w:val="3"/>
        </w:numPr>
        <w:ind w:left="357" w:hanging="357"/>
      </w:pPr>
      <w:r w:rsidRPr="00BC3349">
        <w:t>Spectrum licen</w:t>
      </w:r>
      <w:r>
        <w:t>c</w:t>
      </w:r>
      <w:r w:rsidRPr="00BC3349">
        <w:t>es authorise exclusive</w:t>
      </w:r>
      <w:r>
        <w:t xml:space="preserve"> use of specific </w:t>
      </w:r>
      <w:r w:rsidRPr="00BC3349">
        <w:t>portion</w:t>
      </w:r>
      <w:r>
        <w:t>s</w:t>
      </w:r>
      <w:r w:rsidRPr="00BC3349">
        <w:t xml:space="preserve"> of spectrum in a particular geographic area </w:t>
      </w:r>
      <w:r>
        <w:t>(including national licences)</w:t>
      </w:r>
      <w:r w:rsidRPr="00BC3349">
        <w:t xml:space="preserve">. </w:t>
      </w:r>
      <w:r>
        <w:t>Spectrum licences afford the most protection from interference, and because of this and their technological neutrality</w:t>
      </w:r>
      <w:r w:rsidR="00EC3BD5">
        <w:t>,</w:t>
      </w:r>
      <w:r>
        <w:t xml:space="preserve"> they are generally more suitable to trading. </w:t>
      </w:r>
      <w:r w:rsidRPr="00BC3349">
        <w:t>Spectrum licen</w:t>
      </w:r>
      <w:r w:rsidR="00EC3BD5">
        <w:t>c</w:t>
      </w:r>
      <w:r w:rsidRPr="00BC3349">
        <w:t xml:space="preserve">es are issued using a price-based method, through auction, tender or pre-determined or pre-negotiated price, for a period of up to 15 years. </w:t>
      </w:r>
    </w:p>
    <w:p w14:paraId="59D73FCD" w14:textId="77777777" w:rsidR="001A585E" w:rsidRDefault="001A585E" w:rsidP="00244E10">
      <w:pPr>
        <w:pStyle w:val="Deptbulletlist1"/>
        <w:numPr>
          <w:ilvl w:val="0"/>
          <w:numId w:val="3"/>
        </w:numPr>
        <w:ind w:left="357" w:hanging="357"/>
      </w:pPr>
      <w:r w:rsidRPr="00BC3349">
        <w:t xml:space="preserve">Apparatus licences authorise a person to operate a specified transmitter or receiver in a defined part of the spectrum, in accordance with licence conditions. These licences are generally issued for up to five years and are renewable upon expiry, subject to the ACMA’s consent. </w:t>
      </w:r>
    </w:p>
    <w:p w14:paraId="31B784AC" w14:textId="77777777" w:rsidR="001A585E" w:rsidRPr="00BC3349" w:rsidRDefault="001A585E" w:rsidP="00244E10">
      <w:pPr>
        <w:pStyle w:val="Deptbulletlist1"/>
        <w:numPr>
          <w:ilvl w:val="0"/>
          <w:numId w:val="3"/>
        </w:numPr>
        <w:ind w:left="357" w:hanging="357"/>
      </w:pPr>
      <w:r w:rsidRPr="00BC3349">
        <w:t xml:space="preserve">Class licences authorise users of designated segments of spectrum to operate a low-power </w:t>
      </w:r>
      <w:r>
        <w:t>or locali</w:t>
      </w:r>
      <w:r w:rsidR="000B5DE1">
        <w:t>s</w:t>
      </w:r>
      <w:r>
        <w:t xml:space="preserve">ed service (such </w:t>
      </w:r>
      <w:r w:rsidRPr="00BC3349">
        <w:t>Wi-Fi networks</w:t>
      </w:r>
      <w:r>
        <w:t xml:space="preserve"> or</w:t>
      </w:r>
      <w:r w:rsidRPr="00BC3349">
        <w:t xml:space="preserve"> cordless telephones</w:t>
      </w:r>
      <w:r>
        <w:t>)</w:t>
      </w:r>
      <w:r w:rsidRPr="00BC3349">
        <w:t xml:space="preserve">, provided the device complies with the licence conditions. Class licences establish parts of the spectrum as commons, do not involve licence fees and provide users with no protection from interference. </w:t>
      </w:r>
    </w:p>
    <w:p w14:paraId="68699538" w14:textId="77777777" w:rsidR="001A585E" w:rsidRPr="00B261F4" w:rsidRDefault="001A585E" w:rsidP="00244E10">
      <w:pPr>
        <w:pStyle w:val="DeptHeading3"/>
        <w:spacing w:before="0" w:after="240"/>
        <w:ind w:left="0" w:firstLine="0"/>
      </w:pPr>
      <w:r w:rsidRPr="00244E10">
        <w:br w:type="column"/>
      </w:r>
      <w:r>
        <w:lastRenderedPageBreak/>
        <w:t>Spectrum management</w:t>
      </w:r>
    </w:p>
    <w:p w14:paraId="358E8446" w14:textId="77777777" w:rsidR="001A585E" w:rsidRDefault="001A585E" w:rsidP="00F8656F">
      <w:pPr>
        <w:pStyle w:val="DeptBodytext"/>
      </w:pPr>
      <w:r>
        <w:t xml:space="preserve">Under the </w:t>
      </w:r>
      <w:r w:rsidR="000B5DE1">
        <w:t xml:space="preserve">Radiocommunications </w:t>
      </w:r>
      <w:r>
        <w:t xml:space="preserve">Act, the Minister has certain powers </w:t>
      </w:r>
      <w:r w:rsidR="00F3265B">
        <w:t>to make</w:t>
      </w:r>
      <w:r>
        <w:t xml:space="preserve"> specific decisions and input to processes. In this context, the Department provides advice </w:t>
      </w:r>
      <w:r w:rsidR="0006793A">
        <w:t>to Government on the policy aspects of spectrum management and in the exercise of these powers</w:t>
      </w:r>
      <w:r>
        <w:t>.</w:t>
      </w:r>
    </w:p>
    <w:p w14:paraId="37753FBB" w14:textId="77777777" w:rsidR="001A585E" w:rsidRDefault="001A585E" w:rsidP="00F8656F">
      <w:pPr>
        <w:pStyle w:val="DeptBodytext"/>
      </w:pPr>
      <w:r>
        <w:t>The</w:t>
      </w:r>
      <w:r w:rsidRPr="00BC3349">
        <w:t xml:space="preserve"> ACMA </w:t>
      </w:r>
      <w:r>
        <w:t xml:space="preserve">is the industry regulator responsible for regulation of radiocommunications consistent with the </w:t>
      </w:r>
      <w:r w:rsidR="000B5DE1">
        <w:t xml:space="preserve">Radiocommunications </w:t>
      </w:r>
      <w:r>
        <w:t xml:space="preserve">Act (as well as spectrum for broadcasting purposes consistent with the </w:t>
      </w:r>
      <w:r w:rsidRPr="000B5DE1">
        <w:rPr>
          <w:i/>
        </w:rPr>
        <w:t>Broadcasting Services Act 1992</w:t>
      </w:r>
      <w:r>
        <w:t xml:space="preserve">). </w:t>
      </w:r>
      <w:r w:rsidR="0006793A">
        <w:t>The ACMA’s spectrum management functions are set out in the ACMA Act</w:t>
      </w:r>
      <w:r w:rsidR="00481D23">
        <w:t xml:space="preserve">, </w:t>
      </w:r>
      <w:r w:rsidR="004D0503">
        <w:t>they include</w:t>
      </w:r>
      <w:r>
        <w:t>:</w:t>
      </w:r>
    </w:p>
    <w:p w14:paraId="281ABBA8" w14:textId="77777777" w:rsidR="004D0503" w:rsidRDefault="004D0503" w:rsidP="00481D23">
      <w:pPr>
        <w:pStyle w:val="Deptbulletlist1"/>
        <w:numPr>
          <w:ilvl w:val="0"/>
          <w:numId w:val="3"/>
        </w:numPr>
      </w:pPr>
      <w:r>
        <w:t>performing its functions under the Radiocommunications Act, which include planning, licensing, allocation and reallocation of spectrum</w:t>
      </w:r>
    </w:p>
    <w:p w14:paraId="249DE3E4" w14:textId="77777777" w:rsidR="00481D23" w:rsidRPr="00D364CE" w:rsidRDefault="00481D23" w:rsidP="00481D23">
      <w:pPr>
        <w:pStyle w:val="Deptbulletlist1"/>
        <w:numPr>
          <w:ilvl w:val="0"/>
          <w:numId w:val="3"/>
        </w:numPr>
      </w:pPr>
      <w:r>
        <w:t>advising</w:t>
      </w:r>
      <w:r w:rsidRPr="00D364CE">
        <w:t xml:space="preserve"> and assist</w:t>
      </w:r>
      <w:r>
        <w:t>ing</w:t>
      </w:r>
      <w:r w:rsidRPr="00D364CE">
        <w:t xml:space="preserve"> the </w:t>
      </w:r>
      <w:r>
        <w:t>spectrum community</w:t>
      </w:r>
    </w:p>
    <w:p w14:paraId="583C5CB8" w14:textId="77777777" w:rsidR="00481D23" w:rsidRPr="00D364CE" w:rsidRDefault="00481D23" w:rsidP="00481D23">
      <w:pPr>
        <w:pStyle w:val="Deptbulletlist1"/>
        <w:numPr>
          <w:ilvl w:val="0"/>
          <w:numId w:val="3"/>
        </w:numPr>
      </w:pPr>
      <w:r>
        <w:t>reporting to, and advising,</w:t>
      </w:r>
      <w:r w:rsidRPr="00D364CE">
        <w:t xml:space="preserve"> the Minister in relation to the </w:t>
      </w:r>
      <w:r>
        <w:t>spectrum community</w:t>
      </w:r>
    </w:p>
    <w:p w14:paraId="1EBDF635" w14:textId="77777777" w:rsidR="00481D23" w:rsidRPr="00D364CE" w:rsidRDefault="00481D23" w:rsidP="00481D23">
      <w:pPr>
        <w:pStyle w:val="Deptbulletlist1"/>
        <w:numPr>
          <w:ilvl w:val="0"/>
          <w:numId w:val="3"/>
        </w:numPr>
      </w:pPr>
      <w:r>
        <w:t>managing</w:t>
      </w:r>
      <w:r w:rsidRPr="00D364CE">
        <w:t xml:space="preserve"> Australia’s input into the setting of international standards for </w:t>
      </w:r>
      <w:r>
        <w:t>radiocommunications</w:t>
      </w:r>
    </w:p>
    <w:p w14:paraId="789B104A" w14:textId="77777777" w:rsidR="00481D23" w:rsidRPr="00D364CE" w:rsidRDefault="00481D23" w:rsidP="00481D23">
      <w:pPr>
        <w:pStyle w:val="Deptbulletlist1"/>
        <w:numPr>
          <w:ilvl w:val="0"/>
          <w:numId w:val="3"/>
        </w:numPr>
      </w:pPr>
      <w:r>
        <w:t>giving advice and making</w:t>
      </w:r>
      <w:r w:rsidRPr="00D364CE">
        <w:t xml:space="preserve"> </w:t>
      </w:r>
      <w:r>
        <w:t>information available to the public about the spectrum community, including conducting public educational programs</w:t>
      </w:r>
    </w:p>
    <w:p w14:paraId="6FCCDA32" w14:textId="77777777" w:rsidR="004D0503" w:rsidRDefault="00481D23" w:rsidP="00E74BED">
      <w:pPr>
        <w:pStyle w:val="Deptbulletlist1"/>
        <w:numPr>
          <w:ilvl w:val="0"/>
          <w:numId w:val="3"/>
        </w:numPr>
      </w:pPr>
      <w:r>
        <w:t xml:space="preserve">undertaking functions conferred on the ACMA through the spectrum-related tax </w:t>
      </w:r>
      <w:r w:rsidR="007F0E34">
        <w:t>A</w:t>
      </w:r>
      <w:r>
        <w:t>cts.</w:t>
      </w:r>
    </w:p>
    <w:p w14:paraId="20DB9EFC" w14:textId="77777777" w:rsidR="001A585E" w:rsidRDefault="001A585E" w:rsidP="00F8656F">
      <w:pPr>
        <w:pStyle w:val="DeptBodytext"/>
      </w:pPr>
      <w:r>
        <w:t>The ACMA also prepares advice to Government and the market on future spectrum activities and issues, including through:</w:t>
      </w:r>
    </w:p>
    <w:p w14:paraId="246EF5E7" w14:textId="77777777" w:rsidR="001A585E" w:rsidRPr="00244E10" w:rsidRDefault="001A585E" w:rsidP="004363BA">
      <w:pPr>
        <w:pStyle w:val="Deptbulletlist1"/>
        <w:numPr>
          <w:ilvl w:val="0"/>
          <w:numId w:val="3"/>
        </w:numPr>
        <w:ind w:left="357" w:hanging="357"/>
      </w:pPr>
      <w:r w:rsidRPr="00244E10">
        <w:t xml:space="preserve">The Australian Radiofrequency Spectrum Plan, which is a </w:t>
      </w:r>
      <w:r w:rsidRPr="00BC3349">
        <w:t xml:space="preserve">statutory instrument </w:t>
      </w:r>
      <w:r w:rsidR="0064646A">
        <w:t xml:space="preserve">under </w:t>
      </w:r>
      <w:r w:rsidRPr="00BC3349">
        <w:t xml:space="preserve">the </w:t>
      </w:r>
      <w:r w:rsidR="0064646A">
        <w:t xml:space="preserve">Radiocommunications </w:t>
      </w:r>
      <w:r w:rsidRPr="00BC3349">
        <w:t>Act</w:t>
      </w:r>
      <w:r>
        <w:t xml:space="preserve"> that outlines </w:t>
      </w:r>
      <w:r w:rsidRPr="00244E10">
        <w:t>Australia’s international spectrum harmonisation obligations; identifies variations to international allocations; and informs users about the various types of services that can be operated in each frequency band, and the conditions attached to their operation.</w:t>
      </w:r>
      <w:r w:rsidR="00DB664C">
        <w:t xml:space="preserve"> It is usually updated after each WRC meeting.</w:t>
      </w:r>
    </w:p>
    <w:p w14:paraId="4FDC55EA" w14:textId="77777777" w:rsidR="001A585E" w:rsidRPr="00244E10" w:rsidRDefault="001A585E" w:rsidP="00244E10">
      <w:pPr>
        <w:pStyle w:val="Deptbulletlist1"/>
        <w:numPr>
          <w:ilvl w:val="0"/>
          <w:numId w:val="3"/>
        </w:numPr>
        <w:ind w:left="357" w:hanging="357"/>
      </w:pPr>
      <w:r w:rsidRPr="00244E10">
        <w:t xml:space="preserve">The Five Year Spectrum Outlook which provides a rolling five-year snapshot of ACMA’s spectrum demand analysis and indicative work </w:t>
      </w:r>
      <w:r w:rsidR="00BD718A">
        <w:t>program</w:t>
      </w:r>
      <w:r w:rsidRPr="00244E10">
        <w:t>.</w:t>
      </w:r>
    </w:p>
    <w:p w14:paraId="52D8D849" w14:textId="77777777" w:rsidR="007965F5" w:rsidRDefault="007965F5" w:rsidP="00F8656F">
      <w:pPr>
        <w:pStyle w:val="DeptBodytext"/>
      </w:pPr>
    </w:p>
    <w:p w14:paraId="63EE4009" w14:textId="77777777" w:rsidR="008E3DE0" w:rsidRDefault="008E3DE0" w:rsidP="00F8656F">
      <w:pPr>
        <w:pStyle w:val="DeptBodytext"/>
      </w:pPr>
    </w:p>
    <w:p w14:paraId="461B791A" w14:textId="77777777" w:rsidR="008E3DE0" w:rsidRDefault="008E3DE0">
      <w:r>
        <w:br w:type="page"/>
      </w:r>
    </w:p>
    <w:p w14:paraId="2701C080" w14:textId="77777777" w:rsidR="008E3DE0" w:rsidRDefault="008E3DE0" w:rsidP="008E3DE0">
      <w:pPr>
        <w:pStyle w:val="DeptHeading1"/>
        <w:spacing w:before="0" w:after="240"/>
      </w:pPr>
      <w:bookmarkStart w:id="162" w:name="_Toc413139596"/>
      <w:r>
        <w:lastRenderedPageBreak/>
        <w:t>Attachment C</w:t>
      </w:r>
      <w:bookmarkEnd w:id="162"/>
    </w:p>
    <w:p w14:paraId="0942B11D" w14:textId="77777777" w:rsidR="008E3DE0" w:rsidRPr="00214782" w:rsidRDefault="00351CCE" w:rsidP="00214782">
      <w:pPr>
        <w:pStyle w:val="DeptHeading2"/>
        <w:spacing w:before="0" w:after="240" w:line="259" w:lineRule="auto"/>
        <w:ind w:left="0" w:firstLine="0"/>
      </w:pPr>
      <w:bookmarkStart w:id="163" w:name="_Toc413139597"/>
      <w:r>
        <w:t>C</w:t>
      </w:r>
      <w:r w:rsidR="008E3DE0">
        <w:t>urrent spectrum reallocation process</w:t>
      </w:r>
      <w:bookmarkEnd w:id="163"/>
    </w:p>
    <w:p w14:paraId="5E916B5E" w14:textId="77777777" w:rsidR="009B7C42" w:rsidRDefault="009B7C42" w:rsidP="009B7C42">
      <w:r>
        <w:rPr>
          <w:noProof/>
          <w:lang w:eastAsia="en-AU"/>
        </w:rPr>
        <mc:AlternateContent>
          <mc:Choice Requires="wps">
            <w:drawing>
              <wp:anchor distT="0" distB="0" distL="114300" distR="114300" simplePos="0" relativeHeight="251658244" behindDoc="0" locked="0" layoutInCell="1" allowOverlap="1" wp14:anchorId="57F61CB7" wp14:editId="17B88F3F">
                <wp:simplePos x="0" y="0"/>
                <wp:positionH relativeFrom="column">
                  <wp:posOffset>97155</wp:posOffset>
                </wp:positionH>
                <wp:positionV relativeFrom="paragraph">
                  <wp:posOffset>6350</wp:posOffset>
                </wp:positionV>
                <wp:extent cx="5410200" cy="634621"/>
                <wp:effectExtent l="0" t="0" r="19050" b="32385"/>
                <wp:wrapNone/>
                <wp:docPr id="5" name="Down Arrow Callout 5"/>
                <wp:cNvGraphicFramePr/>
                <a:graphic xmlns:a="http://schemas.openxmlformats.org/drawingml/2006/main">
                  <a:graphicData uri="http://schemas.microsoft.com/office/word/2010/wordprocessingShape">
                    <wps:wsp>
                      <wps:cNvSpPr/>
                      <wps:spPr>
                        <a:xfrm>
                          <a:off x="0" y="0"/>
                          <a:ext cx="5410200" cy="634621"/>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3715DE60" w14:textId="77777777" w:rsidR="00E7053F" w:rsidRPr="000D57E8" w:rsidRDefault="00E7053F" w:rsidP="000D57E8">
                            <w:pPr>
                              <w:pStyle w:val="NoSpacing"/>
                              <w:numPr>
                                <w:ilvl w:val="0"/>
                                <w:numId w:val="21"/>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publish a notice and consult on draft recommendation for the Minister to make a spectrum re-allocation declaration (‘SRD’) (s153G).</w:t>
                            </w:r>
                          </w:p>
                          <w:p w14:paraId="5D00E170" w14:textId="77777777" w:rsidR="00E7053F" w:rsidRDefault="00E7053F" w:rsidP="009B7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61CB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 o:spid="_x0000_s1030" type="#_x0000_t80" style="position:absolute;margin-left:7.65pt;margin-top:.5pt;width:426pt;height:49.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" adj="14035,10167,16200,10483" fillcolor="white [3201]" strokecolor="#5b9bd5 [3204]" strokeweight="1pt">
                <v:textbox>
                  <w:txbxContent>
                    <w:p w14:paraId="3715DE60" w14:textId="77777777" w:rsidR="00E7053F" w:rsidRPr="000D57E8" w:rsidRDefault="00E7053F" w:rsidP="000D57E8">
                      <w:pPr>
                        <w:pStyle w:val="NoSpacing"/>
                        <w:numPr>
                          <w:ilvl w:val="0"/>
                          <w:numId w:val="21"/>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publish a notice and consult on draft recommendation for the Minister to make a spectrum re-allocation declaration (‘SRD’) (s153G).</w:t>
                      </w:r>
                    </w:p>
                    <w:p w14:paraId="5D00E170" w14:textId="77777777" w:rsidR="00E7053F" w:rsidRDefault="00E7053F" w:rsidP="009B7C42">
                      <w:pPr>
                        <w:jc w:val="center"/>
                      </w:pPr>
                    </w:p>
                  </w:txbxContent>
                </v:textbox>
              </v:shape>
            </w:pict>
          </mc:Fallback>
        </mc:AlternateContent>
      </w:r>
    </w:p>
    <w:p w14:paraId="0BD0DA15" w14:textId="77777777" w:rsidR="009B7C42" w:rsidRDefault="009B7C42" w:rsidP="009B7C42"/>
    <w:p w14:paraId="664AFE71" w14:textId="589D4AC4" w:rsidR="008E3DE0" w:rsidRPr="007965F5" w:rsidRDefault="001967FE" w:rsidP="00CC77CB">
      <w:pPr>
        <w:jc w:val="center"/>
      </w:pPr>
      <w:bookmarkStart w:id="164" w:name="_GoBack"/>
      <w:bookmarkEnd w:id="164"/>
      <w:r>
        <w:rPr>
          <w:noProof/>
          <w:lang w:eastAsia="en-AU"/>
        </w:rPr>
        <mc:AlternateContent>
          <mc:Choice Requires="wps">
            <w:drawing>
              <wp:anchor distT="0" distB="0" distL="114300" distR="114300" simplePos="0" relativeHeight="251658246" behindDoc="0" locked="0" layoutInCell="1" allowOverlap="1" wp14:anchorId="4EF6FD32" wp14:editId="7FB0AF1A">
                <wp:simplePos x="0" y="0"/>
                <wp:positionH relativeFrom="margin">
                  <wp:posOffset>108585</wp:posOffset>
                </wp:positionH>
                <wp:positionV relativeFrom="paragraph">
                  <wp:posOffset>1577340</wp:posOffset>
                </wp:positionV>
                <wp:extent cx="5391150" cy="409575"/>
                <wp:effectExtent l="0" t="0" r="19050" b="47625"/>
                <wp:wrapNone/>
                <wp:docPr id="19" name="Down Arrow Callout 19"/>
                <wp:cNvGraphicFramePr/>
                <a:graphic xmlns:a="http://schemas.openxmlformats.org/drawingml/2006/main">
                  <a:graphicData uri="http://schemas.microsoft.com/office/word/2010/wordprocessingShape">
                    <wps:wsp>
                      <wps:cNvSpPr/>
                      <wps:spPr>
                        <a:xfrm>
                          <a:off x="0" y="0"/>
                          <a:ext cx="5391150" cy="40957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01BDCB84" w14:textId="77777777" w:rsidR="00E7053F" w:rsidRPr="000D57E8" w:rsidRDefault="00E7053F" w:rsidP="00D81B73">
                            <w:pPr>
                              <w:pStyle w:val="NoSpacing"/>
                              <w:numPr>
                                <w:ilvl w:val="0"/>
                                <w:numId w:val="39"/>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The Minister must give a copy of the SRD to the ACMA (s153C(1)).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6FD3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9" o:spid="_x0000_s1031" type="#_x0000_t80" style="position:absolute;left:0;text-align:left;margin-left:8.55pt;margin-top:124.2pt;width:424.5pt;height:32.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" adj="14035,10390,16200,10595" fillcolor="white [3201]" strokecolor="#5b9bd5 [3204]" strokeweight="1pt">
                <v:textbox>
                  <w:txbxContent>
                    <w:p w14:paraId="01BDCB84" w14:textId="77777777" w:rsidR="00E7053F" w:rsidRPr="000D57E8" w:rsidRDefault="00E7053F" w:rsidP="00D81B73">
                      <w:pPr>
                        <w:pStyle w:val="NoSpacing"/>
                        <w:numPr>
                          <w:ilvl w:val="0"/>
                          <w:numId w:val="39"/>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The Minister must give a copy of the SRD to the ACMA (s153C(1)).</w:t>
                      </w:r>
                    </w:p>
                  </w:txbxContent>
                </v:textbox>
                <w10:wrap anchorx="margin"/>
              </v:shape>
            </w:pict>
          </mc:Fallback>
        </mc:AlternateContent>
      </w:r>
      <w:r>
        <w:rPr>
          <w:noProof/>
          <w:lang w:eastAsia="en-AU"/>
        </w:rPr>
        <mc:AlternateContent>
          <mc:Choice Requires="wps">
            <w:drawing>
              <wp:anchor distT="0" distB="0" distL="114300" distR="114300" simplePos="0" relativeHeight="251658245" behindDoc="0" locked="0" layoutInCell="1" allowOverlap="1" wp14:anchorId="109E6767" wp14:editId="0989B468">
                <wp:simplePos x="0" y="0"/>
                <wp:positionH relativeFrom="column">
                  <wp:posOffset>97155</wp:posOffset>
                </wp:positionH>
                <wp:positionV relativeFrom="paragraph">
                  <wp:posOffset>681990</wp:posOffset>
                </wp:positionV>
                <wp:extent cx="5410200" cy="876300"/>
                <wp:effectExtent l="0" t="0" r="19050" b="38100"/>
                <wp:wrapNone/>
                <wp:docPr id="18" name="Down Arrow Callout 18"/>
                <wp:cNvGraphicFramePr/>
                <a:graphic xmlns:a="http://schemas.openxmlformats.org/drawingml/2006/main">
                  <a:graphicData uri="http://schemas.microsoft.com/office/word/2010/wordprocessingShape">
                    <wps:wsp>
                      <wps:cNvSpPr/>
                      <wps:spPr>
                        <a:xfrm>
                          <a:off x="0" y="0"/>
                          <a:ext cx="5410200" cy="876300"/>
                        </a:xfrm>
                        <a:prstGeom prst="downArrowCallout">
                          <a:avLst>
                            <a:gd name="adj1" fmla="val 10870"/>
                            <a:gd name="adj2" fmla="val 16304"/>
                            <a:gd name="adj3" fmla="val 25000"/>
                            <a:gd name="adj4" fmla="val 64977"/>
                          </a:avLst>
                        </a:prstGeom>
                      </wps:spPr>
                      <wps:style>
                        <a:lnRef idx="2">
                          <a:schemeClr val="accent1"/>
                        </a:lnRef>
                        <a:fillRef idx="1">
                          <a:schemeClr val="lt1"/>
                        </a:fillRef>
                        <a:effectRef idx="0">
                          <a:schemeClr val="accent1"/>
                        </a:effectRef>
                        <a:fontRef idx="minor">
                          <a:schemeClr val="dk1"/>
                        </a:fontRef>
                      </wps:style>
                      <wps:txbx>
                        <w:txbxContent>
                          <w:p w14:paraId="3B0C5441" w14:textId="77777777" w:rsidR="00E7053F" w:rsidRPr="000D57E8" w:rsidRDefault="00E7053F" w:rsidP="00D81B73">
                            <w:pPr>
                              <w:pStyle w:val="NoSpacing"/>
                              <w:numPr>
                                <w:ilvl w:val="0"/>
                                <w:numId w:val="38"/>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The Minister makes a SRD (s153B) but only if the ACMA makes recommendation within the previous 180 days (s153E). The Act prescribes what must be included in a SRD (s153B).</w:t>
                            </w:r>
                          </w:p>
                          <w:p w14:paraId="6309209F" w14:textId="77777777" w:rsidR="00E7053F" w:rsidRDefault="00E7053F" w:rsidP="009B7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6767" id="Down Arrow Callout 18" o:spid="_x0000_s1032" type="#_x0000_t80" style="position:absolute;left:0;text-align:left;margin-left:7.65pt;margin-top:53.7pt;width:426pt;height:6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" adj="14035,10230,16200,10610" fillcolor="white [3201]" strokecolor="#5b9bd5 [3204]" strokeweight="1pt">
                <v:textbox>
                  <w:txbxContent>
                    <w:p w14:paraId="3B0C5441" w14:textId="77777777" w:rsidR="00E7053F" w:rsidRPr="000D57E8" w:rsidRDefault="00E7053F" w:rsidP="00D81B73">
                      <w:pPr>
                        <w:pStyle w:val="NoSpacing"/>
                        <w:numPr>
                          <w:ilvl w:val="0"/>
                          <w:numId w:val="38"/>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The Minister makes a SRD (s153B) but only if the ACMA makes recommendation within the previous 180 days (s153E). The Act prescribes what must be included in a SRD (s153B).</w:t>
                      </w:r>
                    </w:p>
                    <w:p w14:paraId="6309209F" w14:textId="77777777" w:rsidR="00E7053F" w:rsidRDefault="00E7053F" w:rsidP="009B7C42">
                      <w:pPr>
                        <w:jc w:val="center"/>
                      </w:pPr>
                    </w:p>
                  </w:txbxContent>
                </v:textbox>
              </v:shape>
            </w:pict>
          </mc:Fallback>
        </mc:AlternateContent>
      </w:r>
      <w:r>
        <w:rPr>
          <w:noProof/>
          <w:lang w:eastAsia="en-AU"/>
        </w:rPr>
        <mc:AlternateContent>
          <mc:Choice Requires="wps">
            <w:drawing>
              <wp:anchor distT="0" distB="0" distL="114300" distR="114300" simplePos="0" relativeHeight="251658255" behindDoc="0" locked="0" layoutInCell="1" allowOverlap="1" wp14:anchorId="7A41CBD3" wp14:editId="4B86749D">
                <wp:simplePos x="0" y="0"/>
                <wp:positionH relativeFrom="column">
                  <wp:posOffset>97155</wp:posOffset>
                </wp:positionH>
                <wp:positionV relativeFrom="paragraph">
                  <wp:posOffset>272415</wp:posOffset>
                </wp:positionV>
                <wp:extent cx="5419725" cy="409575"/>
                <wp:effectExtent l="0" t="0" r="28575" b="47625"/>
                <wp:wrapNone/>
                <wp:docPr id="20" name="Down Arrow Callout 20"/>
                <wp:cNvGraphicFramePr/>
                <a:graphic xmlns:a="http://schemas.openxmlformats.org/drawingml/2006/main">
                  <a:graphicData uri="http://schemas.microsoft.com/office/word/2010/wordprocessingShape">
                    <wps:wsp>
                      <wps:cNvSpPr/>
                      <wps:spPr>
                        <a:xfrm>
                          <a:off x="0" y="0"/>
                          <a:ext cx="5419725" cy="40957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49C64968" w14:textId="77777777" w:rsidR="00E7053F" w:rsidRPr="000D57E8" w:rsidRDefault="00E7053F" w:rsidP="00F03E17">
                            <w:pPr>
                              <w:pStyle w:val="NoSpacing"/>
                              <w:numPr>
                                <w:ilvl w:val="0"/>
                                <w:numId w:val="22"/>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recommends to the Minister to make a SRD (s153P).</w:t>
                            </w:r>
                          </w:p>
                          <w:p w14:paraId="56FB0301" w14:textId="77777777" w:rsidR="00E7053F" w:rsidRPr="00D23DD0" w:rsidRDefault="00E7053F" w:rsidP="000D57E8">
                            <w:pPr>
                              <w:pStyle w:val="ListParagraph"/>
                              <w:numPr>
                                <w:ilvl w:val="0"/>
                                <w:numId w:val="22"/>
                              </w:numPr>
                              <w:spacing w:after="160" w:line="259" w:lineRule="auto"/>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CBD3" id="Down Arrow Callout 20" o:spid="_x0000_s1033" type="#_x0000_t80" style="position:absolute;left:0;text-align:left;margin-left:7.65pt;margin-top:21.45pt;width:426.75pt;height:3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" adj="14035,10392,16200,10596" fillcolor="white [3201]" strokecolor="#5b9bd5 [3204]" strokeweight="1pt">
                <v:textbox>
                  <w:txbxContent>
                    <w:p w14:paraId="49C64968" w14:textId="77777777" w:rsidR="00E7053F" w:rsidRPr="000D57E8" w:rsidRDefault="00E7053F" w:rsidP="00F03E17">
                      <w:pPr>
                        <w:pStyle w:val="NoSpacing"/>
                        <w:numPr>
                          <w:ilvl w:val="0"/>
                          <w:numId w:val="22"/>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recommends to the Minister to make a SRD (s153P).</w:t>
                      </w:r>
                    </w:p>
                    <w:p w14:paraId="56FB0301" w14:textId="77777777" w:rsidR="00E7053F" w:rsidRPr="00D23DD0" w:rsidRDefault="00E7053F" w:rsidP="000D57E8">
                      <w:pPr>
                        <w:pStyle w:val="ListParagraph"/>
                        <w:numPr>
                          <w:ilvl w:val="0"/>
                          <w:numId w:val="22"/>
                        </w:numPr>
                        <w:spacing w:after="160" w:line="259" w:lineRule="auto"/>
                        <w:jc w:val="center"/>
                        <w:rPr>
                          <w:sz w:val="21"/>
                          <w:szCs w:val="21"/>
                        </w:rPr>
                      </w:pPr>
                    </w:p>
                  </w:txbxContent>
                </v:textbox>
              </v:shape>
            </w:pict>
          </mc:Fallback>
        </mc:AlternateContent>
      </w:r>
      <w:r w:rsidR="000D57E8">
        <w:rPr>
          <w:noProof/>
          <w:lang w:eastAsia="en-AU"/>
        </w:rPr>
        <mc:AlternateContent>
          <mc:Choice Requires="wps">
            <w:drawing>
              <wp:anchor distT="0" distB="0" distL="114300" distR="114300" simplePos="0" relativeHeight="251658250" behindDoc="0" locked="0" layoutInCell="1" allowOverlap="1" wp14:anchorId="1E5C138B" wp14:editId="4D66830D">
                <wp:simplePos x="0" y="0"/>
                <wp:positionH relativeFrom="margin">
                  <wp:align>right</wp:align>
                </wp:positionH>
                <wp:positionV relativeFrom="paragraph">
                  <wp:posOffset>6797040</wp:posOffset>
                </wp:positionV>
                <wp:extent cx="5410200" cy="6191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410200" cy="619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9C3A16A" w14:textId="77777777" w:rsidR="00E7053F" w:rsidRPr="000D57E8" w:rsidRDefault="00E7053F" w:rsidP="00D81B73">
                            <w:pPr>
                              <w:pStyle w:val="NoSpacing"/>
                              <w:numPr>
                                <w:ilvl w:val="0"/>
                                <w:numId w:val="45"/>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issue licence to person to whom allocated on payment of charges (s62). ACMA must comply with requirements of marketing plan in issuing licence (s63).</w:t>
                            </w:r>
                          </w:p>
                          <w:p w14:paraId="11144DBB" w14:textId="77777777" w:rsidR="00E7053F" w:rsidRDefault="00E7053F" w:rsidP="009B7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C138B" id="Rectangle 13" o:spid="_x0000_s1031" style="position:absolute;left:0;text-align:left;margin-left:374.8pt;margin-top:535.2pt;width:426pt;height:48.7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" fillcolor="white [3201]" strokecolor="#5b9bd5 [3204]" strokeweight="1pt">
                <v:textbox>
                  <w:txbxContent>
                    <w:p w14:paraId="69C3A16A" w14:textId="77777777" w:rsidR="00E7053F" w:rsidRPr="000D57E8" w:rsidRDefault="00E7053F" w:rsidP="00D81B73">
                      <w:pPr>
                        <w:pStyle w:val="NoSpacing"/>
                        <w:numPr>
                          <w:ilvl w:val="0"/>
                          <w:numId w:val="45"/>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issue licence to person to whom allocated on payment of charges (s62). ACMA must comply with requirements of marketing plan in issuing licence (s63).</w:t>
                      </w:r>
                    </w:p>
                    <w:p w14:paraId="11144DBB" w14:textId="77777777" w:rsidR="00E7053F" w:rsidRDefault="00E7053F" w:rsidP="009B7C42">
                      <w:pPr>
                        <w:jc w:val="center"/>
                      </w:pPr>
                    </w:p>
                  </w:txbxContent>
                </v:textbox>
                <w10:wrap anchorx="margin"/>
              </v:rect>
            </w:pict>
          </mc:Fallback>
        </mc:AlternateContent>
      </w:r>
      <w:r w:rsidR="000D57E8">
        <w:rPr>
          <w:noProof/>
          <w:lang w:eastAsia="en-AU"/>
        </w:rPr>
        <mc:AlternateContent>
          <mc:Choice Requires="wps">
            <w:drawing>
              <wp:anchor distT="0" distB="0" distL="114300" distR="114300" simplePos="0" relativeHeight="251658253" behindDoc="0" locked="0" layoutInCell="1" allowOverlap="1" wp14:anchorId="70BE7578" wp14:editId="55AD5E13">
                <wp:simplePos x="0" y="0"/>
                <wp:positionH relativeFrom="column">
                  <wp:posOffset>97155</wp:posOffset>
                </wp:positionH>
                <wp:positionV relativeFrom="paragraph">
                  <wp:posOffset>6320790</wp:posOffset>
                </wp:positionV>
                <wp:extent cx="5419725" cy="409575"/>
                <wp:effectExtent l="0" t="0" r="28575" b="47625"/>
                <wp:wrapNone/>
                <wp:docPr id="14" name="Down Arrow Callout 14"/>
                <wp:cNvGraphicFramePr/>
                <a:graphic xmlns:a="http://schemas.openxmlformats.org/drawingml/2006/main">
                  <a:graphicData uri="http://schemas.microsoft.com/office/word/2010/wordprocessingShape">
                    <wps:wsp>
                      <wps:cNvSpPr/>
                      <wps:spPr>
                        <a:xfrm>
                          <a:off x="0" y="0"/>
                          <a:ext cx="5419725" cy="40957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5E43CB03" w14:textId="77777777" w:rsidR="00E7053F" w:rsidRPr="000D57E8" w:rsidRDefault="00E7053F" w:rsidP="00D81B73">
                            <w:pPr>
                              <w:pStyle w:val="NoSpacing"/>
                              <w:numPr>
                                <w:ilvl w:val="0"/>
                                <w:numId w:val="44"/>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determine spectrum access charges (s294).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7578" id="Down Arrow Callout 14" o:spid="_x0000_s1032" type="#_x0000_t80" style="position:absolute;left:0;text-align:left;margin-left:7.65pt;margin-top:497.7pt;width:426.75pt;height:32.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" adj="14035,10392,16200,10596" fillcolor="white [3201]" strokecolor="#5b9bd5 [3204]" strokeweight="1pt">
                <v:textbox>
                  <w:txbxContent>
                    <w:p w14:paraId="5E43CB03" w14:textId="77777777" w:rsidR="00E7053F" w:rsidRPr="000D57E8" w:rsidRDefault="00E7053F" w:rsidP="00D81B73">
                      <w:pPr>
                        <w:pStyle w:val="NoSpacing"/>
                        <w:numPr>
                          <w:ilvl w:val="0"/>
                          <w:numId w:val="44"/>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determine spectrum access charges (s294).</w:t>
                      </w:r>
                    </w:p>
                  </w:txbxContent>
                </v:textbox>
              </v:shape>
            </w:pict>
          </mc:Fallback>
        </mc:AlternateContent>
      </w:r>
      <w:r w:rsidR="000D57E8">
        <w:rPr>
          <w:noProof/>
          <w:lang w:eastAsia="en-AU"/>
        </w:rPr>
        <mc:AlternateContent>
          <mc:Choice Requires="wps">
            <w:drawing>
              <wp:anchor distT="0" distB="0" distL="114300" distR="114300" simplePos="0" relativeHeight="251658252" behindDoc="0" locked="0" layoutInCell="1" allowOverlap="1" wp14:anchorId="76FEE4E0" wp14:editId="2B9F6DBF">
                <wp:simplePos x="0" y="0"/>
                <wp:positionH relativeFrom="margin">
                  <wp:align>right</wp:align>
                </wp:positionH>
                <wp:positionV relativeFrom="paragraph">
                  <wp:posOffset>5587365</wp:posOffset>
                </wp:positionV>
                <wp:extent cx="5381625" cy="675640"/>
                <wp:effectExtent l="0" t="0" r="28575" b="29210"/>
                <wp:wrapNone/>
                <wp:docPr id="12" name="Down Arrow Callout 12"/>
                <wp:cNvGraphicFramePr/>
                <a:graphic xmlns:a="http://schemas.openxmlformats.org/drawingml/2006/main">
                  <a:graphicData uri="http://schemas.microsoft.com/office/word/2010/wordprocessingShape">
                    <wps:wsp>
                      <wps:cNvSpPr/>
                      <wps:spPr>
                        <a:xfrm>
                          <a:off x="0" y="0"/>
                          <a:ext cx="5381625" cy="675640"/>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6F6EC3B9" w14:textId="77777777" w:rsidR="00E7053F" w:rsidRPr="000D57E8" w:rsidRDefault="00E7053F" w:rsidP="00D81B73">
                            <w:pPr>
                              <w:pStyle w:val="NoSpacing"/>
                              <w:numPr>
                                <w:ilvl w:val="0"/>
                                <w:numId w:val="34"/>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At the end of the re-allocation period, any apparatus licences affected are automatically cancelled (s153H), noting some exceptions for broadcasting.</w:t>
                            </w:r>
                          </w:p>
                          <w:p w14:paraId="07577EF4" w14:textId="77777777" w:rsidR="00E7053F" w:rsidRDefault="00E7053F" w:rsidP="009B7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E4E0" id="Down Arrow Callout 12" o:spid="_x0000_s1033" type="#_x0000_t80" style="position:absolute;left:0;text-align:left;margin-left:372.55pt;margin-top:439.95pt;width:423.75pt;height:53.2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" adj="14035,10122,16200,10461" fillcolor="white [3201]" strokecolor="#5b9bd5 [3204]" strokeweight="1pt">
                <v:textbox>
                  <w:txbxContent>
                    <w:p w14:paraId="6F6EC3B9" w14:textId="77777777" w:rsidR="00E7053F" w:rsidRPr="000D57E8" w:rsidRDefault="00E7053F" w:rsidP="00D81B73">
                      <w:pPr>
                        <w:pStyle w:val="NoSpacing"/>
                        <w:numPr>
                          <w:ilvl w:val="0"/>
                          <w:numId w:val="34"/>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At the end of the re-allocation period, any apparatus licences affected are automatically cancelled (s153H), noting some exceptions for broadcasting.</w:t>
                      </w:r>
                    </w:p>
                    <w:p w14:paraId="07577EF4" w14:textId="77777777" w:rsidR="00E7053F" w:rsidRDefault="00E7053F" w:rsidP="009B7C42">
                      <w:pPr>
                        <w:jc w:val="center"/>
                      </w:pPr>
                    </w:p>
                  </w:txbxContent>
                </v:textbox>
                <w10:wrap anchorx="margin"/>
              </v:shape>
            </w:pict>
          </mc:Fallback>
        </mc:AlternateContent>
      </w:r>
      <w:r w:rsidR="000D57E8">
        <w:rPr>
          <w:noProof/>
          <w:lang w:eastAsia="en-AU"/>
        </w:rPr>
        <mc:AlternateContent>
          <mc:Choice Requires="wps">
            <w:drawing>
              <wp:anchor distT="0" distB="0" distL="114300" distR="114300" simplePos="0" relativeHeight="251658251" behindDoc="0" locked="0" layoutInCell="1" allowOverlap="1" wp14:anchorId="1E420258" wp14:editId="6560A828">
                <wp:simplePos x="0" y="0"/>
                <wp:positionH relativeFrom="margin">
                  <wp:align>right</wp:align>
                </wp:positionH>
                <wp:positionV relativeFrom="paragraph">
                  <wp:posOffset>4825365</wp:posOffset>
                </wp:positionV>
                <wp:extent cx="5381625" cy="681355"/>
                <wp:effectExtent l="0" t="0" r="28575" b="42545"/>
                <wp:wrapNone/>
                <wp:docPr id="7" name="Down Arrow Callout 7"/>
                <wp:cNvGraphicFramePr/>
                <a:graphic xmlns:a="http://schemas.openxmlformats.org/drawingml/2006/main">
                  <a:graphicData uri="http://schemas.microsoft.com/office/word/2010/wordprocessingShape">
                    <wps:wsp>
                      <wps:cNvSpPr/>
                      <wps:spPr>
                        <a:xfrm>
                          <a:off x="0" y="0"/>
                          <a:ext cx="5381625" cy="68135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2C78D389" w14:textId="77777777" w:rsidR="00E7053F" w:rsidRPr="000D57E8" w:rsidRDefault="00E7053F" w:rsidP="00D81B73">
                            <w:pPr>
                              <w:pStyle w:val="NoSpacing"/>
                              <w:numPr>
                                <w:ilvl w:val="0"/>
                                <w:numId w:val="33"/>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The Minister must not revoke or vary the SRD once the ACMA has begun the allocation process (s153J).</w:t>
                            </w:r>
                          </w:p>
                          <w:p w14:paraId="3257EA30" w14:textId="77777777" w:rsidR="00E7053F" w:rsidRDefault="00E7053F" w:rsidP="009B7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20258" id="Down Arrow Callout 7" o:spid="_x0000_s1034" type="#_x0000_t80" style="position:absolute;left:0;text-align:left;margin-left:372.55pt;margin-top:379.95pt;width:423.75pt;height:53.6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" adj="14035,10116,16200,10458" fillcolor="white [3201]" strokecolor="#5b9bd5 [3204]" strokeweight="1pt">
                <v:textbox>
                  <w:txbxContent>
                    <w:p w14:paraId="2C78D389" w14:textId="77777777" w:rsidR="00E7053F" w:rsidRPr="000D57E8" w:rsidRDefault="00E7053F" w:rsidP="00D81B73">
                      <w:pPr>
                        <w:pStyle w:val="NoSpacing"/>
                        <w:numPr>
                          <w:ilvl w:val="0"/>
                          <w:numId w:val="33"/>
                        </w:numPr>
                        <w:jc w:val="center"/>
                        <w:rPr>
                          <w:rFonts w:ascii="Calibri" w:eastAsia="Cambria" w:hAnsi="Calibri" w:cs="Times New Roman"/>
                          <w:color w:val="3B3C3B"/>
                          <w:sz w:val="21"/>
                          <w:szCs w:val="21"/>
                        </w:rPr>
                      </w:pPr>
                      <w:r w:rsidRPr="000D57E8">
                        <w:rPr>
                          <w:rFonts w:ascii="Calibri" w:eastAsia="Cambria" w:hAnsi="Calibri" w:cs="Times New Roman"/>
                          <w:color w:val="3B3C3B"/>
                          <w:sz w:val="21"/>
                          <w:szCs w:val="21"/>
                        </w:rPr>
                        <w:t>The Minister must not revoke or vary the SRD once the ACMA has begun the allocation process (s153J).</w:t>
                      </w:r>
                    </w:p>
                    <w:p w14:paraId="3257EA30" w14:textId="77777777" w:rsidR="00E7053F" w:rsidRDefault="00E7053F" w:rsidP="009B7C42">
                      <w:pPr>
                        <w:jc w:val="center"/>
                      </w:pPr>
                    </w:p>
                  </w:txbxContent>
                </v:textbox>
                <w10:wrap anchorx="margin"/>
              </v:shape>
            </w:pict>
          </mc:Fallback>
        </mc:AlternateContent>
      </w:r>
      <w:r w:rsidR="000D57E8">
        <w:rPr>
          <w:noProof/>
          <w:lang w:eastAsia="en-AU"/>
        </w:rPr>
        <mc:AlternateContent>
          <mc:Choice Requires="wps">
            <w:drawing>
              <wp:anchor distT="0" distB="0" distL="114300" distR="114300" simplePos="0" relativeHeight="251658248" behindDoc="0" locked="0" layoutInCell="1" allowOverlap="1" wp14:anchorId="481FFD98" wp14:editId="0E507BC0">
                <wp:simplePos x="0" y="0"/>
                <wp:positionH relativeFrom="margin">
                  <wp:align>right</wp:align>
                </wp:positionH>
                <wp:positionV relativeFrom="paragraph">
                  <wp:posOffset>4110990</wp:posOffset>
                </wp:positionV>
                <wp:extent cx="5372100" cy="664845"/>
                <wp:effectExtent l="0" t="0" r="19050" b="40005"/>
                <wp:wrapNone/>
                <wp:docPr id="9" name="Down Arrow Callout 9"/>
                <wp:cNvGraphicFramePr/>
                <a:graphic xmlns:a="http://schemas.openxmlformats.org/drawingml/2006/main">
                  <a:graphicData uri="http://schemas.microsoft.com/office/word/2010/wordprocessingShape">
                    <wps:wsp>
                      <wps:cNvSpPr/>
                      <wps:spPr>
                        <a:xfrm>
                          <a:off x="0" y="0"/>
                          <a:ext cx="5372100" cy="66484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70068BBF" w14:textId="77777777" w:rsidR="00E7053F" w:rsidRPr="000D57E8" w:rsidRDefault="00E7053F" w:rsidP="00D81B73">
                            <w:pPr>
                              <w:pStyle w:val="NoSpacing"/>
                              <w:numPr>
                                <w:ilvl w:val="0"/>
                                <w:numId w:val="42"/>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allocate the spectrum before the re-allocation deadline otherwise the SRD is taken to be revoked (s153K).</w:t>
                            </w:r>
                          </w:p>
                          <w:p w14:paraId="462C1466" w14:textId="77777777" w:rsidR="00E7053F" w:rsidRDefault="00E7053F" w:rsidP="009B7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FFD98" id="Down Arrow Callout 9" o:spid="_x0000_s1035" type="#_x0000_t80" style="position:absolute;left:0;text-align:left;margin-left:371.8pt;margin-top:323.7pt;width:423pt;height:52.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" adj="14035,10132,16200,10466" fillcolor="white [3201]" strokecolor="#5b9bd5 [3204]" strokeweight="1pt">
                <v:textbox>
                  <w:txbxContent>
                    <w:p w14:paraId="70068BBF" w14:textId="77777777" w:rsidR="00E7053F" w:rsidRPr="000D57E8" w:rsidRDefault="00E7053F" w:rsidP="00D81B73">
                      <w:pPr>
                        <w:pStyle w:val="NoSpacing"/>
                        <w:numPr>
                          <w:ilvl w:val="0"/>
                          <w:numId w:val="42"/>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allocate the spectrum before the re-allocation deadline otherwise the SRD is taken to be revoked (s153K).</w:t>
                      </w:r>
                    </w:p>
                    <w:p w14:paraId="462C1466" w14:textId="77777777" w:rsidR="00E7053F" w:rsidRDefault="00E7053F" w:rsidP="009B7C42">
                      <w:pPr>
                        <w:jc w:val="center"/>
                      </w:pPr>
                    </w:p>
                  </w:txbxContent>
                </v:textbox>
                <w10:wrap anchorx="margin"/>
              </v:shape>
            </w:pict>
          </mc:Fallback>
        </mc:AlternateContent>
      </w:r>
      <w:r w:rsidR="000D57E8">
        <w:rPr>
          <w:noProof/>
          <w:lang w:eastAsia="en-AU"/>
        </w:rPr>
        <mc:AlternateContent>
          <mc:Choice Requires="wps">
            <w:drawing>
              <wp:anchor distT="0" distB="0" distL="114300" distR="114300" simplePos="0" relativeHeight="251658249" behindDoc="0" locked="0" layoutInCell="1" allowOverlap="1" wp14:anchorId="40A82BD3" wp14:editId="0EA6048A">
                <wp:simplePos x="0" y="0"/>
                <wp:positionH relativeFrom="margin">
                  <wp:align>right</wp:align>
                </wp:positionH>
                <wp:positionV relativeFrom="paragraph">
                  <wp:posOffset>3177540</wp:posOffset>
                </wp:positionV>
                <wp:extent cx="5400675" cy="869950"/>
                <wp:effectExtent l="0" t="0" r="28575" b="44450"/>
                <wp:wrapNone/>
                <wp:docPr id="11" name="Down Arrow Callout 11"/>
                <wp:cNvGraphicFramePr/>
                <a:graphic xmlns:a="http://schemas.openxmlformats.org/drawingml/2006/main">
                  <a:graphicData uri="http://schemas.microsoft.com/office/word/2010/wordprocessingShape">
                    <wps:wsp>
                      <wps:cNvSpPr/>
                      <wps:spPr>
                        <a:xfrm>
                          <a:off x="0" y="0"/>
                          <a:ext cx="5400675" cy="869950"/>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3151AB2D" w14:textId="77777777" w:rsidR="00E7053F" w:rsidRPr="000D57E8" w:rsidRDefault="00E7053F" w:rsidP="00D81B73">
                            <w:pPr>
                              <w:pStyle w:val="NoSpacing"/>
                              <w:numPr>
                                <w:ilvl w:val="0"/>
                                <w:numId w:val="41"/>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determine the procedures to apply for allocating the spectrum (s60). Before determining these procedures, the ACMA must consult with ACCC (s60(14)). ACMA must not impose competition limits unless directed by the Minister (s60(9)).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2BD3" id="Down Arrow Callout 11" o:spid="_x0000_s1036" type="#_x0000_t80" style="position:absolute;left:0;text-align:left;margin-left:374.05pt;margin-top:250.2pt;width:425.25pt;height:68.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" adj="14035,9930,16200,10365" fillcolor="white [3201]" strokecolor="#5b9bd5 [3204]" strokeweight="1pt">
                <v:textbox>
                  <w:txbxContent>
                    <w:p w14:paraId="3151AB2D" w14:textId="77777777" w:rsidR="00E7053F" w:rsidRPr="000D57E8" w:rsidRDefault="00E7053F" w:rsidP="00D81B73">
                      <w:pPr>
                        <w:pStyle w:val="NoSpacing"/>
                        <w:numPr>
                          <w:ilvl w:val="0"/>
                          <w:numId w:val="41"/>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determine the procedures to apply for allocating the spectrum (s60). Before determining these procedures, the ACMA must consult with ACCC (</w:t>
                      </w:r>
                      <w:proofErr w:type="gramStart"/>
                      <w:r w:rsidRPr="000D57E8">
                        <w:rPr>
                          <w:rFonts w:ascii="Calibri" w:eastAsia="Cambria" w:hAnsi="Calibri" w:cs="Times New Roman"/>
                          <w:color w:val="3B3C3B"/>
                          <w:sz w:val="21"/>
                          <w:szCs w:val="21"/>
                        </w:rPr>
                        <w:t>s60(</w:t>
                      </w:r>
                      <w:proofErr w:type="gramEnd"/>
                      <w:r w:rsidRPr="000D57E8">
                        <w:rPr>
                          <w:rFonts w:ascii="Calibri" w:eastAsia="Cambria" w:hAnsi="Calibri" w:cs="Times New Roman"/>
                          <w:color w:val="3B3C3B"/>
                          <w:sz w:val="21"/>
                          <w:szCs w:val="21"/>
                        </w:rPr>
                        <w:t>14)). ACMA must not impose competition limits unless directed by the Minister (</w:t>
                      </w:r>
                      <w:proofErr w:type="gramStart"/>
                      <w:r w:rsidRPr="000D57E8">
                        <w:rPr>
                          <w:rFonts w:ascii="Calibri" w:eastAsia="Cambria" w:hAnsi="Calibri" w:cs="Times New Roman"/>
                          <w:color w:val="3B3C3B"/>
                          <w:sz w:val="21"/>
                          <w:szCs w:val="21"/>
                        </w:rPr>
                        <w:t>s60(</w:t>
                      </w:r>
                      <w:proofErr w:type="gramEnd"/>
                      <w:r w:rsidRPr="000D57E8">
                        <w:rPr>
                          <w:rFonts w:ascii="Calibri" w:eastAsia="Cambria" w:hAnsi="Calibri" w:cs="Times New Roman"/>
                          <w:color w:val="3B3C3B"/>
                          <w:sz w:val="21"/>
                          <w:szCs w:val="21"/>
                        </w:rPr>
                        <w:t>9)).</w:t>
                      </w:r>
                    </w:p>
                  </w:txbxContent>
                </v:textbox>
                <w10:wrap anchorx="margin"/>
              </v:shape>
            </w:pict>
          </mc:Fallback>
        </mc:AlternateContent>
      </w:r>
      <w:r w:rsidR="000D57E8">
        <w:rPr>
          <w:noProof/>
          <w:lang w:eastAsia="en-AU"/>
        </w:rPr>
        <mc:AlternateContent>
          <mc:Choice Requires="wps">
            <w:drawing>
              <wp:anchor distT="0" distB="0" distL="114300" distR="114300" simplePos="0" relativeHeight="251658247" behindDoc="0" locked="0" layoutInCell="1" allowOverlap="1" wp14:anchorId="1208CF2B" wp14:editId="77005E76">
                <wp:simplePos x="0" y="0"/>
                <wp:positionH relativeFrom="margin">
                  <wp:align>right</wp:align>
                </wp:positionH>
                <wp:positionV relativeFrom="paragraph">
                  <wp:posOffset>2472690</wp:posOffset>
                </wp:positionV>
                <wp:extent cx="5400675" cy="636905"/>
                <wp:effectExtent l="0" t="0" r="28575" b="29845"/>
                <wp:wrapNone/>
                <wp:docPr id="15" name="Down Arrow Callout 15"/>
                <wp:cNvGraphicFramePr/>
                <a:graphic xmlns:a="http://schemas.openxmlformats.org/drawingml/2006/main">
                  <a:graphicData uri="http://schemas.microsoft.com/office/word/2010/wordprocessingShape">
                    <wps:wsp>
                      <wps:cNvSpPr/>
                      <wps:spPr>
                        <a:xfrm>
                          <a:off x="0" y="0"/>
                          <a:ext cx="5400675" cy="63690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6EE1EEFE" w14:textId="77777777" w:rsidR="00E7053F" w:rsidRPr="000D57E8" w:rsidRDefault="00E7053F" w:rsidP="00D81B73">
                            <w:pPr>
                              <w:pStyle w:val="NoSpacing"/>
                              <w:numPr>
                                <w:ilvl w:val="0"/>
                                <w:numId w:val="40"/>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prepare a marketing plan (s39A). This plan specifies the spectrum to be allocated, how it is to be allocated and conditions that may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CF2B" id="Down Arrow Callout 15" o:spid="_x0000_s1037" type="#_x0000_t80" style="position:absolute;left:0;text-align:left;margin-left:374.05pt;margin-top:194.7pt;width:425.25pt;height:50.1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" adj="14035,10163,16200,10482" fillcolor="white [3201]" strokecolor="#5b9bd5 [3204]" strokeweight="1pt">
                <v:textbox>
                  <w:txbxContent>
                    <w:p w14:paraId="6EE1EEFE" w14:textId="77777777" w:rsidR="00E7053F" w:rsidRPr="000D57E8" w:rsidRDefault="00E7053F" w:rsidP="00D81B73">
                      <w:pPr>
                        <w:pStyle w:val="NoSpacing"/>
                        <w:numPr>
                          <w:ilvl w:val="0"/>
                          <w:numId w:val="40"/>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prepare a marketing plan (s39A). This plan specifies the spectrum to be allocated, how it is to be allocated and conditions that may apply.</w:t>
                      </w:r>
                    </w:p>
                  </w:txbxContent>
                </v:textbox>
                <w10:wrap anchorx="margin"/>
              </v:shape>
            </w:pict>
          </mc:Fallback>
        </mc:AlternateContent>
      </w:r>
      <w:r w:rsidR="000D57E8">
        <w:rPr>
          <w:noProof/>
          <w:lang w:eastAsia="en-AU"/>
        </w:rPr>
        <mc:AlternateContent>
          <mc:Choice Requires="wps">
            <w:drawing>
              <wp:anchor distT="0" distB="0" distL="114300" distR="114300" simplePos="0" relativeHeight="251658254" behindDoc="0" locked="0" layoutInCell="1" allowOverlap="1" wp14:anchorId="6434DDC2" wp14:editId="254A3618">
                <wp:simplePos x="0" y="0"/>
                <wp:positionH relativeFrom="margin">
                  <wp:align>right</wp:align>
                </wp:positionH>
                <wp:positionV relativeFrom="paragraph">
                  <wp:posOffset>2005965</wp:posOffset>
                </wp:positionV>
                <wp:extent cx="5400675" cy="409575"/>
                <wp:effectExtent l="0" t="0" r="28575" b="47625"/>
                <wp:wrapNone/>
                <wp:docPr id="17" name="Down Arrow Callout 17"/>
                <wp:cNvGraphicFramePr/>
                <a:graphic xmlns:a="http://schemas.openxmlformats.org/drawingml/2006/main">
                  <a:graphicData uri="http://schemas.microsoft.com/office/word/2010/wordprocessingShape">
                    <wps:wsp>
                      <wps:cNvSpPr/>
                      <wps:spPr>
                        <a:xfrm>
                          <a:off x="0" y="0"/>
                          <a:ext cx="5400675" cy="40957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7CCFE2F7" w14:textId="77777777" w:rsidR="00E7053F" w:rsidRPr="000D57E8" w:rsidRDefault="00E7053F" w:rsidP="00D81B73">
                            <w:pPr>
                              <w:pStyle w:val="NoSpacing"/>
                              <w:numPr>
                                <w:ilvl w:val="0"/>
                                <w:numId w:val="43"/>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issue a public notice that SRD has been made (s153C(2)).</w:t>
                            </w:r>
                          </w:p>
                          <w:p w14:paraId="4E430B5A" w14:textId="77777777" w:rsidR="00E7053F" w:rsidRPr="00D23DD0" w:rsidRDefault="00E7053F" w:rsidP="000D57E8">
                            <w:pPr>
                              <w:pStyle w:val="ListParagraph"/>
                              <w:numPr>
                                <w:ilvl w:val="0"/>
                                <w:numId w:val="20"/>
                              </w:numPr>
                              <w:spacing w:after="160" w:line="259" w:lineRule="auto"/>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DDC2" id="Down Arrow Callout 17" o:spid="_x0000_s1041" type="#_x0000_t80" style="position:absolute;left:0;text-align:left;margin-left:374.05pt;margin-top:157.95pt;width:425.25pt;height:32.2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" adj="14035,10390,16200,10595" fillcolor="white [3201]" strokecolor="#5b9bd5 [3204]" strokeweight="1pt">
                <v:textbox>
                  <w:txbxContent>
                    <w:p w14:paraId="7CCFE2F7" w14:textId="77777777" w:rsidR="00E7053F" w:rsidRPr="000D57E8" w:rsidRDefault="00E7053F" w:rsidP="00D81B73">
                      <w:pPr>
                        <w:pStyle w:val="NoSpacing"/>
                        <w:numPr>
                          <w:ilvl w:val="0"/>
                          <w:numId w:val="43"/>
                        </w:numPr>
                        <w:rPr>
                          <w:rFonts w:ascii="Calibri" w:eastAsia="Cambria" w:hAnsi="Calibri" w:cs="Times New Roman"/>
                          <w:color w:val="3B3C3B"/>
                          <w:sz w:val="21"/>
                          <w:szCs w:val="21"/>
                        </w:rPr>
                      </w:pPr>
                      <w:r w:rsidRPr="000D57E8">
                        <w:rPr>
                          <w:rFonts w:ascii="Calibri" w:eastAsia="Cambria" w:hAnsi="Calibri" w:cs="Times New Roman"/>
                          <w:color w:val="3B3C3B"/>
                          <w:sz w:val="21"/>
                          <w:szCs w:val="21"/>
                        </w:rPr>
                        <w:t>ACMA must issue a public notice that SRD has been made (s153C(2)).</w:t>
                      </w:r>
                    </w:p>
                    <w:p w14:paraId="4E430B5A" w14:textId="77777777" w:rsidR="00E7053F" w:rsidRPr="00D23DD0" w:rsidRDefault="00E7053F" w:rsidP="000D57E8">
                      <w:pPr>
                        <w:pStyle w:val="ListParagraph"/>
                        <w:numPr>
                          <w:ilvl w:val="0"/>
                          <w:numId w:val="20"/>
                        </w:numPr>
                        <w:spacing w:after="160" w:line="259" w:lineRule="auto"/>
                        <w:jc w:val="center"/>
                        <w:rPr>
                          <w:sz w:val="21"/>
                          <w:szCs w:val="21"/>
                        </w:rPr>
                      </w:pPr>
                    </w:p>
                  </w:txbxContent>
                </v:textbox>
                <w10:wrap anchorx="margin"/>
              </v:shape>
            </w:pict>
          </mc:Fallback>
        </mc:AlternateContent>
      </w:r>
    </w:p>
    <w:sectPr w:rsidR="008E3DE0" w:rsidRPr="007965F5" w:rsidSect="00B914E5">
      <w:headerReference w:type="default" r:id="rId17"/>
      <w:headerReference w:type="first" r:id="rId18"/>
      <w:type w:val="continuous"/>
      <w:pgSz w:w="11900" w:h="16840"/>
      <w:pgMar w:top="1701" w:right="1412" w:bottom="1418" w:left="1797"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71AF8" w14:textId="77777777" w:rsidR="00E7053F" w:rsidRDefault="00E7053F">
      <w:r>
        <w:separator/>
      </w:r>
    </w:p>
  </w:endnote>
  <w:endnote w:type="continuationSeparator" w:id="0">
    <w:p w14:paraId="3B1F4077" w14:textId="77777777" w:rsidR="00E7053F" w:rsidRDefault="00E7053F">
      <w:r>
        <w:continuationSeparator/>
      </w:r>
    </w:p>
  </w:endnote>
  <w:endnote w:type="continuationNotice" w:id="1">
    <w:p w14:paraId="414313D9" w14:textId="77777777" w:rsidR="00E7053F" w:rsidRDefault="00E70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D928E" w14:textId="77777777" w:rsidR="00E7053F" w:rsidRDefault="00E7053F" w:rsidP="00C54F27">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3EC4940" w14:textId="77777777" w:rsidR="00E7053F" w:rsidRDefault="00E7053F" w:rsidP="00627C34">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09ED0" w14:textId="77777777" w:rsidR="00E7053F" w:rsidRPr="00C54F27" w:rsidRDefault="00E7053F" w:rsidP="00B66416">
    <w:pPr>
      <w:pStyle w:val="Footer"/>
      <w:framePr w:wrap="around" w:vAnchor="text" w:hAnchor="margin" w:y="1"/>
      <w:rPr>
        <w:rStyle w:val="PageNumber"/>
        <w:color w:val="00ACD4"/>
      </w:rPr>
    </w:pPr>
    <w:r w:rsidRPr="00C54F27">
      <w:rPr>
        <w:rStyle w:val="PageNumber"/>
        <w:color w:val="00ACD4"/>
      </w:rPr>
      <w:fldChar w:fldCharType="begin"/>
    </w:r>
    <w:r w:rsidRPr="00C54F27">
      <w:rPr>
        <w:rStyle w:val="PageNumber"/>
        <w:color w:val="00ACD4"/>
      </w:rPr>
      <w:instrText xml:space="preserve">PAGE  </w:instrText>
    </w:r>
    <w:r w:rsidRPr="00C54F27">
      <w:rPr>
        <w:rStyle w:val="PageNumber"/>
        <w:color w:val="00ACD4"/>
      </w:rPr>
      <w:fldChar w:fldCharType="separate"/>
    </w:r>
    <w:r w:rsidR="001967FE">
      <w:rPr>
        <w:rStyle w:val="PageNumber"/>
        <w:noProof/>
        <w:color w:val="00ACD4"/>
      </w:rPr>
      <w:t>42</w:t>
    </w:r>
    <w:r w:rsidRPr="00C54F27">
      <w:rPr>
        <w:rStyle w:val="PageNumber"/>
        <w:color w:val="00ACD4"/>
      </w:rPr>
      <w:fldChar w:fldCharType="end"/>
    </w:r>
  </w:p>
  <w:p w14:paraId="61795752" w14:textId="77777777" w:rsidR="00E7053F" w:rsidRDefault="00E7053F" w:rsidP="00E52763">
    <w:pPr>
      <w:ind w:left="-1800" w:firstLine="360"/>
    </w:pPr>
    <w:r>
      <w:rPr>
        <w:noProof/>
        <w:lang w:eastAsia="en-AU"/>
      </w:rPr>
      <w:drawing>
        <wp:anchor distT="0" distB="0" distL="114300" distR="114300" simplePos="0" relativeHeight="251656704" behindDoc="1" locked="0" layoutInCell="1" allowOverlap="1" wp14:anchorId="27E1350D" wp14:editId="05BCEC86">
          <wp:simplePos x="0" y="0"/>
          <wp:positionH relativeFrom="page">
            <wp:align>left</wp:align>
          </wp:positionH>
          <wp:positionV relativeFrom="page">
            <wp:align>bottom</wp:align>
          </wp:positionV>
          <wp:extent cx="7560310" cy="727075"/>
          <wp:effectExtent l="0" t="0" r="2540" b="0"/>
          <wp:wrapNone/>
          <wp:docPr id="22" name="Picture 22" descr="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Foot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7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9F7E5" w14:textId="77777777" w:rsidR="00E7053F" w:rsidRDefault="00E7053F">
    <w:r>
      <w:softHyphen/>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7FD33" w14:textId="77777777" w:rsidR="00E7053F" w:rsidRDefault="00E7053F">
      <w:r>
        <w:separator/>
      </w:r>
    </w:p>
  </w:footnote>
  <w:footnote w:type="continuationSeparator" w:id="0">
    <w:p w14:paraId="7018AF20" w14:textId="77777777" w:rsidR="00E7053F" w:rsidRDefault="00E7053F">
      <w:r>
        <w:continuationSeparator/>
      </w:r>
    </w:p>
  </w:footnote>
  <w:footnote w:type="continuationNotice" w:id="1">
    <w:p w14:paraId="5E8E2879" w14:textId="77777777" w:rsidR="00E7053F" w:rsidRDefault="00E7053F"/>
  </w:footnote>
  <w:footnote w:id="2">
    <w:p w14:paraId="130E0194" w14:textId="13FD21DF" w:rsidR="00E7053F" w:rsidRDefault="00E7053F" w:rsidP="00C459F4">
      <w:pPr>
        <w:pStyle w:val="DeptFootnotetext"/>
      </w:pPr>
      <w:r>
        <w:rPr>
          <w:rStyle w:val="FootnoteReference"/>
        </w:rPr>
        <w:footnoteRef/>
      </w:r>
      <w:r>
        <w:t xml:space="preserve"> </w:t>
      </w:r>
      <w:r w:rsidRPr="003A626E">
        <w:t xml:space="preserve">‘The economic </w:t>
      </w:r>
      <w:r>
        <w:t>value of spectrum</w:t>
      </w:r>
      <w:r w:rsidRPr="003A626E">
        <w:t xml:space="preserve">’ </w:t>
      </w:r>
      <w:r w:rsidRPr="00266AA1">
        <w:t xml:space="preserve">– Research report prepared for the </w:t>
      </w:r>
      <w:r>
        <w:t>Department</w:t>
      </w:r>
      <w:r w:rsidRPr="00266AA1">
        <w:t xml:space="preserve"> </w:t>
      </w:r>
      <w:r>
        <w:t xml:space="preserve">of Communications </w:t>
      </w:r>
      <w:r w:rsidRPr="00266AA1">
        <w:t>by the Centre for International Economics</w:t>
      </w:r>
      <w:r>
        <w:t xml:space="preserve">, </w:t>
      </w:r>
      <w:r w:rsidR="007C1262">
        <w:t>January</w:t>
      </w:r>
      <w:r>
        <w:t xml:space="preserve"> 201</w:t>
      </w:r>
      <w:r w:rsidR="007C1262">
        <w:t>5</w:t>
      </w:r>
      <w:r>
        <w:t>.</w:t>
      </w:r>
    </w:p>
  </w:footnote>
  <w:footnote w:id="3">
    <w:p w14:paraId="1B5F5745" w14:textId="68E3B63C" w:rsidR="00E7053F" w:rsidRDefault="00E7053F" w:rsidP="00D66FAA">
      <w:pPr>
        <w:pStyle w:val="DeptFootnotetext"/>
      </w:pPr>
      <w:r w:rsidRPr="003A626E">
        <w:footnoteRef/>
      </w:r>
      <w:r>
        <w:t xml:space="preserve"> </w:t>
      </w:r>
      <w:r w:rsidRPr="003A626E">
        <w:t xml:space="preserve">‘The economic </w:t>
      </w:r>
      <w:r>
        <w:t>value of spectrum</w:t>
      </w:r>
      <w:r w:rsidRPr="003A626E">
        <w:t xml:space="preserve">’ </w:t>
      </w:r>
      <w:r w:rsidRPr="00266AA1">
        <w:t xml:space="preserve">– Research report prepared for the </w:t>
      </w:r>
      <w:r>
        <w:t>Department</w:t>
      </w:r>
      <w:r w:rsidRPr="00266AA1">
        <w:t xml:space="preserve"> </w:t>
      </w:r>
      <w:r>
        <w:t xml:space="preserve">of Communications </w:t>
      </w:r>
      <w:r w:rsidRPr="00266AA1">
        <w:t>by the Centre for International Economics</w:t>
      </w:r>
      <w:r>
        <w:t xml:space="preserve">, </w:t>
      </w:r>
      <w:r w:rsidR="007C1262">
        <w:t>January</w:t>
      </w:r>
      <w:r>
        <w:t xml:space="preserve"> 201</w:t>
      </w:r>
      <w:r w:rsidR="007C1262">
        <w:t>5</w:t>
      </w:r>
      <w:r>
        <w:t>.</w:t>
      </w:r>
    </w:p>
  </w:footnote>
  <w:footnote w:id="4">
    <w:p w14:paraId="33A3B700" w14:textId="77777777" w:rsidR="00E7053F" w:rsidRDefault="00E7053F" w:rsidP="00D66FAA">
      <w:pPr>
        <w:pStyle w:val="DeptFootnotetext"/>
      </w:pPr>
      <w:r w:rsidRPr="003A626E">
        <w:footnoteRef/>
      </w:r>
      <w:r>
        <w:t xml:space="preserve"> </w:t>
      </w:r>
      <w:r w:rsidRPr="003A626E">
        <w:t xml:space="preserve">‘The economic impacts of mobile broadband on the Australian economy from 2006 to 2013’ </w:t>
      </w:r>
      <w:r w:rsidRPr="00266AA1">
        <w:t>– Research report prepared for the ACMA by the Centre for International Economics</w:t>
      </w:r>
      <w:r>
        <w:t xml:space="preserve">, April 2014. </w:t>
      </w:r>
      <w:hyperlink r:id="rId1" w:history="1">
        <w:r w:rsidRPr="00B66909">
          <w:rPr>
            <w:rStyle w:val="Hyperlink"/>
          </w:rPr>
          <w:t>http://engage.acma.gov.au/wp-content/uploads/2014/04/Economic-impacts-of-mobile-broadband_Final2.pdf</w:t>
        </w:r>
      </w:hyperlink>
    </w:p>
  </w:footnote>
  <w:footnote w:id="5">
    <w:p w14:paraId="2AB05909" w14:textId="77777777" w:rsidR="00E7053F" w:rsidRDefault="00E7053F" w:rsidP="00D66FAA">
      <w:pPr>
        <w:pStyle w:val="DeptFootnotetext"/>
      </w:pPr>
      <w:r w:rsidRPr="001333F6">
        <w:footnoteRef/>
      </w:r>
      <w:r>
        <w:t xml:space="preserve"> ‘Assessment of the economic value of unlicensed spectrum in the United States’, authored by Raul Katz for Telecom Advisory Services, February 2014. </w:t>
      </w:r>
      <w:hyperlink r:id="rId2" w:history="1">
        <w:r w:rsidRPr="001333F6">
          <w:rPr>
            <w:rStyle w:val="Hyperlink"/>
          </w:rPr>
          <w:t>http://www.wififorward.org/wp-content/uploads/2014/01/Value-of-Unlicensed-Spectrum-to-the-US-Economy-Full-Report.pdf</w:t>
        </w:r>
      </w:hyperlink>
      <w:r>
        <w:t xml:space="preserve"> </w:t>
      </w:r>
    </w:p>
  </w:footnote>
  <w:footnote w:id="6">
    <w:p w14:paraId="4A548689" w14:textId="77777777" w:rsidR="00E7053F" w:rsidRPr="00EC248B" w:rsidRDefault="00E7053F" w:rsidP="00BC21E8">
      <w:pPr>
        <w:rPr>
          <w:rFonts w:ascii="Arial" w:hAnsi="Arial" w:cs="Arial"/>
          <w:sz w:val="16"/>
          <w:szCs w:val="16"/>
        </w:rPr>
      </w:pPr>
      <w:r w:rsidRPr="00EC248B">
        <w:rPr>
          <w:rFonts w:ascii="Arial" w:hAnsi="Arial" w:cs="Arial"/>
          <w:sz w:val="16"/>
          <w:szCs w:val="16"/>
        </w:rPr>
        <w:footnoteRef/>
      </w:r>
      <w:r w:rsidRPr="00EC248B">
        <w:rPr>
          <w:rFonts w:ascii="Arial" w:hAnsi="Arial" w:cs="Arial"/>
          <w:sz w:val="16"/>
          <w:szCs w:val="16"/>
        </w:rPr>
        <w:t xml:space="preserve"> </w:t>
      </w:r>
      <w:r w:rsidRPr="00D925A9">
        <w:rPr>
          <w:rFonts w:ascii="Arial" w:hAnsi="Arial" w:cs="Arial"/>
          <w:sz w:val="16"/>
          <w:szCs w:val="16"/>
        </w:rPr>
        <w:t xml:space="preserve">Future spectrum requirements estimate for terrestrial IMT – M Series – Mobile, radiodetermination, amateur and related satellite services, ITU-R, 2014, </w:t>
      </w:r>
      <w:hyperlink r:id="rId3" w:history="1">
        <w:r w:rsidRPr="004C69AA">
          <w:rPr>
            <w:rStyle w:val="Hyperlink"/>
            <w:rFonts w:ascii="Arial" w:hAnsi="Arial" w:cs="Arial"/>
            <w:sz w:val="16"/>
            <w:szCs w:val="16"/>
          </w:rPr>
          <w:t>http://www.itu.int/dms_pub/itu-r/opb/rep/R-REP-M.2290-2014-PDF-E.pdf</w:t>
        </w:r>
      </w:hyperlink>
      <w:r>
        <w:rPr>
          <w:rFonts w:ascii="Arial" w:hAnsi="Arial" w:cs="Arial"/>
          <w:sz w:val="16"/>
          <w:szCs w:val="16"/>
        </w:rPr>
        <w:t xml:space="preserve"> </w:t>
      </w:r>
    </w:p>
  </w:footnote>
  <w:footnote w:id="7">
    <w:p w14:paraId="27BA0E90" w14:textId="77777777" w:rsidR="00E7053F" w:rsidRPr="00EC248B" w:rsidRDefault="00E7053F" w:rsidP="00BC21E8">
      <w:pPr>
        <w:rPr>
          <w:rFonts w:ascii="Arial" w:hAnsi="Arial" w:cs="Arial"/>
          <w:sz w:val="16"/>
          <w:szCs w:val="16"/>
        </w:rPr>
      </w:pPr>
      <w:r w:rsidRPr="00EC248B">
        <w:rPr>
          <w:rFonts w:ascii="Arial" w:hAnsi="Arial" w:cs="Arial"/>
          <w:sz w:val="16"/>
          <w:szCs w:val="16"/>
        </w:rPr>
        <w:footnoteRef/>
      </w:r>
      <w:r w:rsidRPr="00EC248B">
        <w:rPr>
          <w:rFonts w:ascii="Arial" w:hAnsi="Arial" w:cs="Arial"/>
          <w:sz w:val="16"/>
          <w:szCs w:val="16"/>
        </w:rPr>
        <w:t xml:space="preserve"> ‘The economic impacts of mobile broadband on the Australian economy from 2006 to 2013’ – Research report prepared for the ACMA by the Centre for International Economics, April 2014. </w:t>
      </w:r>
      <w:hyperlink r:id="rId4" w:history="1">
        <w:r w:rsidRPr="00A04B56">
          <w:rPr>
            <w:rStyle w:val="Hyperlink"/>
            <w:rFonts w:ascii="Arial" w:hAnsi="Arial" w:cs="Arial"/>
            <w:sz w:val="16"/>
            <w:szCs w:val="16"/>
          </w:rPr>
          <w:t>http://www.acma.gov.au/theACMA/Library/researchacma/Research-reports/economic-impacts-of-mobile-broadband-1</w:t>
        </w:r>
      </w:hyperlink>
    </w:p>
  </w:footnote>
  <w:footnote w:id="8">
    <w:p w14:paraId="27CD6728" w14:textId="77777777" w:rsidR="00E7053F" w:rsidRPr="00EC248B" w:rsidRDefault="00E7053F" w:rsidP="00BC21E8">
      <w:pPr>
        <w:pStyle w:val="DeptFootnotetext"/>
      </w:pPr>
      <w:r w:rsidRPr="00EC248B">
        <w:footnoteRef/>
      </w:r>
      <w:r w:rsidRPr="00EC248B">
        <w:t xml:space="preserve"> In 201</w:t>
      </w:r>
      <w:r>
        <w:t>1</w:t>
      </w:r>
      <w:r w:rsidRPr="00EC248B">
        <w:t xml:space="preserve"> the UK announced its intention to release 500 MHz of government spectrum below 5 GHz for commercial mobile s</w:t>
      </w:r>
      <w:r>
        <w:t xml:space="preserve">ervices by 2020. </w:t>
      </w:r>
      <w:hyperlink r:id="rId5" w:history="1">
        <w:r w:rsidRPr="00B66909">
          <w:rPr>
            <w:rStyle w:val="Hyperlink"/>
          </w:rPr>
          <w:t>https://www.gov.uk/government/uploads/system/uploads/attachment_data/file/77429/Spectrum_Release.pdf</w:t>
        </w:r>
      </w:hyperlink>
      <w:r>
        <w:t xml:space="preserve"> </w:t>
      </w:r>
    </w:p>
  </w:footnote>
  <w:footnote w:id="9">
    <w:p w14:paraId="0DFB2FE4" w14:textId="77777777" w:rsidR="00E7053F" w:rsidRPr="00EC248B" w:rsidRDefault="00E7053F" w:rsidP="00BC21E8">
      <w:pPr>
        <w:pStyle w:val="DeptFootnotetext"/>
      </w:pPr>
      <w:r w:rsidRPr="00EC248B">
        <w:footnoteRef/>
      </w:r>
      <w:r w:rsidRPr="00EC248B">
        <w:t xml:space="preserve"> In 2010, the US announced it would make 500 MHz of federal and non-federal spectrum available for wireless broadband use within 10 years.</w:t>
      </w:r>
      <w:r>
        <w:t xml:space="preserve"> </w:t>
      </w:r>
      <w:hyperlink r:id="rId6" w:history="1">
        <w:r w:rsidRPr="00B66909">
          <w:rPr>
            <w:rStyle w:val="Hyperlink"/>
          </w:rPr>
          <w:t>http://www.broadband.gov/plan/5-spectrum/</w:t>
        </w:r>
      </w:hyperlink>
      <w:r>
        <w:t xml:space="preserve"> </w:t>
      </w:r>
    </w:p>
  </w:footnote>
  <w:footnote w:id="10">
    <w:p w14:paraId="786906CE" w14:textId="77777777" w:rsidR="00E7053F" w:rsidRPr="003D3DC4" w:rsidRDefault="00E7053F" w:rsidP="00BC21E8">
      <w:pPr>
        <w:pStyle w:val="DeptFootnotetext"/>
      </w:pPr>
      <w:r w:rsidRPr="00EC248B">
        <w:footnoteRef/>
      </w:r>
      <w:r w:rsidRPr="00EC248B">
        <w:t xml:space="preserve"> In late 2014, Canada announced measures to release 60 percent more spectrum (above that available at the beginning of 2014) for mobile broadband by May 2015.</w:t>
      </w:r>
      <w:r w:rsidRPr="000401EF">
        <w:t xml:space="preserve"> </w:t>
      </w:r>
      <w:hyperlink r:id="rId7" w:history="1">
        <w:r w:rsidRPr="00B66909">
          <w:rPr>
            <w:rStyle w:val="Hyperlink"/>
          </w:rPr>
          <w:t>http://www.ic.gc.ca/eic/site/ic-gc.nsf/eng/07389.html</w:t>
        </w:r>
      </w:hyperlink>
      <w:r>
        <w:t xml:space="preserve"> </w:t>
      </w:r>
    </w:p>
  </w:footnote>
  <w:footnote w:id="11">
    <w:p w14:paraId="703709E3" w14:textId="77777777" w:rsidR="00E7053F" w:rsidRPr="00BC21E8" w:rsidRDefault="00E7053F" w:rsidP="00F8656F">
      <w:pPr>
        <w:pStyle w:val="FootnoteText"/>
        <w:spacing w:before="0"/>
        <w:rPr>
          <w:rFonts w:ascii="Arial" w:hAnsi="Arial" w:cs="Arial"/>
          <w:sz w:val="16"/>
          <w:szCs w:val="16"/>
        </w:rPr>
      </w:pPr>
      <w:r w:rsidRPr="00BC21E8">
        <w:rPr>
          <w:rStyle w:val="FootnoteReference"/>
          <w:rFonts w:ascii="Arial" w:hAnsi="Arial" w:cs="Arial"/>
          <w:sz w:val="16"/>
          <w:szCs w:val="16"/>
        </w:rPr>
        <w:footnoteRef/>
      </w:r>
      <w:r w:rsidRPr="00BC21E8">
        <w:rPr>
          <w:rFonts w:ascii="Arial" w:hAnsi="Arial" w:cs="Arial"/>
          <w:sz w:val="16"/>
          <w:szCs w:val="16"/>
        </w:rPr>
        <w:t xml:space="preserve"> </w:t>
      </w:r>
      <w:hyperlink r:id="rId8" w:history="1">
        <w:r w:rsidRPr="00BC21E8">
          <w:rPr>
            <w:rStyle w:val="Hyperlink"/>
            <w:rFonts w:ascii="Arial" w:hAnsi="Arial" w:cs="Arial"/>
            <w:sz w:val="16"/>
            <w:szCs w:val="16"/>
          </w:rPr>
          <w:t>http://www.defense.gov/news/newsarticle.aspx?id=120052</w:t>
        </w:r>
      </w:hyperlink>
      <w:r w:rsidRPr="00BC21E8">
        <w:rPr>
          <w:rFonts w:ascii="Arial" w:hAnsi="Arial" w:cs="Arial"/>
          <w:sz w:val="16"/>
          <w:szCs w:val="16"/>
        </w:rPr>
        <w:t xml:space="preserve"> &amp; </w:t>
      </w:r>
      <w:hyperlink r:id="rId9" w:history="1">
        <w:r w:rsidRPr="00BC21E8">
          <w:rPr>
            <w:rStyle w:val="Hyperlink"/>
            <w:rFonts w:ascii="Arial" w:hAnsi="Arial" w:cs="Arial"/>
            <w:sz w:val="16"/>
            <w:szCs w:val="16"/>
          </w:rPr>
          <w:t>http://fedscoop.com/disa-spectrum-forecast-to-industry/</w:t>
        </w:r>
      </w:hyperlink>
      <w:r w:rsidRPr="00BC21E8">
        <w:rPr>
          <w:rFonts w:ascii="Arial" w:hAnsi="Arial" w:cs="Arial"/>
          <w:sz w:val="16"/>
          <w:szCs w:val="16"/>
        </w:rPr>
        <w:t xml:space="preserve"> </w:t>
      </w:r>
    </w:p>
  </w:footnote>
  <w:footnote w:id="12">
    <w:p w14:paraId="0A834FD1" w14:textId="4586DB84" w:rsidR="00E7053F" w:rsidRDefault="00E7053F">
      <w:pPr>
        <w:pStyle w:val="FootnoteText"/>
      </w:pPr>
      <w:r>
        <w:rPr>
          <w:rStyle w:val="FootnoteReference"/>
        </w:rPr>
        <w:footnoteRef/>
      </w:r>
      <w:r>
        <w:t xml:space="preserve"> ‘</w:t>
      </w:r>
      <w:r w:rsidRPr="00BC21E8">
        <w:rPr>
          <w:rFonts w:ascii="Arial" w:eastAsia="Cambria" w:hAnsi="Arial" w:cs="Arial"/>
          <w:color w:val="3B3C3B"/>
          <w:sz w:val="16"/>
          <w:szCs w:val="16"/>
        </w:rPr>
        <w:t xml:space="preserve">Maximising market involvement in spectrum management’ – Research conducted for the Department of Communications by the Centre for International Economics, </w:t>
      </w:r>
      <w:r w:rsidR="007C1262">
        <w:rPr>
          <w:rFonts w:ascii="Arial" w:eastAsia="Cambria" w:hAnsi="Arial" w:cs="Arial"/>
          <w:color w:val="3B3C3B"/>
          <w:sz w:val="16"/>
          <w:szCs w:val="16"/>
        </w:rPr>
        <w:t>February</w:t>
      </w:r>
      <w:r w:rsidRPr="00BC21E8">
        <w:rPr>
          <w:rFonts w:ascii="Arial" w:eastAsia="Cambria" w:hAnsi="Arial" w:cs="Arial"/>
          <w:color w:val="3B3C3B"/>
          <w:sz w:val="16"/>
          <w:szCs w:val="16"/>
        </w:rPr>
        <w:t xml:space="preserve"> 2015</w:t>
      </w:r>
      <w:r>
        <w:rPr>
          <w:rFonts w:ascii="Arial" w:eastAsia="Cambria" w:hAnsi="Arial" w:cs="Arial"/>
          <w:color w:val="3B3C3B"/>
          <w:sz w:val="16"/>
          <w:szCs w:val="16"/>
        </w:rPr>
        <w:t>.</w:t>
      </w:r>
    </w:p>
  </w:footnote>
  <w:footnote w:id="13">
    <w:p w14:paraId="6A99AC43" w14:textId="77777777" w:rsidR="00E7053F" w:rsidRPr="005A43D4" w:rsidRDefault="00E7053F" w:rsidP="00F31945">
      <w:pPr>
        <w:pStyle w:val="FootnoteText"/>
        <w:rPr>
          <w:rFonts w:ascii="Arial" w:eastAsia="Cambria" w:hAnsi="Arial" w:cs="Arial"/>
          <w:color w:val="3B3C3B"/>
          <w:sz w:val="16"/>
          <w:szCs w:val="16"/>
          <w:lang w:val="en-US"/>
        </w:rPr>
      </w:pPr>
      <w:r w:rsidRPr="005A43D4">
        <w:rPr>
          <w:rFonts w:ascii="Arial" w:eastAsia="Cambria" w:hAnsi="Arial" w:cs="Arial"/>
          <w:color w:val="3B3C3B"/>
          <w:sz w:val="16"/>
          <w:szCs w:val="16"/>
          <w:lang w:val="en-US"/>
        </w:rPr>
        <w:footnoteRef/>
      </w:r>
      <w:r>
        <w:rPr>
          <w:rFonts w:ascii="Arial" w:eastAsia="Cambria" w:hAnsi="Arial" w:cs="Arial"/>
          <w:color w:val="3B3C3B"/>
          <w:sz w:val="16"/>
          <w:szCs w:val="16"/>
          <w:lang w:val="en-US"/>
        </w:rPr>
        <w:t xml:space="preserve"> Drop shipping is the supply of items where local traders act as an intermediary between an overseas supplier and the consumer.</w:t>
      </w:r>
    </w:p>
  </w:footnote>
  <w:footnote w:id="14">
    <w:p w14:paraId="24726E0B" w14:textId="77777777" w:rsidR="00E7053F" w:rsidRPr="00266B91" w:rsidRDefault="00E7053F">
      <w:pPr>
        <w:pStyle w:val="FootnoteText"/>
      </w:pPr>
      <w:r w:rsidRPr="005A43D4">
        <w:rPr>
          <w:rFonts w:ascii="Arial" w:eastAsia="Cambria" w:hAnsi="Arial" w:cs="Arial"/>
          <w:color w:val="3B3C3B"/>
          <w:sz w:val="16"/>
          <w:szCs w:val="16"/>
          <w:lang w:val="en-US"/>
        </w:rPr>
        <w:footnoteRef/>
      </w:r>
      <w:r w:rsidRPr="005A43D4">
        <w:rPr>
          <w:rFonts w:ascii="Arial" w:eastAsia="Cambria" w:hAnsi="Arial" w:cs="Arial"/>
          <w:color w:val="3B3C3B"/>
          <w:sz w:val="16"/>
          <w:szCs w:val="16"/>
          <w:lang w:val="en-US"/>
        </w:rPr>
        <w:t xml:space="preserve"> Industry Innovation and Competitiveness Agenda: A lower cost, business friendly environment - Reducing the regulatory burden, October 2014. </w:t>
      </w:r>
      <w:hyperlink r:id="rId10" w:history="1">
        <w:r w:rsidRPr="005A43D4">
          <w:rPr>
            <w:rStyle w:val="Hyperlink"/>
            <w:rFonts w:ascii="Arial" w:eastAsia="Cambria" w:hAnsi="Arial" w:cs="Arial"/>
            <w:sz w:val="16"/>
            <w:szCs w:val="16"/>
            <w:lang w:val="en-US"/>
          </w:rPr>
          <w:t>www.dpmc.gov.au/pmc/publication/lower-cost-business-friendly-environment-reducing-regulatory-burden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B0B6B" w14:textId="77777777" w:rsidR="000E0114" w:rsidRDefault="000E0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ABA6" w14:textId="77777777" w:rsidR="00E7053F" w:rsidRDefault="00E7053F" w:rsidP="008E44AC">
    <w:pPr>
      <w:ind w:left="-1800" w:right="-1623"/>
    </w:pPr>
    <w:r>
      <w:rPr>
        <w:noProof/>
        <w:lang w:eastAsia="en-AU"/>
      </w:rPr>
      <w:drawing>
        <wp:anchor distT="0" distB="0" distL="114300" distR="114300" simplePos="0" relativeHeight="251655680" behindDoc="1" locked="0" layoutInCell="1" allowOverlap="1" wp14:anchorId="7D0B0D4E" wp14:editId="2C0A72C2">
          <wp:simplePos x="0" y="0"/>
          <wp:positionH relativeFrom="column">
            <wp:align>left</wp:align>
          </wp:positionH>
          <wp:positionV relativeFrom="page">
            <wp:align>top</wp:align>
          </wp:positionV>
          <wp:extent cx="7556500" cy="10690225"/>
          <wp:effectExtent l="0" t="0" r="6350" b="0"/>
          <wp:wrapNone/>
          <wp:docPr id="21" name="Picture 21" descr="COVE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7110C" w14:textId="77777777" w:rsidR="00E7053F" w:rsidRDefault="00E7053F">
    <w:pPr>
      <w:pStyle w:val="Header"/>
    </w:pPr>
    <w:r>
      <w:rPr>
        <w:noProof/>
        <w:lang w:eastAsia="en-AU"/>
      </w:rPr>
      <w:drawing>
        <wp:anchor distT="0" distB="0" distL="114300" distR="114300" simplePos="0" relativeHeight="251657728" behindDoc="1" locked="0" layoutInCell="1" allowOverlap="1" wp14:anchorId="3BCA7805" wp14:editId="616B1927">
          <wp:simplePos x="0" y="0"/>
          <wp:positionH relativeFrom="page">
            <wp:align>left</wp:align>
          </wp:positionH>
          <wp:positionV relativeFrom="page">
            <wp:align>top</wp:align>
          </wp:positionV>
          <wp:extent cx="7556500" cy="10690225"/>
          <wp:effectExtent l="0" t="0" r="6350" b="0"/>
          <wp:wrapNone/>
          <wp:docPr id="23" name="Picture 23" descr="COVE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EBC7" w14:textId="77777777" w:rsidR="00E7053F" w:rsidRDefault="00E7053F" w:rsidP="008E44AC">
    <w:pPr>
      <w:ind w:left="-1800" w:right="-1623"/>
    </w:pPr>
    <w:r>
      <w:rPr>
        <w:noProof/>
        <w:lang w:eastAsia="en-AU"/>
      </w:rPr>
      <w:drawing>
        <wp:anchor distT="0" distB="0" distL="114300" distR="114300" simplePos="0" relativeHeight="251658752" behindDoc="1" locked="0" layoutInCell="1" allowOverlap="1" wp14:anchorId="64B0D5FE" wp14:editId="6F0E4F88">
          <wp:simplePos x="0" y="0"/>
          <wp:positionH relativeFrom="page">
            <wp:posOffset>0</wp:posOffset>
          </wp:positionH>
          <wp:positionV relativeFrom="paragraph">
            <wp:posOffset>-1067435</wp:posOffset>
          </wp:positionV>
          <wp:extent cx="7571105" cy="1404620"/>
          <wp:effectExtent l="0" t="0" r="0" b="5080"/>
          <wp:wrapNone/>
          <wp:docPr id="16" name="Picture 16" descr="Dept comms header-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pt comms header-N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04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0F695" w14:textId="77777777" w:rsidR="00E7053F" w:rsidRDefault="00E70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D28E862"/>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B13A8D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6DA0039A"/>
    <w:lvl w:ilvl="0">
      <w:start w:val="1"/>
      <w:numFmt w:val="decimal"/>
      <w:pStyle w:val="Numberlist"/>
      <w:lvlText w:val="%1."/>
      <w:lvlJc w:val="left"/>
      <w:pPr>
        <w:tabs>
          <w:tab w:val="num" w:pos="0"/>
        </w:tabs>
        <w:ind w:left="360" w:hanging="360"/>
      </w:pPr>
      <w:rPr>
        <w:rFonts w:hint="default"/>
      </w:rPr>
    </w:lvl>
  </w:abstractNum>
  <w:abstractNum w:abstractNumId="3">
    <w:nsid w:val="FFFFFF89"/>
    <w:multiLevelType w:val="singleLevel"/>
    <w:tmpl w:val="CBF2882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2F63ED"/>
    <w:multiLevelType w:val="hybridMultilevel"/>
    <w:tmpl w:val="C38205EE"/>
    <w:lvl w:ilvl="0" w:tplc="A24A7166">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49D29AB"/>
    <w:multiLevelType w:val="hybridMultilevel"/>
    <w:tmpl w:val="42A6496E"/>
    <w:lvl w:ilvl="0" w:tplc="4478164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99C45FC"/>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A1464FE"/>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ABC7F18"/>
    <w:multiLevelType w:val="hybridMultilevel"/>
    <w:tmpl w:val="B71C3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E94015E"/>
    <w:multiLevelType w:val="hybridMultilevel"/>
    <w:tmpl w:val="C4A8FD5A"/>
    <w:lvl w:ilvl="0" w:tplc="8F809634">
      <w:start w:val="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0F183736"/>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24D434E"/>
    <w:multiLevelType w:val="hybridMultilevel"/>
    <w:tmpl w:val="B0B49E08"/>
    <w:lvl w:ilvl="0" w:tplc="41885836">
      <w:start w:val="1"/>
      <w:numFmt w:val="decimal"/>
      <w:pStyle w:val="ListNumber"/>
      <w:lvlText w:val="%1."/>
      <w:lvlJc w:val="right"/>
      <w:pPr>
        <w:tabs>
          <w:tab w:val="num" w:pos="284"/>
        </w:tabs>
        <w:ind w:left="170" w:hanging="57"/>
      </w:pPr>
      <w:rPr>
        <w:rFonts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BB3516"/>
    <w:multiLevelType w:val="hybridMultilevel"/>
    <w:tmpl w:val="B610343C"/>
    <w:lvl w:ilvl="0" w:tplc="F97C9BF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36A75D2"/>
    <w:multiLevelType w:val="hybridMultilevel"/>
    <w:tmpl w:val="E69A50FA"/>
    <w:lvl w:ilvl="0" w:tplc="1CB6C3B8">
      <w:start w:val="1"/>
      <w:numFmt w:val="lowerLetter"/>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AB4585"/>
    <w:multiLevelType w:val="hybridMultilevel"/>
    <w:tmpl w:val="2F8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F36F93"/>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C8E1C50"/>
    <w:multiLevelType w:val="hybridMultilevel"/>
    <w:tmpl w:val="726AC666"/>
    <w:lvl w:ilvl="0" w:tplc="0C09001B">
      <w:start w:val="1"/>
      <w:numFmt w:val="lowerRoman"/>
      <w:lvlText w:val="%1."/>
      <w:lvlJc w:val="right"/>
      <w:pPr>
        <w:ind w:left="928"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7732D44"/>
    <w:multiLevelType w:val="hybridMultilevel"/>
    <w:tmpl w:val="83806DE4"/>
    <w:lvl w:ilvl="0" w:tplc="A2C4B8A8">
      <w:start w:val="1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B883657"/>
    <w:multiLevelType w:val="hybridMultilevel"/>
    <w:tmpl w:val="5AC46FD2"/>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317FAF"/>
    <w:multiLevelType w:val="multilevel"/>
    <w:tmpl w:val="AE580FCE"/>
    <w:numStyleLink w:val="Bulletlist"/>
  </w:abstractNum>
  <w:abstractNum w:abstractNumId="20">
    <w:nsid w:val="2DC81897"/>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0D93903"/>
    <w:multiLevelType w:val="hybridMultilevel"/>
    <w:tmpl w:val="2AD6DAC2"/>
    <w:lvl w:ilvl="0" w:tplc="F138B834">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3157A41"/>
    <w:multiLevelType w:val="hybridMultilevel"/>
    <w:tmpl w:val="EA404864"/>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3DA00FC"/>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759032D"/>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7B5585D"/>
    <w:multiLevelType w:val="hybridMultilevel"/>
    <w:tmpl w:val="80C225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38F9633F"/>
    <w:multiLevelType w:val="multilevel"/>
    <w:tmpl w:val="E1F86B7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AEE7A42"/>
    <w:multiLevelType w:val="hybridMultilevel"/>
    <w:tmpl w:val="6ACC6E4E"/>
    <w:lvl w:ilvl="0" w:tplc="AA40C81C">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09B3445"/>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63B1BD2"/>
    <w:multiLevelType w:val="singleLevel"/>
    <w:tmpl w:val="317CC328"/>
    <w:lvl w:ilvl="0">
      <w:start w:val="1"/>
      <w:numFmt w:val="lowerLetter"/>
      <w:lvlText w:val="%1)"/>
      <w:lvlJc w:val="left"/>
      <w:pPr>
        <w:tabs>
          <w:tab w:val="num" w:pos="0"/>
        </w:tabs>
        <w:ind w:left="360" w:hanging="360"/>
      </w:pPr>
      <w:rPr>
        <w:rFonts w:hint="default"/>
        <w:color w:val="404040" w:themeColor="text1" w:themeTint="BF"/>
      </w:rPr>
    </w:lvl>
  </w:abstractNum>
  <w:abstractNum w:abstractNumId="30">
    <w:nsid w:val="469E541A"/>
    <w:multiLevelType w:val="hybridMultilevel"/>
    <w:tmpl w:val="36DCE246"/>
    <w:lvl w:ilvl="0" w:tplc="1F56A59E">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48703F0B"/>
    <w:multiLevelType w:val="hybridMultilevel"/>
    <w:tmpl w:val="B4E089B4"/>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F4673C7"/>
    <w:multiLevelType w:val="multilevel"/>
    <w:tmpl w:val="CFF2108A"/>
    <w:lvl w:ilvl="0">
      <w:start w:val="1"/>
      <w:numFmt w:val="bullet"/>
      <w:lvlText w:val="-"/>
      <w:lvlJc w:val="left"/>
      <w:pPr>
        <w:tabs>
          <w:tab w:val="num" w:pos="0"/>
        </w:tabs>
        <w:ind w:left="360" w:hanging="360"/>
      </w:pPr>
      <w:rPr>
        <w:rFonts w:ascii="Courier New" w:hAnsi="Courier New"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nsid w:val="4FC57A50"/>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3424F84"/>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6">
    <w:nsid w:val="58935A2A"/>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5A5E1032"/>
    <w:multiLevelType w:val="hybridMultilevel"/>
    <w:tmpl w:val="DCEA8A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B841564"/>
    <w:multiLevelType w:val="hybridMultilevel"/>
    <w:tmpl w:val="726AC666"/>
    <w:lvl w:ilvl="0" w:tplc="0C09001B">
      <w:start w:val="1"/>
      <w:numFmt w:val="lowerRoman"/>
      <w:lvlText w:val="%1."/>
      <w:lvlJc w:val="right"/>
      <w:pPr>
        <w:ind w:left="928"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206501C"/>
    <w:multiLevelType w:val="hybridMultilevel"/>
    <w:tmpl w:val="301CE77C"/>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DDF5326"/>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F531359"/>
    <w:multiLevelType w:val="hybridMultilevel"/>
    <w:tmpl w:val="F2205D0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37A2E"/>
    <w:multiLevelType w:val="hybridMultilevel"/>
    <w:tmpl w:val="726AC666"/>
    <w:lvl w:ilvl="0" w:tplc="0C09001B">
      <w:start w:val="1"/>
      <w:numFmt w:val="lowerRoman"/>
      <w:lvlText w:val="%1."/>
      <w:lvlJc w:val="right"/>
      <w:pPr>
        <w:ind w:left="928"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8566055"/>
    <w:multiLevelType w:val="hybridMultilevel"/>
    <w:tmpl w:val="726AC66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C1E67EA"/>
    <w:multiLevelType w:val="hybridMultilevel"/>
    <w:tmpl w:val="932212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
  </w:num>
  <w:num w:numId="3">
    <w:abstractNumId w:val="19"/>
  </w:num>
  <w:num w:numId="4">
    <w:abstractNumId w:val="3"/>
  </w:num>
  <w:num w:numId="5">
    <w:abstractNumId w:val="1"/>
  </w:num>
  <w:num w:numId="6">
    <w:abstractNumId w:val="0"/>
  </w:num>
  <w:num w:numId="7">
    <w:abstractNumId w:val="11"/>
  </w:num>
  <w:num w:numId="8">
    <w:abstractNumId w:val="26"/>
  </w:num>
  <w:num w:numId="9">
    <w:abstractNumId w:val="41"/>
  </w:num>
  <w:num w:numId="10">
    <w:abstractNumId w:val="29"/>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3"/>
  </w:num>
  <w:num w:numId="14">
    <w:abstractNumId w:val="36"/>
  </w:num>
  <w:num w:numId="15">
    <w:abstractNumId w:val="34"/>
  </w:num>
  <w:num w:numId="16">
    <w:abstractNumId w:val="10"/>
  </w:num>
  <w:num w:numId="17">
    <w:abstractNumId w:val="38"/>
  </w:num>
  <w:num w:numId="18">
    <w:abstractNumId w:val="20"/>
  </w:num>
  <w:num w:numId="19">
    <w:abstractNumId w:val="13"/>
  </w:num>
  <w:num w:numId="20">
    <w:abstractNumId w:val="18"/>
  </w:num>
  <w:num w:numId="21">
    <w:abstractNumId w:val="8"/>
  </w:num>
  <w:num w:numId="22">
    <w:abstractNumId w:val="5"/>
  </w:num>
  <w:num w:numId="23">
    <w:abstractNumId w:val="44"/>
  </w:num>
  <w:num w:numId="24">
    <w:abstractNumId w:val="43"/>
  </w:num>
  <w:num w:numId="25">
    <w:abstractNumId w:val="6"/>
  </w:num>
  <w:num w:numId="26">
    <w:abstractNumId w:val="15"/>
  </w:num>
  <w:num w:numId="27">
    <w:abstractNumId w:val="40"/>
  </w:num>
  <w:num w:numId="28">
    <w:abstractNumId w:val="23"/>
  </w:num>
  <w:num w:numId="29">
    <w:abstractNumId w:val="42"/>
  </w:num>
  <w:num w:numId="30">
    <w:abstractNumId w:val="37"/>
  </w:num>
  <w:num w:numId="31">
    <w:abstractNumId w:val="32"/>
  </w:num>
  <w:num w:numId="32">
    <w:abstractNumId w:val="25"/>
  </w:num>
  <w:num w:numId="33">
    <w:abstractNumId w:val="22"/>
  </w:num>
  <w:num w:numId="34">
    <w:abstractNumId w:val="39"/>
  </w:num>
  <w:num w:numId="35">
    <w:abstractNumId w:val="28"/>
  </w:num>
  <w:num w:numId="36">
    <w:abstractNumId w:val="16"/>
  </w:num>
  <w:num w:numId="37">
    <w:abstractNumId w:val="24"/>
  </w:num>
  <w:num w:numId="38">
    <w:abstractNumId w:val="27"/>
  </w:num>
  <w:num w:numId="39">
    <w:abstractNumId w:val="12"/>
  </w:num>
  <w:num w:numId="40">
    <w:abstractNumId w:val="30"/>
  </w:num>
  <w:num w:numId="41">
    <w:abstractNumId w:val="4"/>
  </w:num>
  <w:num w:numId="42">
    <w:abstractNumId w:val="9"/>
  </w:num>
  <w:num w:numId="43">
    <w:abstractNumId w:val="21"/>
  </w:num>
  <w:num w:numId="44">
    <w:abstractNumId w:val="31"/>
  </w:num>
  <w:num w:numId="45">
    <w:abstractNumId w:val="17"/>
  </w:num>
  <w:num w:numId="46">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0E"/>
    <w:rsid w:val="00004702"/>
    <w:rsid w:val="000048A8"/>
    <w:rsid w:val="00005644"/>
    <w:rsid w:val="00011B53"/>
    <w:rsid w:val="00011C68"/>
    <w:rsid w:val="0001379E"/>
    <w:rsid w:val="000161C7"/>
    <w:rsid w:val="00017A15"/>
    <w:rsid w:val="00017FCB"/>
    <w:rsid w:val="00022055"/>
    <w:rsid w:val="000230D7"/>
    <w:rsid w:val="000243CC"/>
    <w:rsid w:val="00024A64"/>
    <w:rsid w:val="000301B9"/>
    <w:rsid w:val="00032F71"/>
    <w:rsid w:val="000401EF"/>
    <w:rsid w:val="000402D1"/>
    <w:rsid w:val="00041BC6"/>
    <w:rsid w:val="0004404D"/>
    <w:rsid w:val="000444B7"/>
    <w:rsid w:val="00045FA5"/>
    <w:rsid w:val="000475A8"/>
    <w:rsid w:val="000505D7"/>
    <w:rsid w:val="00053CC1"/>
    <w:rsid w:val="00053EB5"/>
    <w:rsid w:val="00060019"/>
    <w:rsid w:val="00061736"/>
    <w:rsid w:val="000630B1"/>
    <w:rsid w:val="000638E8"/>
    <w:rsid w:val="0006557C"/>
    <w:rsid w:val="0006793A"/>
    <w:rsid w:val="00074259"/>
    <w:rsid w:val="00074F25"/>
    <w:rsid w:val="00076285"/>
    <w:rsid w:val="000763A4"/>
    <w:rsid w:val="00076DDE"/>
    <w:rsid w:val="000821F2"/>
    <w:rsid w:val="00084008"/>
    <w:rsid w:val="0008482F"/>
    <w:rsid w:val="00085D46"/>
    <w:rsid w:val="00086DCD"/>
    <w:rsid w:val="000918AC"/>
    <w:rsid w:val="00092CD3"/>
    <w:rsid w:val="0009746F"/>
    <w:rsid w:val="0009747B"/>
    <w:rsid w:val="00097F8A"/>
    <w:rsid w:val="000A1F88"/>
    <w:rsid w:val="000A550C"/>
    <w:rsid w:val="000A5822"/>
    <w:rsid w:val="000A74F2"/>
    <w:rsid w:val="000B1C70"/>
    <w:rsid w:val="000B23C4"/>
    <w:rsid w:val="000B4093"/>
    <w:rsid w:val="000B5D3F"/>
    <w:rsid w:val="000B5DE1"/>
    <w:rsid w:val="000B6656"/>
    <w:rsid w:val="000B7E9E"/>
    <w:rsid w:val="000C0141"/>
    <w:rsid w:val="000D0011"/>
    <w:rsid w:val="000D164D"/>
    <w:rsid w:val="000D38F0"/>
    <w:rsid w:val="000D57E8"/>
    <w:rsid w:val="000D5DC1"/>
    <w:rsid w:val="000D6037"/>
    <w:rsid w:val="000E0114"/>
    <w:rsid w:val="000E1118"/>
    <w:rsid w:val="000E2B70"/>
    <w:rsid w:val="000E3FB6"/>
    <w:rsid w:val="000E56A8"/>
    <w:rsid w:val="000E64B3"/>
    <w:rsid w:val="000F0A3B"/>
    <w:rsid w:val="000F5543"/>
    <w:rsid w:val="000F5DDB"/>
    <w:rsid w:val="001010BA"/>
    <w:rsid w:val="0010139A"/>
    <w:rsid w:val="00103A67"/>
    <w:rsid w:val="001136E0"/>
    <w:rsid w:val="00113CEA"/>
    <w:rsid w:val="00114662"/>
    <w:rsid w:val="00114BFD"/>
    <w:rsid w:val="001156E9"/>
    <w:rsid w:val="00117598"/>
    <w:rsid w:val="00121F51"/>
    <w:rsid w:val="00122107"/>
    <w:rsid w:val="001264C4"/>
    <w:rsid w:val="001269B5"/>
    <w:rsid w:val="00130F1F"/>
    <w:rsid w:val="001323C2"/>
    <w:rsid w:val="0013314E"/>
    <w:rsid w:val="001333F6"/>
    <w:rsid w:val="00142820"/>
    <w:rsid w:val="00144BD9"/>
    <w:rsid w:val="00144C1A"/>
    <w:rsid w:val="00145700"/>
    <w:rsid w:val="00151C7D"/>
    <w:rsid w:val="00153C6D"/>
    <w:rsid w:val="00154E64"/>
    <w:rsid w:val="00161306"/>
    <w:rsid w:val="00170224"/>
    <w:rsid w:val="00170A9D"/>
    <w:rsid w:val="00173020"/>
    <w:rsid w:val="001807FA"/>
    <w:rsid w:val="001829E5"/>
    <w:rsid w:val="001857C4"/>
    <w:rsid w:val="00185C7C"/>
    <w:rsid w:val="001875DB"/>
    <w:rsid w:val="00187DB5"/>
    <w:rsid w:val="00196532"/>
    <w:rsid w:val="001967FE"/>
    <w:rsid w:val="00196ABC"/>
    <w:rsid w:val="001A024C"/>
    <w:rsid w:val="001A07C7"/>
    <w:rsid w:val="001A0B27"/>
    <w:rsid w:val="001A202E"/>
    <w:rsid w:val="001A2676"/>
    <w:rsid w:val="001A2798"/>
    <w:rsid w:val="001A52FF"/>
    <w:rsid w:val="001A585E"/>
    <w:rsid w:val="001B2DFB"/>
    <w:rsid w:val="001B5167"/>
    <w:rsid w:val="001B5827"/>
    <w:rsid w:val="001B6238"/>
    <w:rsid w:val="001B68CC"/>
    <w:rsid w:val="001B6D71"/>
    <w:rsid w:val="001C1010"/>
    <w:rsid w:val="001C4B03"/>
    <w:rsid w:val="001C7F7D"/>
    <w:rsid w:val="001D1134"/>
    <w:rsid w:val="001D2FDD"/>
    <w:rsid w:val="001D4DED"/>
    <w:rsid w:val="001D5C10"/>
    <w:rsid w:val="001D5CF8"/>
    <w:rsid w:val="001D66D7"/>
    <w:rsid w:val="001E2ED8"/>
    <w:rsid w:val="001E404D"/>
    <w:rsid w:val="001E4D45"/>
    <w:rsid w:val="001E60B9"/>
    <w:rsid w:val="001F2BD6"/>
    <w:rsid w:val="001F3721"/>
    <w:rsid w:val="001F4A4D"/>
    <w:rsid w:val="001F56F2"/>
    <w:rsid w:val="00203832"/>
    <w:rsid w:val="002039EC"/>
    <w:rsid w:val="00203CE6"/>
    <w:rsid w:val="0020513D"/>
    <w:rsid w:val="00205335"/>
    <w:rsid w:val="00206C8E"/>
    <w:rsid w:val="002072CC"/>
    <w:rsid w:val="00214782"/>
    <w:rsid w:val="002153D3"/>
    <w:rsid w:val="00215724"/>
    <w:rsid w:val="0021713A"/>
    <w:rsid w:val="002200B2"/>
    <w:rsid w:val="0022172A"/>
    <w:rsid w:val="002228CF"/>
    <w:rsid w:val="00222B10"/>
    <w:rsid w:val="00223517"/>
    <w:rsid w:val="00225968"/>
    <w:rsid w:val="00226850"/>
    <w:rsid w:val="002270F4"/>
    <w:rsid w:val="0023364B"/>
    <w:rsid w:val="00233CB6"/>
    <w:rsid w:val="00235D81"/>
    <w:rsid w:val="00236782"/>
    <w:rsid w:val="0024191F"/>
    <w:rsid w:val="00242DA6"/>
    <w:rsid w:val="00244E10"/>
    <w:rsid w:val="0024521E"/>
    <w:rsid w:val="0024587A"/>
    <w:rsid w:val="00247148"/>
    <w:rsid w:val="002515CB"/>
    <w:rsid w:val="00257865"/>
    <w:rsid w:val="00262493"/>
    <w:rsid w:val="00263C6A"/>
    <w:rsid w:val="00266B91"/>
    <w:rsid w:val="00274B6E"/>
    <w:rsid w:val="00276A7E"/>
    <w:rsid w:val="00280C02"/>
    <w:rsid w:val="00281255"/>
    <w:rsid w:val="00284E18"/>
    <w:rsid w:val="002856A2"/>
    <w:rsid w:val="0028573E"/>
    <w:rsid w:val="0028667F"/>
    <w:rsid w:val="00290FFD"/>
    <w:rsid w:val="00295D8D"/>
    <w:rsid w:val="00296714"/>
    <w:rsid w:val="00296CC0"/>
    <w:rsid w:val="00297733"/>
    <w:rsid w:val="00297D0C"/>
    <w:rsid w:val="002A54C9"/>
    <w:rsid w:val="002B0A84"/>
    <w:rsid w:val="002B0CB3"/>
    <w:rsid w:val="002B241A"/>
    <w:rsid w:val="002B2742"/>
    <w:rsid w:val="002B2924"/>
    <w:rsid w:val="002B4B34"/>
    <w:rsid w:val="002B5557"/>
    <w:rsid w:val="002B7E5E"/>
    <w:rsid w:val="002C0267"/>
    <w:rsid w:val="002C27FC"/>
    <w:rsid w:val="002C3642"/>
    <w:rsid w:val="002C3F6A"/>
    <w:rsid w:val="002C3FBA"/>
    <w:rsid w:val="002C6150"/>
    <w:rsid w:val="002D694A"/>
    <w:rsid w:val="002E2239"/>
    <w:rsid w:val="002E3B62"/>
    <w:rsid w:val="002E48F8"/>
    <w:rsid w:val="002E5C4D"/>
    <w:rsid w:val="002E72AB"/>
    <w:rsid w:val="002E7B40"/>
    <w:rsid w:val="002F24DA"/>
    <w:rsid w:val="002F26E7"/>
    <w:rsid w:val="002F4BCA"/>
    <w:rsid w:val="002F6F62"/>
    <w:rsid w:val="00301D7B"/>
    <w:rsid w:val="00303F88"/>
    <w:rsid w:val="00304BFF"/>
    <w:rsid w:val="00307332"/>
    <w:rsid w:val="00310520"/>
    <w:rsid w:val="00310A9D"/>
    <w:rsid w:val="00313975"/>
    <w:rsid w:val="003157C8"/>
    <w:rsid w:val="0032368C"/>
    <w:rsid w:val="0032659B"/>
    <w:rsid w:val="00327904"/>
    <w:rsid w:val="00327EF5"/>
    <w:rsid w:val="00331B4F"/>
    <w:rsid w:val="00334482"/>
    <w:rsid w:val="0033577C"/>
    <w:rsid w:val="0033618F"/>
    <w:rsid w:val="00336EAD"/>
    <w:rsid w:val="00341771"/>
    <w:rsid w:val="00342370"/>
    <w:rsid w:val="003434E4"/>
    <w:rsid w:val="003440A4"/>
    <w:rsid w:val="00346B5D"/>
    <w:rsid w:val="00347701"/>
    <w:rsid w:val="00350316"/>
    <w:rsid w:val="00351CCE"/>
    <w:rsid w:val="00356504"/>
    <w:rsid w:val="003573A1"/>
    <w:rsid w:val="00361CE7"/>
    <w:rsid w:val="00362CEA"/>
    <w:rsid w:val="00362D56"/>
    <w:rsid w:val="003630DF"/>
    <w:rsid w:val="003641F8"/>
    <w:rsid w:val="00365CD4"/>
    <w:rsid w:val="00365F3B"/>
    <w:rsid w:val="00373008"/>
    <w:rsid w:val="00374F16"/>
    <w:rsid w:val="00375C9A"/>
    <w:rsid w:val="00381555"/>
    <w:rsid w:val="00382507"/>
    <w:rsid w:val="00384408"/>
    <w:rsid w:val="00384FD5"/>
    <w:rsid w:val="00385128"/>
    <w:rsid w:val="0038673E"/>
    <w:rsid w:val="0039110B"/>
    <w:rsid w:val="003970C2"/>
    <w:rsid w:val="003A1664"/>
    <w:rsid w:val="003A4B17"/>
    <w:rsid w:val="003A626E"/>
    <w:rsid w:val="003A75A8"/>
    <w:rsid w:val="003B3AA0"/>
    <w:rsid w:val="003B50F5"/>
    <w:rsid w:val="003B5352"/>
    <w:rsid w:val="003B5738"/>
    <w:rsid w:val="003B60A5"/>
    <w:rsid w:val="003C1485"/>
    <w:rsid w:val="003C1C41"/>
    <w:rsid w:val="003C33F2"/>
    <w:rsid w:val="003C4CDC"/>
    <w:rsid w:val="003C7502"/>
    <w:rsid w:val="003C7C68"/>
    <w:rsid w:val="003C7CCD"/>
    <w:rsid w:val="003D1F7F"/>
    <w:rsid w:val="003D27E0"/>
    <w:rsid w:val="003D3C71"/>
    <w:rsid w:val="003D57B8"/>
    <w:rsid w:val="003E14AD"/>
    <w:rsid w:val="003E1DA6"/>
    <w:rsid w:val="003E2029"/>
    <w:rsid w:val="003E78CF"/>
    <w:rsid w:val="003F01A3"/>
    <w:rsid w:val="003F0470"/>
    <w:rsid w:val="003F23C9"/>
    <w:rsid w:val="003F2AD7"/>
    <w:rsid w:val="003F4F7F"/>
    <w:rsid w:val="003F7853"/>
    <w:rsid w:val="004022CD"/>
    <w:rsid w:val="004044B4"/>
    <w:rsid w:val="00404FA8"/>
    <w:rsid w:val="00410703"/>
    <w:rsid w:val="00412655"/>
    <w:rsid w:val="00413019"/>
    <w:rsid w:val="00413F4F"/>
    <w:rsid w:val="00415869"/>
    <w:rsid w:val="004158B5"/>
    <w:rsid w:val="00416B90"/>
    <w:rsid w:val="0042097C"/>
    <w:rsid w:val="00422513"/>
    <w:rsid w:val="0042259C"/>
    <w:rsid w:val="0042673F"/>
    <w:rsid w:val="0042756B"/>
    <w:rsid w:val="00431691"/>
    <w:rsid w:val="00432391"/>
    <w:rsid w:val="00435348"/>
    <w:rsid w:val="004363BA"/>
    <w:rsid w:val="00436797"/>
    <w:rsid w:val="00437AB5"/>
    <w:rsid w:val="004421E5"/>
    <w:rsid w:val="0044238B"/>
    <w:rsid w:val="00442408"/>
    <w:rsid w:val="00444293"/>
    <w:rsid w:val="00444F7B"/>
    <w:rsid w:val="00445D7F"/>
    <w:rsid w:val="00450329"/>
    <w:rsid w:val="00454286"/>
    <w:rsid w:val="004556E2"/>
    <w:rsid w:val="0045654F"/>
    <w:rsid w:val="0045750C"/>
    <w:rsid w:val="0046072E"/>
    <w:rsid w:val="0046408B"/>
    <w:rsid w:val="004661DA"/>
    <w:rsid w:val="004718C9"/>
    <w:rsid w:val="00474561"/>
    <w:rsid w:val="004762A7"/>
    <w:rsid w:val="00476E94"/>
    <w:rsid w:val="00477349"/>
    <w:rsid w:val="004776A2"/>
    <w:rsid w:val="00480474"/>
    <w:rsid w:val="00481D23"/>
    <w:rsid w:val="00493CA1"/>
    <w:rsid w:val="0049779C"/>
    <w:rsid w:val="004A2D63"/>
    <w:rsid w:val="004A3635"/>
    <w:rsid w:val="004A6A23"/>
    <w:rsid w:val="004A754A"/>
    <w:rsid w:val="004A7AB7"/>
    <w:rsid w:val="004B0112"/>
    <w:rsid w:val="004B716B"/>
    <w:rsid w:val="004B742B"/>
    <w:rsid w:val="004D0503"/>
    <w:rsid w:val="004D1686"/>
    <w:rsid w:val="004D39FB"/>
    <w:rsid w:val="004D594F"/>
    <w:rsid w:val="004E2F33"/>
    <w:rsid w:val="004E31AC"/>
    <w:rsid w:val="004F2AC6"/>
    <w:rsid w:val="004F328F"/>
    <w:rsid w:val="004F3D6C"/>
    <w:rsid w:val="004F5250"/>
    <w:rsid w:val="004F5884"/>
    <w:rsid w:val="00502F5C"/>
    <w:rsid w:val="00504547"/>
    <w:rsid w:val="00506D1C"/>
    <w:rsid w:val="00510F56"/>
    <w:rsid w:val="00513A67"/>
    <w:rsid w:val="00513BF4"/>
    <w:rsid w:val="00513FB9"/>
    <w:rsid w:val="00514762"/>
    <w:rsid w:val="00520EF7"/>
    <w:rsid w:val="00522FE4"/>
    <w:rsid w:val="0052534A"/>
    <w:rsid w:val="005262B3"/>
    <w:rsid w:val="00526DA6"/>
    <w:rsid w:val="00530282"/>
    <w:rsid w:val="00530583"/>
    <w:rsid w:val="00533AA1"/>
    <w:rsid w:val="00534252"/>
    <w:rsid w:val="00536A0E"/>
    <w:rsid w:val="005375CC"/>
    <w:rsid w:val="005378ED"/>
    <w:rsid w:val="00540548"/>
    <w:rsid w:val="00541D4C"/>
    <w:rsid w:val="00551935"/>
    <w:rsid w:val="00552C03"/>
    <w:rsid w:val="00560AF9"/>
    <w:rsid w:val="00561EA1"/>
    <w:rsid w:val="00563E75"/>
    <w:rsid w:val="0056448D"/>
    <w:rsid w:val="005659FD"/>
    <w:rsid w:val="00566275"/>
    <w:rsid w:val="00573186"/>
    <w:rsid w:val="00576DB4"/>
    <w:rsid w:val="00576EDD"/>
    <w:rsid w:val="00583333"/>
    <w:rsid w:val="005849E2"/>
    <w:rsid w:val="00587FB4"/>
    <w:rsid w:val="005935EC"/>
    <w:rsid w:val="005A0AB4"/>
    <w:rsid w:val="005A0D48"/>
    <w:rsid w:val="005A133F"/>
    <w:rsid w:val="005A171F"/>
    <w:rsid w:val="005A298C"/>
    <w:rsid w:val="005A2A26"/>
    <w:rsid w:val="005A39FF"/>
    <w:rsid w:val="005A43D4"/>
    <w:rsid w:val="005A45AD"/>
    <w:rsid w:val="005A5F8A"/>
    <w:rsid w:val="005A6051"/>
    <w:rsid w:val="005B1BBD"/>
    <w:rsid w:val="005B2A34"/>
    <w:rsid w:val="005B3BD0"/>
    <w:rsid w:val="005B4314"/>
    <w:rsid w:val="005B4D17"/>
    <w:rsid w:val="005B57D7"/>
    <w:rsid w:val="005B5E44"/>
    <w:rsid w:val="005B610B"/>
    <w:rsid w:val="005B7E17"/>
    <w:rsid w:val="005C5EE3"/>
    <w:rsid w:val="005C6A9D"/>
    <w:rsid w:val="005C6C20"/>
    <w:rsid w:val="005C768E"/>
    <w:rsid w:val="005C7CE3"/>
    <w:rsid w:val="005D2095"/>
    <w:rsid w:val="005D3293"/>
    <w:rsid w:val="005D7A63"/>
    <w:rsid w:val="005E061D"/>
    <w:rsid w:val="005E0A03"/>
    <w:rsid w:val="005E2FEC"/>
    <w:rsid w:val="005E52CE"/>
    <w:rsid w:val="005E6622"/>
    <w:rsid w:val="005F1441"/>
    <w:rsid w:val="005F3647"/>
    <w:rsid w:val="005F41DC"/>
    <w:rsid w:val="005F7D97"/>
    <w:rsid w:val="0060028D"/>
    <w:rsid w:val="00602051"/>
    <w:rsid w:val="00604C81"/>
    <w:rsid w:val="006068F3"/>
    <w:rsid w:val="00606B80"/>
    <w:rsid w:val="00607605"/>
    <w:rsid w:val="00610D32"/>
    <w:rsid w:val="0061404E"/>
    <w:rsid w:val="0061509C"/>
    <w:rsid w:val="006161B8"/>
    <w:rsid w:val="00617318"/>
    <w:rsid w:val="00620CB0"/>
    <w:rsid w:val="00623415"/>
    <w:rsid w:val="006264F1"/>
    <w:rsid w:val="00627C34"/>
    <w:rsid w:val="006300EF"/>
    <w:rsid w:val="00630D7C"/>
    <w:rsid w:val="0063133C"/>
    <w:rsid w:val="006314F6"/>
    <w:rsid w:val="00631F09"/>
    <w:rsid w:val="00633A54"/>
    <w:rsid w:val="0063449A"/>
    <w:rsid w:val="00634DD3"/>
    <w:rsid w:val="0064001D"/>
    <w:rsid w:val="006416F4"/>
    <w:rsid w:val="006420CB"/>
    <w:rsid w:val="006420F9"/>
    <w:rsid w:val="00642BEB"/>
    <w:rsid w:val="0064553D"/>
    <w:rsid w:val="00646345"/>
    <w:rsid w:val="0064646A"/>
    <w:rsid w:val="006468F2"/>
    <w:rsid w:val="00647AD7"/>
    <w:rsid w:val="00652AD8"/>
    <w:rsid w:val="00653332"/>
    <w:rsid w:val="0065563C"/>
    <w:rsid w:val="00657D6D"/>
    <w:rsid w:val="00664A17"/>
    <w:rsid w:val="00667550"/>
    <w:rsid w:val="00670D6C"/>
    <w:rsid w:val="006727BC"/>
    <w:rsid w:val="00674AEA"/>
    <w:rsid w:val="00674B22"/>
    <w:rsid w:val="00674FE5"/>
    <w:rsid w:val="006756F7"/>
    <w:rsid w:val="006825F0"/>
    <w:rsid w:val="00683475"/>
    <w:rsid w:val="006837AA"/>
    <w:rsid w:val="00684220"/>
    <w:rsid w:val="00684B0F"/>
    <w:rsid w:val="00686000"/>
    <w:rsid w:val="00686A7F"/>
    <w:rsid w:val="00690A42"/>
    <w:rsid w:val="0069633B"/>
    <w:rsid w:val="00697497"/>
    <w:rsid w:val="006A202A"/>
    <w:rsid w:val="006A283F"/>
    <w:rsid w:val="006A3E8A"/>
    <w:rsid w:val="006A5DBD"/>
    <w:rsid w:val="006B0F43"/>
    <w:rsid w:val="006B1B08"/>
    <w:rsid w:val="006B2603"/>
    <w:rsid w:val="006B270B"/>
    <w:rsid w:val="006B6CF0"/>
    <w:rsid w:val="006C090B"/>
    <w:rsid w:val="006C5422"/>
    <w:rsid w:val="006C7B25"/>
    <w:rsid w:val="006D36BC"/>
    <w:rsid w:val="006D4574"/>
    <w:rsid w:val="006D4E38"/>
    <w:rsid w:val="006D5FC1"/>
    <w:rsid w:val="006D7E55"/>
    <w:rsid w:val="006D7FAD"/>
    <w:rsid w:val="006E4008"/>
    <w:rsid w:val="006E490A"/>
    <w:rsid w:val="006E5FA0"/>
    <w:rsid w:val="006E7BD3"/>
    <w:rsid w:val="006F1A3B"/>
    <w:rsid w:val="006F1D08"/>
    <w:rsid w:val="006F374F"/>
    <w:rsid w:val="006F4284"/>
    <w:rsid w:val="006F4EA7"/>
    <w:rsid w:val="0070022C"/>
    <w:rsid w:val="00700B28"/>
    <w:rsid w:val="00701073"/>
    <w:rsid w:val="007011C6"/>
    <w:rsid w:val="00703876"/>
    <w:rsid w:val="0070473E"/>
    <w:rsid w:val="00705A8C"/>
    <w:rsid w:val="00707735"/>
    <w:rsid w:val="007111F0"/>
    <w:rsid w:val="00712E7F"/>
    <w:rsid w:val="007235C7"/>
    <w:rsid w:val="00723CAE"/>
    <w:rsid w:val="0072449D"/>
    <w:rsid w:val="00724673"/>
    <w:rsid w:val="0073007F"/>
    <w:rsid w:val="00730884"/>
    <w:rsid w:val="007342F2"/>
    <w:rsid w:val="00737E76"/>
    <w:rsid w:val="00742241"/>
    <w:rsid w:val="007433CD"/>
    <w:rsid w:val="00743B1E"/>
    <w:rsid w:val="00744A6D"/>
    <w:rsid w:val="00747CFF"/>
    <w:rsid w:val="007501E2"/>
    <w:rsid w:val="00753932"/>
    <w:rsid w:val="00761BE2"/>
    <w:rsid w:val="0076238F"/>
    <w:rsid w:val="00762D65"/>
    <w:rsid w:val="00763992"/>
    <w:rsid w:val="00764A5C"/>
    <w:rsid w:val="00767F6A"/>
    <w:rsid w:val="00773537"/>
    <w:rsid w:val="00780245"/>
    <w:rsid w:val="00780C55"/>
    <w:rsid w:val="00781D61"/>
    <w:rsid w:val="00782013"/>
    <w:rsid w:val="00783CCF"/>
    <w:rsid w:val="00785CE8"/>
    <w:rsid w:val="00787947"/>
    <w:rsid w:val="00792089"/>
    <w:rsid w:val="007932DF"/>
    <w:rsid w:val="00795CC6"/>
    <w:rsid w:val="007965F5"/>
    <w:rsid w:val="007A016C"/>
    <w:rsid w:val="007A2666"/>
    <w:rsid w:val="007A2C6D"/>
    <w:rsid w:val="007A5368"/>
    <w:rsid w:val="007A7CBE"/>
    <w:rsid w:val="007B1C11"/>
    <w:rsid w:val="007B308D"/>
    <w:rsid w:val="007B3F8D"/>
    <w:rsid w:val="007B6AC2"/>
    <w:rsid w:val="007B7D5A"/>
    <w:rsid w:val="007C0FC4"/>
    <w:rsid w:val="007C1262"/>
    <w:rsid w:val="007C4677"/>
    <w:rsid w:val="007C573C"/>
    <w:rsid w:val="007D1CD0"/>
    <w:rsid w:val="007D20E3"/>
    <w:rsid w:val="007D3402"/>
    <w:rsid w:val="007D463F"/>
    <w:rsid w:val="007E2AC7"/>
    <w:rsid w:val="007E4C23"/>
    <w:rsid w:val="007E79AA"/>
    <w:rsid w:val="007E79FE"/>
    <w:rsid w:val="007F0E34"/>
    <w:rsid w:val="007F13A8"/>
    <w:rsid w:val="007F220A"/>
    <w:rsid w:val="007F7BB1"/>
    <w:rsid w:val="00801D4D"/>
    <w:rsid w:val="0080284C"/>
    <w:rsid w:val="00802C13"/>
    <w:rsid w:val="00803C25"/>
    <w:rsid w:val="008051C4"/>
    <w:rsid w:val="00806B90"/>
    <w:rsid w:val="008123C7"/>
    <w:rsid w:val="00812800"/>
    <w:rsid w:val="00816825"/>
    <w:rsid w:val="0082078E"/>
    <w:rsid w:val="00820999"/>
    <w:rsid w:val="00822048"/>
    <w:rsid w:val="00822176"/>
    <w:rsid w:val="00822D7A"/>
    <w:rsid w:val="008248D6"/>
    <w:rsid w:val="00825EFE"/>
    <w:rsid w:val="00834420"/>
    <w:rsid w:val="00835979"/>
    <w:rsid w:val="008418CE"/>
    <w:rsid w:val="008423C4"/>
    <w:rsid w:val="00843276"/>
    <w:rsid w:val="0085047C"/>
    <w:rsid w:val="008520A8"/>
    <w:rsid w:val="0085257D"/>
    <w:rsid w:val="00853472"/>
    <w:rsid w:val="00856808"/>
    <w:rsid w:val="008577A7"/>
    <w:rsid w:val="00860F9F"/>
    <w:rsid w:val="00861C30"/>
    <w:rsid w:val="008642F3"/>
    <w:rsid w:val="00864696"/>
    <w:rsid w:val="00864DA8"/>
    <w:rsid w:val="00864F3A"/>
    <w:rsid w:val="008656B3"/>
    <w:rsid w:val="008657B8"/>
    <w:rsid w:val="00865E18"/>
    <w:rsid w:val="00871207"/>
    <w:rsid w:val="00872877"/>
    <w:rsid w:val="00872E02"/>
    <w:rsid w:val="008734EE"/>
    <w:rsid w:val="00875E92"/>
    <w:rsid w:val="00877480"/>
    <w:rsid w:val="00882623"/>
    <w:rsid w:val="008827F8"/>
    <w:rsid w:val="0088286D"/>
    <w:rsid w:val="00884083"/>
    <w:rsid w:val="0088477C"/>
    <w:rsid w:val="00886862"/>
    <w:rsid w:val="00887556"/>
    <w:rsid w:val="00890801"/>
    <w:rsid w:val="00890C8E"/>
    <w:rsid w:val="00891ECE"/>
    <w:rsid w:val="00892246"/>
    <w:rsid w:val="00893E6E"/>
    <w:rsid w:val="0089460A"/>
    <w:rsid w:val="00894BF4"/>
    <w:rsid w:val="008951CA"/>
    <w:rsid w:val="008951CB"/>
    <w:rsid w:val="00895C7F"/>
    <w:rsid w:val="00897295"/>
    <w:rsid w:val="008A419E"/>
    <w:rsid w:val="008A4696"/>
    <w:rsid w:val="008A4A97"/>
    <w:rsid w:val="008B0A63"/>
    <w:rsid w:val="008B0DD3"/>
    <w:rsid w:val="008B2BFC"/>
    <w:rsid w:val="008B4A60"/>
    <w:rsid w:val="008B6838"/>
    <w:rsid w:val="008B6866"/>
    <w:rsid w:val="008B701E"/>
    <w:rsid w:val="008B73B1"/>
    <w:rsid w:val="008C22F5"/>
    <w:rsid w:val="008C28C7"/>
    <w:rsid w:val="008C45C9"/>
    <w:rsid w:val="008C5ABA"/>
    <w:rsid w:val="008C6D00"/>
    <w:rsid w:val="008C74B9"/>
    <w:rsid w:val="008C7AB6"/>
    <w:rsid w:val="008D0657"/>
    <w:rsid w:val="008D230A"/>
    <w:rsid w:val="008D31D6"/>
    <w:rsid w:val="008E073C"/>
    <w:rsid w:val="008E09BE"/>
    <w:rsid w:val="008E2878"/>
    <w:rsid w:val="008E3DE0"/>
    <w:rsid w:val="008E423A"/>
    <w:rsid w:val="008E44AC"/>
    <w:rsid w:val="008E4E4B"/>
    <w:rsid w:val="008F13AA"/>
    <w:rsid w:val="008F2A69"/>
    <w:rsid w:val="008F2A7D"/>
    <w:rsid w:val="008F31DD"/>
    <w:rsid w:val="008F3BC2"/>
    <w:rsid w:val="008F494C"/>
    <w:rsid w:val="008F569F"/>
    <w:rsid w:val="008F65B2"/>
    <w:rsid w:val="00900CD7"/>
    <w:rsid w:val="009063FC"/>
    <w:rsid w:val="00906D7B"/>
    <w:rsid w:val="009071A0"/>
    <w:rsid w:val="0091088E"/>
    <w:rsid w:val="00910954"/>
    <w:rsid w:val="00913CBC"/>
    <w:rsid w:val="00914DF4"/>
    <w:rsid w:val="00916C52"/>
    <w:rsid w:val="009173CA"/>
    <w:rsid w:val="0092090B"/>
    <w:rsid w:val="00924E9C"/>
    <w:rsid w:val="00927F4A"/>
    <w:rsid w:val="0093125E"/>
    <w:rsid w:val="00931A54"/>
    <w:rsid w:val="0093422B"/>
    <w:rsid w:val="009351F3"/>
    <w:rsid w:val="009353F0"/>
    <w:rsid w:val="0094125E"/>
    <w:rsid w:val="00942D82"/>
    <w:rsid w:val="00944880"/>
    <w:rsid w:val="00946DC7"/>
    <w:rsid w:val="00951094"/>
    <w:rsid w:val="009515BE"/>
    <w:rsid w:val="00951872"/>
    <w:rsid w:val="009518B0"/>
    <w:rsid w:val="009526B7"/>
    <w:rsid w:val="00954D95"/>
    <w:rsid w:val="0095516B"/>
    <w:rsid w:val="00956940"/>
    <w:rsid w:val="00957A8F"/>
    <w:rsid w:val="00961BAA"/>
    <w:rsid w:val="0096242A"/>
    <w:rsid w:val="0096609F"/>
    <w:rsid w:val="00971B2E"/>
    <w:rsid w:val="00972F6F"/>
    <w:rsid w:val="00973802"/>
    <w:rsid w:val="00982115"/>
    <w:rsid w:val="00982B02"/>
    <w:rsid w:val="00984B34"/>
    <w:rsid w:val="00986584"/>
    <w:rsid w:val="00986BB3"/>
    <w:rsid w:val="0099243E"/>
    <w:rsid w:val="00993013"/>
    <w:rsid w:val="009A0622"/>
    <w:rsid w:val="009A06A1"/>
    <w:rsid w:val="009A0E0D"/>
    <w:rsid w:val="009A1D7F"/>
    <w:rsid w:val="009A3247"/>
    <w:rsid w:val="009A34BC"/>
    <w:rsid w:val="009A4890"/>
    <w:rsid w:val="009A4DB7"/>
    <w:rsid w:val="009A55D4"/>
    <w:rsid w:val="009A73AA"/>
    <w:rsid w:val="009A73AB"/>
    <w:rsid w:val="009B6461"/>
    <w:rsid w:val="009B7541"/>
    <w:rsid w:val="009B7C42"/>
    <w:rsid w:val="009C1102"/>
    <w:rsid w:val="009C646E"/>
    <w:rsid w:val="009D079D"/>
    <w:rsid w:val="009D323F"/>
    <w:rsid w:val="009D51AE"/>
    <w:rsid w:val="009D566F"/>
    <w:rsid w:val="009D6AD9"/>
    <w:rsid w:val="009D6CD0"/>
    <w:rsid w:val="009E0B89"/>
    <w:rsid w:val="009E25BF"/>
    <w:rsid w:val="009E43E1"/>
    <w:rsid w:val="009E57C1"/>
    <w:rsid w:val="009F0241"/>
    <w:rsid w:val="009F337F"/>
    <w:rsid w:val="009F36F4"/>
    <w:rsid w:val="009F58F3"/>
    <w:rsid w:val="00A0065A"/>
    <w:rsid w:val="00A00D8F"/>
    <w:rsid w:val="00A0175E"/>
    <w:rsid w:val="00A01E19"/>
    <w:rsid w:val="00A04B56"/>
    <w:rsid w:val="00A077C0"/>
    <w:rsid w:val="00A13E23"/>
    <w:rsid w:val="00A14448"/>
    <w:rsid w:val="00A20CE8"/>
    <w:rsid w:val="00A229AF"/>
    <w:rsid w:val="00A23D34"/>
    <w:rsid w:val="00A23F84"/>
    <w:rsid w:val="00A3156F"/>
    <w:rsid w:val="00A31D95"/>
    <w:rsid w:val="00A31FAD"/>
    <w:rsid w:val="00A41787"/>
    <w:rsid w:val="00A432A1"/>
    <w:rsid w:val="00A43734"/>
    <w:rsid w:val="00A44BED"/>
    <w:rsid w:val="00A51284"/>
    <w:rsid w:val="00A52F46"/>
    <w:rsid w:val="00A534EF"/>
    <w:rsid w:val="00A545D0"/>
    <w:rsid w:val="00A548C0"/>
    <w:rsid w:val="00A57631"/>
    <w:rsid w:val="00A60089"/>
    <w:rsid w:val="00A62027"/>
    <w:rsid w:val="00A62C68"/>
    <w:rsid w:val="00A63A08"/>
    <w:rsid w:val="00A706D9"/>
    <w:rsid w:val="00A719C9"/>
    <w:rsid w:val="00A71F35"/>
    <w:rsid w:val="00A74C02"/>
    <w:rsid w:val="00A758B5"/>
    <w:rsid w:val="00A80AC8"/>
    <w:rsid w:val="00A813C6"/>
    <w:rsid w:val="00A8304D"/>
    <w:rsid w:val="00A87D8F"/>
    <w:rsid w:val="00A9245C"/>
    <w:rsid w:val="00A94423"/>
    <w:rsid w:val="00A96154"/>
    <w:rsid w:val="00AA031F"/>
    <w:rsid w:val="00AA2200"/>
    <w:rsid w:val="00AA2858"/>
    <w:rsid w:val="00AA4AF6"/>
    <w:rsid w:val="00AA4C0B"/>
    <w:rsid w:val="00AA522E"/>
    <w:rsid w:val="00AB2566"/>
    <w:rsid w:val="00AB41BA"/>
    <w:rsid w:val="00AB43D3"/>
    <w:rsid w:val="00AB5141"/>
    <w:rsid w:val="00AB6189"/>
    <w:rsid w:val="00AC0211"/>
    <w:rsid w:val="00AC38FC"/>
    <w:rsid w:val="00AC43A2"/>
    <w:rsid w:val="00AC461C"/>
    <w:rsid w:val="00AC63C7"/>
    <w:rsid w:val="00AC6FB4"/>
    <w:rsid w:val="00AD46A8"/>
    <w:rsid w:val="00AD62AF"/>
    <w:rsid w:val="00AE248F"/>
    <w:rsid w:val="00AE266B"/>
    <w:rsid w:val="00AE7720"/>
    <w:rsid w:val="00AF06DD"/>
    <w:rsid w:val="00AF08A9"/>
    <w:rsid w:val="00AF092F"/>
    <w:rsid w:val="00AF3ECD"/>
    <w:rsid w:val="00AF67CC"/>
    <w:rsid w:val="00AF6D05"/>
    <w:rsid w:val="00AF70D7"/>
    <w:rsid w:val="00AF7C21"/>
    <w:rsid w:val="00B00F8F"/>
    <w:rsid w:val="00B02369"/>
    <w:rsid w:val="00B03653"/>
    <w:rsid w:val="00B04B12"/>
    <w:rsid w:val="00B11357"/>
    <w:rsid w:val="00B16991"/>
    <w:rsid w:val="00B240D3"/>
    <w:rsid w:val="00B24526"/>
    <w:rsid w:val="00B25E34"/>
    <w:rsid w:val="00B27A93"/>
    <w:rsid w:val="00B27C01"/>
    <w:rsid w:val="00B27CEE"/>
    <w:rsid w:val="00B31E31"/>
    <w:rsid w:val="00B36239"/>
    <w:rsid w:val="00B41DC2"/>
    <w:rsid w:val="00B474C0"/>
    <w:rsid w:val="00B518FD"/>
    <w:rsid w:val="00B5333D"/>
    <w:rsid w:val="00B5539A"/>
    <w:rsid w:val="00B56DC7"/>
    <w:rsid w:val="00B63C00"/>
    <w:rsid w:val="00B66416"/>
    <w:rsid w:val="00B704B1"/>
    <w:rsid w:val="00B7067E"/>
    <w:rsid w:val="00B755DE"/>
    <w:rsid w:val="00B77D40"/>
    <w:rsid w:val="00B817D2"/>
    <w:rsid w:val="00B8396A"/>
    <w:rsid w:val="00B8397D"/>
    <w:rsid w:val="00B8484B"/>
    <w:rsid w:val="00B853FE"/>
    <w:rsid w:val="00B86323"/>
    <w:rsid w:val="00B90906"/>
    <w:rsid w:val="00B90F79"/>
    <w:rsid w:val="00B914E5"/>
    <w:rsid w:val="00B962DD"/>
    <w:rsid w:val="00B96D2F"/>
    <w:rsid w:val="00BA00A3"/>
    <w:rsid w:val="00BA1734"/>
    <w:rsid w:val="00BA5798"/>
    <w:rsid w:val="00BA5F00"/>
    <w:rsid w:val="00BA69EA"/>
    <w:rsid w:val="00BB06A7"/>
    <w:rsid w:val="00BB159D"/>
    <w:rsid w:val="00BB1896"/>
    <w:rsid w:val="00BB1E38"/>
    <w:rsid w:val="00BB2CCB"/>
    <w:rsid w:val="00BB3D7A"/>
    <w:rsid w:val="00BB3F6D"/>
    <w:rsid w:val="00BB7BD0"/>
    <w:rsid w:val="00BC0EB2"/>
    <w:rsid w:val="00BC21DD"/>
    <w:rsid w:val="00BC21E8"/>
    <w:rsid w:val="00BC3349"/>
    <w:rsid w:val="00BC3373"/>
    <w:rsid w:val="00BC34CD"/>
    <w:rsid w:val="00BC499C"/>
    <w:rsid w:val="00BC4D39"/>
    <w:rsid w:val="00BC5232"/>
    <w:rsid w:val="00BC6C59"/>
    <w:rsid w:val="00BD05A7"/>
    <w:rsid w:val="00BD1E2C"/>
    <w:rsid w:val="00BD718A"/>
    <w:rsid w:val="00BE1718"/>
    <w:rsid w:val="00BE4719"/>
    <w:rsid w:val="00BE7873"/>
    <w:rsid w:val="00BE791E"/>
    <w:rsid w:val="00BF0EDC"/>
    <w:rsid w:val="00BF11F6"/>
    <w:rsid w:val="00BF2D84"/>
    <w:rsid w:val="00BF4879"/>
    <w:rsid w:val="00BF6E4A"/>
    <w:rsid w:val="00C0039F"/>
    <w:rsid w:val="00C0325C"/>
    <w:rsid w:val="00C06D86"/>
    <w:rsid w:val="00C10339"/>
    <w:rsid w:val="00C11365"/>
    <w:rsid w:val="00C16774"/>
    <w:rsid w:val="00C2095A"/>
    <w:rsid w:val="00C257C8"/>
    <w:rsid w:val="00C25CB0"/>
    <w:rsid w:val="00C37C9A"/>
    <w:rsid w:val="00C409DD"/>
    <w:rsid w:val="00C41DCF"/>
    <w:rsid w:val="00C43E7E"/>
    <w:rsid w:val="00C4599A"/>
    <w:rsid w:val="00C459F4"/>
    <w:rsid w:val="00C45C44"/>
    <w:rsid w:val="00C534F2"/>
    <w:rsid w:val="00C54F27"/>
    <w:rsid w:val="00C56B63"/>
    <w:rsid w:val="00C6380C"/>
    <w:rsid w:val="00C6492B"/>
    <w:rsid w:val="00C64CD4"/>
    <w:rsid w:val="00C650D9"/>
    <w:rsid w:val="00C655F1"/>
    <w:rsid w:val="00C65C59"/>
    <w:rsid w:val="00C6670B"/>
    <w:rsid w:val="00C71A8B"/>
    <w:rsid w:val="00C815DE"/>
    <w:rsid w:val="00C8177E"/>
    <w:rsid w:val="00C83689"/>
    <w:rsid w:val="00C8408D"/>
    <w:rsid w:val="00C90BE4"/>
    <w:rsid w:val="00C91E55"/>
    <w:rsid w:val="00C96569"/>
    <w:rsid w:val="00C9762A"/>
    <w:rsid w:val="00C97B48"/>
    <w:rsid w:val="00CA05D8"/>
    <w:rsid w:val="00CA110B"/>
    <w:rsid w:val="00CA63DD"/>
    <w:rsid w:val="00CB3942"/>
    <w:rsid w:val="00CB4498"/>
    <w:rsid w:val="00CB572C"/>
    <w:rsid w:val="00CC35A0"/>
    <w:rsid w:val="00CC46F4"/>
    <w:rsid w:val="00CC77CB"/>
    <w:rsid w:val="00CD1F14"/>
    <w:rsid w:val="00CD4171"/>
    <w:rsid w:val="00CD66DB"/>
    <w:rsid w:val="00CD6A61"/>
    <w:rsid w:val="00CE0B6F"/>
    <w:rsid w:val="00CE60DA"/>
    <w:rsid w:val="00CE71A2"/>
    <w:rsid w:val="00CE7727"/>
    <w:rsid w:val="00CF17CC"/>
    <w:rsid w:val="00CF56A8"/>
    <w:rsid w:val="00CF6529"/>
    <w:rsid w:val="00D03349"/>
    <w:rsid w:val="00D04547"/>
    <w:rsid w:val="00D0454E"/>
    <w:rsid w:val="00D05DF5"/>
    <w:rsid w:val="00D07E63"/>
    <w:rsid w:val="00D10F57"/>
    <w:rsid w:val="00D1191F"/>
    <w:rsid w:val="00D1299A"/>
    <w:rsid w:val="00D12EBE"/>
    <w:rsid w:val="00D13620"/>
    <w:rsid w:val="00D170DA"/>
    <w:rsid w:val="00D177DC"/>
    <w:rsid w:val="00D20722"/>
    <w:rsid w:val="00D216F7"/>
    <w:rsid w:val="00D25DF1"/>
    <w:rsid w:val="00D27319"/>
    <w:rsid w:val="00D3055F"/>
    <w:rsid w:val="00D30A82"/>
    <w:rsid w:val="00D346BE"/>
    <w:rsid w:val="00D34B0F"/>
    <w:rsid w:val="00D3598B"/>
    <w:rsid w:val="00D3669D"/>
    <w:rsid w:val="00D36C36"/>
    <w:rsid w:val="00D37A2B"/>
    <w:rsid w:val="00D4149C"/>
    <w:rsid w:val="00D435EF"/>
    <w:rsid w:val="00D44463"/>
    <w:rsid w:val="00D45DEB"/>
    <w:rsid w:val="00D52C65"/>
    <w:rsid w:val="00D53A8E"/>
    <w:rsid w:val="00D53D16"/>
    <w:rsid w:val="00D54095"/>
    <w:rsid w:val="00D62EC0"/>
    <w:rsid w:val="00D66648"/>
    <w:rsid w:val="00D66FAA"/>
    <w:rsid w:val="00D70D96"/>
    <w:rsid w:val="00D710EC"/>
    <w:rsid w:val="00D72460"/>
    <w:rsid w:val="00D72984"/>
    <w:rsid w:val="00D7590E"/>
    <w:rsid w:val="00D76196"/>
    <w:rsid w:val="00D7763A"/>
    <w:rsid w:val="00D81B73"/>
    <w:rsid w:val="00D831BD"/>
    <w:rsid w:val="00D8335F"/>
    <w:rsid w:val="00D8445A"/>
    <w:rsid w:val="00D8489D"/>
    <w:rsid w:val="00D860BE"/>
    <w:rsid w:val="00D86212"/>
    <w:rsid w:val="00D875ED"/>
    <w:rsid w:val="00D87F6B"/>
    <w:rsid w:val="00D925A9"/>
    <w:rsid w:val="00D971AC"/>
    <w:rsid w:val="00DA1AB0"/>
    <w:rsid w:val="00DA629B"/>
    <w:rsid w:val="00DA6C87"/>
    <w:rsid w:val="00DA7980"/>
    <w:rsid w:val="00DB0CA0"/>
    <w:rsid w:val="00DB1A4B"/>
    <w:rsid w:val="00DB20B9"/>
    <w:rsid w:val="00DB27C3"/>
    <w:rsid w:val="00DB2E6D"/>
    <w:rsid w:val="00DB3EC7"/>
    <w:rsid w:val="00DB4866"/>
    <w:rsid w:val="00DB4FE0"/>
    <w:rsid w:val="00DB5DA1"/>
    <w:rsid w:val="00DB5E65"/>
    <w:rsid w:val="00DB664C"/>
    <w:rsid w:val="00DC1A57"/>
    <w:rsid w:val="00DC2C74"/>
    <w:rsid w:val="00DC2EE0"/>
    <w:rsid w:val="00DC5305"/>
    <w:rsid w:val="00DC6888"/>
    <w:rsid w:val="00DD25CD"/>
    <w:rsid w:val="00DD2A3A"/>
    <w:rsid w:val="00DD47FD"/>
    <w:rsid w:val="00DD6362"/>
    <w:rsid w:val="00DD7C9B"/>
    <w:rsid w:val="00DE16DE"/>
    <w:rsid w:val="00DE2E87"/>
    <w:rsid w:val="00DE4163"/>
    <w:rsid w:val="00DE5396"/>
    <w:rsid w:val="00DE602A"/>
    <w:rsid w:val="00DE68ED"/>
    <w:rsid w:val="00DF1180"/>
    <w:rsid w:val="00DF11C2"/>
    <w:rsid w:val="00DF44DA"/>
    <w:rsid w:val="00DF4848"/>
    <w:rsid w:val="00DF6224"/>
    <w:rsid w:val="00E03A4E"/>
    <w:rsid w:val="00E06792"/>
    <w:rsid w:val="00E07D53"/>
    <w:rsid w:val="00E12795"/>
    <w:rsid w:val="00E135DB"/>
    <w:rsid w:val="00E14857"/>
    <w:rsid w:val="00E148E8"/>
    <w:rsid w:val="00E155FE"/>
    <w:rsid w:val="00E307C1"/>
    <w:rsid w:val="00E31C0F"/>
    <w:rsid w:val="00E343DC"/>
    <w:rsid w:val="00E3665A"/>
    <w:rsid w:val="00E376C3"/>
    <w:rsid w:val="00E40C5B"/>
    <w:rsid w:val="00E410E0"/>
    <w:rsid w:val="00E4121E"/>
    <w:rsid w:val="00E4168C"/>
    <w:rsid w:val="00E446A5"/>
    <w:rsid w:val="00E458DF"/>
    <w:rsid w:val="00E45DA6"/>
    <w:rsid w:val="00E50E6F"/>
    <w:rsid w:val="00E51E06"/>
    <w:rsid w:val="00E52763"/>
    <w:rsid w:val="00E52FE1"/>
    <w:rsid w:val="00E606B5"/>
    <w:rsid w:val="00E606D3"/>
    <w:rsid w:val="00E616BD"/>
    <w:rsid w:val="00E6250B"/>
    <w:rsid w:val="00E62C6B"/>
    <w:rsid w:val="00E7028B"/>
    <w:rsid w:val="00E7053F"/>
    <w:rsid w:val="00E719B7"/>
    <w:rsid w:val="00E737C7"/>
    <w:rsid w:val="00E73971"/>
    <w:rsid w:val="00E739EB"/>
    <w:rsid w:val="00E74BED"/>
    <w:rsid w:val="00E75A85"/>
    <w:rsid w:val="00E75F94"/>
    <w:rsid w:val="00E77051"/>
    <w:rsid w:val="00E811B5"/>
    <w:rsid w:val="00E8196F"/>
    <w:rsid w:val="00E82ED9"/>
    <w:rsid w:val="00E83165"/>
    <w:rsid w:val="00E831B0"/>
    <w:rsid w:val="00E84219"/>
    <w:rsid w:val="00E8744D"/>
    <w:rsid w:val="00E930B0"/>
    <w:rsid w:val="00E93B52"/>
    <w:rsid w:val="00E97D24"/>
    <w:rsid w:val="00EA0E37"/>
    <w:rsid w:val="00EA3E12"/>
    <w:rsid w:val="00EA4F5C"/>
    <w:rsid w:val="00EA5321"/>
    <w:rsid w:val="00EA7B8C"/>
    <w:rsid w:val="00EB2E0E"/>
    <w:rsid w:val="00EB41C6"/>
    <w:rsid w:val="00EB41C9"/>
    <w:rsid w:val="00EB45B7"/>
    <w:rsid w:val="00EB67A0"/>
    <w:rsid w:val="00EB789F"/>
    <w:rsid w:val="00EC1C2D"/>
    <w:rsid w:val="00EC2039"/>
    <w:rsid w:val="00EC248B"/>
    <w:rsid w:val="00EC2B05"/>
    <w:rsid w:val="00EC3BD5"/>
    <w:rsid w:val="00EC61D0"/>
    <w:rsid w:val="00EC631A"/>
    <w:rsid w:val="00EC70BF"/>
    <w:rsid w:val="00EC7FF4"/>
    <w:rsid w:val="00ED0421"/>
    <w:rsid w:val="00ED127A"/>
    <w:rsid w:val="00EE01C2"/>
    <w:rsid w:val="00EE394A"/>
    <w:rsid w:val="00EE4670"/>
    <w:rsid w:val="00EE7E11"/>
    <w:rsid w:val="00EE7EB7"/>
    <w:rsid w:val="00EF0409"/>
    <w:rsid w:val="00EF2FA8"/>
    <w:rsid w:val="00EF5D7D"/>
    <w:rsid w:val="00EF708D"/>
    <w:rsid w:val="00EF7598"/>
    <w:rsid w:val="00F03D4D"/>
    <w:rsid w:val="00F03E17"/>
    <w:rsid w:val="00F06385"/>
    <w:rsid w:val="00F0731C"/>
    <w:rsid w:val="00F07361"/>
    <w:rsid w:val="00F07558"/>
    <w:rsid w:val="00F147E2"/>
    <w:rsid w:val="00F22AB5"/>
    <w:rsid w:val="00F23021"/>
    <w:rsid w:val="00F26D30"/>
    <w:rsid w:val="00F273B4"/>
    <w:rsid w:val="00F30776"/>
    <w:rsid w:val="00F31542"/>
    <w:rsid w:val="00F31945"/>
    <w:rsid w:val="00F3265B"/>
    <w:rsid w:val="00F3403D"/>
    <w:rsid w:val="00F360DC"/>
    <w:rsid w:val="00F43EBF"/>
    <w:rsid w:val="00F4562C"/>
    <w:rsid w:val="00F4581B"/>
    <w:rsid w:val="00F501B9"/>
    <w:rsid w:val="00F55A5A"/>
    <w:rsid w:val="00F56E76"/>
    <w:rsid w:val="00F57410"/>
    <w:rsid w:val="00F60E1B"/>
    <w:rsid w:val="00F6163D"/>
    <w:rsid w:val="00F63AA6"/>
    <w:rsid w:val="00F70163"/>
    <w:rsid w:val="00F71E10"/>
    <w:rsid w:val="00F73062"/>
    <w:rsid w:val="00F73E6F"/>
    <w:rsid w:val="00F74316"/>
    <w:rsid w:val="00F83745"/>
    <w:rsid w:val="00F8484B"/>
    <w:rsid w:val="00F84A59"/>
    <w:rsid w:val="00F8656F"/>
    <w:rsid w:val="00F92D07"/>
    <w:rsid w:val="00F94114"/>
    <w:rsid w:val="00F96988"/>
    <w:rsid w:val="00FA2E35"/>
    <w:rsid w:val="00FB06AA"/>
    <w:rsid w:val="00FB1403"/>
    <w:rsid w:val="00FB1A4A"/>
    <w:rsid w:val="00FB43DD"/>
    <w:rsid w:val="00FB568C"/>
    <w:rsid w:val="00FB69ED"/>
    <w:rsid w:val="00FC06F7"/>
    <w:rsid w:val="00FC1A1A"/>
    <w:rsid w:val="00FC562A"/>
    <w:rsid w:val="00FC7845"/>
    <w:rsid w:val="00FC7E46"/>
    <w:rsid w:val="00FD065A"/>
    <w:rsid w:val="00FD159C"/>
    <w:rsid w:val="00FD3936"/>
    <w:rsid w:val="00FD52E7"/>
    <w:rsid w:val="00FD5B38"/>
    <w:rsid w:val="00FE6B47"/>
    <w:rsid w:val="00FF1690"/>
    <w:rsid w:val="00FF1920"/>
    <w:rsid w:val="00FF2767"/>
    <w:rsid w:val="00FF5652"/>
    <w:rsid w:val="00FF677E"/>
    <w:rsid w:val="00FF6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31AA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EA6"/>
    <w:rPr>
      <w:rFonts w:ascii="Calibri" w:hAnsi="Calibri"/>
      <w:color w:val="3B3C3B"/>
      <w:sz w:val="24"/>
      <w:szCs w:val="24"/>
      <w:lang w:eastAsia="en-US"/>
    </w:rPr>
  </w:style>
  <w:style w:type="paragraph" w:styleId="Heading1">
    <w:name w:val="heading 1"/>
    <w:basedOn w:val="Normal"/>
    <w:next w:val="Normal"/>
    <w:link w:val="Heading1Char"/>
    <w:uiPriority w:val="9"/>
    <w:qFormat/>
    <w:rsid w:val="006B2603"/>
    <w:pPr>
      <w:keepNext/>
      <w:keepLines/>
      <w:spacing w:before="480"/>
      <w:ind w:left="432" w:hanging="432"/>
      <w:outlineLvl w:val="0"/>
    </w:pPr>
    <w:rPr>
      <w:rFonts w:eastAsia="Times New Roman"/>
      <w:b/>
      <w:bCs/>
      <w:color w:val="1A7399"/>
      <w:sz w:val="44"/>
      <w:szCs w:val="32"/>
    </w:rPr>
  </w:style>
  <w:style w:type="paragraph" w:styleId="Heading2">
    <w:name w:val="heading 2"/>
    <w:basedOn w:val="Normal"/>
    <w:next w:val="Normal"/>
    <w:link w:val="Heading2Char"/>
    <w:uiPriority w:val="9"/>
    <w:qFormat/>
    <w:rsid w:val="00EE4670"/>
    <w:pPr>
      <w:keepNext/>
      <w:keepLines/>
      <w:spacing w:before="200"/>
      <w:ind w:left="576" w:hanging="576"/>
      <w:outlineLvl w:val="1"/>
    </w:pPr>
    <w:rPr>
      <w:rFonts w:eastAsia="Times New Roman"/>
      <w:bCs/>
      <w:color w:val="1A7399"/>
      <w:sz w:val="36"/>
      <w:szCs w:val="26"/>
    </w:rPr>
  </w:style>
  <w:style w:type="paragraph" w:styleId="Heading3">
    <w:name w:val="heading 3"/>
    <w:basedOn w:val="Normal"/>
    <w:next w:val="Normal"/>
    <w:link w:val="Heading3Char"/>
    <w:uiPriority w:val="9"/>
    <w:qFormat/>
    <w:rsid w:val="00C54F27"/>
    <w:pPr>
      <w:keepNext/>
      <w:keepLines/>
      <w:spacing w:before="200" w:after="120"/>
      <w:ind w:left="720" w:hanging="720"/>
      <w:outlineLvl w:val="2"/>
    </w:pPr>
    <w:rPr>
      <w:rFonts w:eastAsia="Times New Roman"/>
      <w:bCs/>
      <w:color w:val="1A7399"/>
      <w:sz w:val="36"/>
    </w:rPr>
  </w:style>
  <w:style w:type="paragraph" w:styleId="Heading4">
    <w:name w:val="heading 4"/>
    <w:basedOn w:val="Normal"/>
    <w:next w:val="Normal"/>
    <w:link w:val="Heading4Char"/>
    <w:qFormat/>
    <w:rsid w:val="004F5250"/>
    <w:pPr>
      <w:keepNext/>
      <w:keepLines/>
      <w:spacing w:before="200"/>
      <w:ind w:left="864" w:hanging="864"/>
      <w:outlineLvl w:val="3"/>
    </w:pPr>
    <w:rPr>
      <w:rFonts w:ascii="Cambria" w:eastAsia="MS Gothic" w:hAnsi="Cambria"/>
      <w:b/>
      <w:bCs/>
      <w:i/>
      <w:iCs/>
      <w:color w:val="4F81BD"/>
    </w:rPr>
  </w:style>
  <w:style w:type="paragraph" w:styleId="Heading5">
    <w:name w:val="heading 5"/>
    <w:basedOn w:val="Normal"/>
    <w:next w:val="Normal"/>
    <w:link w:val="Heading5Char"/>
    <w:qFormat/>
    <w:rsid w:val="004F5250"/>
    <w:pPr>
      <w:keepNext/>
      <w:keepLines/>
      <w:spacing w:before="200"/>
      <w:ind w:left="1008" w:hanging="1008"/>
      <w:outlineLvl w:val="4"/>
    </w:pPr>
    <w:rPr>
      <w:rFonts w:ascii="Cambria" w:eastAsia="MS Gothic" w:hAnsi="Cambria"/>
      <w:color w:val="243F60"/>
    </w:rPr>
  </w:style>
  <w:style w:type="paragraph" w:styleId="Heading6">
    <w:name w:val="heading 6"/>
    <w:basedOn w:val="Normal"/>
    <w:next w:val="Normal"/>
    <w:link w:val="Heading6Char"/>
    <w:semiHidden/>
    <w:unhideWhenUsed/>
    <w:qFormat/>
    <w:rsid w:val="00825EFE"/>
    <w:pPr>
      <w:spacing w:before="240" w:after="60"/>
      <w:ind w:left="1152" w:hanging="1152"/>
      <w:outlineLvl w:val="5"/>
    </w:pPr>
    <w:rPr>
      <w:rFonts w:eastAsia="Times New Roman"/>
      <w:b/>
      <w:bCs/>
      <w:sz w:val="22"/>
      <w:szCs w:val="22"/>
    </w:rPr>
  </w:style>
  <w:style w:type="paragraph" w:styleId="Heading7">
    <w:name w:val="heading 7"/>
    <w:basedOn w:val="Normal"/>
    <w:next w:val="Normal"/>
    <w:link w:val="Heading7Char"/>
    <w:semiHidden/>
    <w:unhideWhenUsed/>
    <w:qFormat/>
    <w:rsid w:val="00825EFE"/>
    <w:pPr>
      <w:spacing w:before="240" w:after="60"/>
      <w:ind w:left="1296" w:hanging="1296"/>
      <w:outlineLvl w:val="6"/>
    </w:pPr>
    <w:rPr>
      <w:rFonts w:eastAsia="Times New Roman"/>
    </w:rPr>
  </w:style>
  <w:style w:type="paragraph" w:styleId="Heading8">
    <w:name w:val="heading 8"/>
    <w:basedOn w:val="Normal"/>
    <w:next w:val="Normal"/>
    <w:link w:val="Heading8Char"/>
    <w:semiHidden/>
    <w:unhideWhenUsed/>
    <w:qFormat/>
    <w:rsid w:val="00825EFE"/>
    <w:pPr>
      <w:spacing w:before="240" w:after="60"/>
      <w:ind w:left="1440" w:hanging="1440"/>
      <w:outlineLvl w:val="7"/>
    </w:pPr>
    <w:rPr>
      <w:rFonts w:eastAsia="Times New Roman"/>
      <w:i/>
      <w:iCs/>
    </w:rPr>
  </w:style>
  <w:style w:type="paragraph" w:styleId="Heading9">
    <w:name w:val="heading 9"/>
    <w:basedOn w:val="Normal"/>
    <w:next w:val="Normal"/>
    <w:link w:val="Heading9Char"/>
    <w:semiHidden/>
    <w:unhideWhenUsed/>
    <w:qFormat/>
    <w:rsid w:val="00825EFE"/>
    <w:pPr>
      <w:spacing w:before="240" w:after="60"/>
      <w:ind w:left="1584" w:hanging="1584"/>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2603"/>
    <w:rPr>
      <w:rFonts w:ascii="Calibri" w:eastAsia="Times New Roman" w:hAnsi="Calibri"/>
      <w:b/>
      <w:bCs/>
      <w:color w:val="1A7399"/>
      <w:sz w:val="44"/>
      <w:szCs w:val="32"/>
      <w:lang w:val="en-US" w:eastAsia="en-US"/>
    </w:rPr>
  </w:style>
  <w:style w:type="character" w:customStyle="1" w:styleId="Heading2Char">
    <w:name w:val="Heading 2 Char"/>
    <w:link w:val="Heading2"/>
    <w:uiPriority w:val="9"/>
    <w:rsid w:val="00EE4670"/>
    <w:rPr>
      <w:rFonts w:ascii="Calibri" w:eastAsia="Times New Roman" w:hAnsi="Calibri"/>
      <w:bCs/>
      <w:color w:val="1A7399"/>
      <w:sz w:val="36"/>
      <w:szCs w:val="26"/>
      <w:lang w:val="en-US" w:eastAsia="en-US"/>
    </w:rPr>
  </w:style>
  <w:style w:type="character" w:customStyle="1" w:styleId="Heading3Char">
    <w:name w:val="Heading 3 Char"/>
    <w:link w:val="Heading3"/>
    <w:uiPriority w:val="9"/>
    <w:rsid w:val="00C54F27"/>
    <w:rPr>
      <w:rFonts w:ascii="Calibri" w:eastAsia="Times New Roman" w:hAnsi="Calibri"/>
      <w:bCs/>
      <w:color w:val="1A7399"/>
      <w:sz w:val="36"/>
      <w:szCs w:val="24"/>
      <w:lang w:val="en-US" w:eastAsia="en-US"/>
    </w:rPr>
  </w:style>
  <w:style w:type="numbering" w:customStyle="1" w:styleId="Bulletlist">
    <w:name w:val="Bullet list"/>
    <w:rsid w:val="004F3D6C"/>
    <w:pPr>
      <w:numPr>
        <w:numId w:val="1"/>
      </w:numPr>
    </w:pPr>
  </w:style>
  <w:style w:type="paragraph" w:customStyle="1" w:styleId="DeptDate">
    <w:name w:val="Dept Date"/>
    <w:basedOn w:val="Normal"/>
    <w:qFormat/>
    <w:rsid w:val="00961BAA"/>
    <w:rPr>
      <w:rFonts w:eastAsia="Times New Roman"/>
      <w:bCs/>
      <w:color w:val="FFFFFF"/>
      <w:szCs w:val="48"/>
    </w:rPr>
  </w:style>
  <w:style w:type="paragraph" w:customStyle="1" w:styleId="DeptMainTitle">
    <w:name w:val="Dept Main Title"/>
    <w:basedOn w:val="Normal"/>
    <w:qFormat/>
    <w:rsid w:val="00961BAA"/>
    <w:pPr>
      <w:keepNext/>
      <w:keepLines/>
      <w:spacing w:after="120"/>
      <w:outlineLvl w:val="0"/>
    </w:pPr>
    <w:rPr>
      <w:rFonts w:eastAsia="Times New Roman"/>
      <w:bCs/>
      <w:color w:val="00ACD4"/>
      <w:sz w:val="40"/>
      <w:szCs w:val="48"/>
    </w:rPr>
  </w:style>
  <w:style w:type="paragraph" w:customStyle="1" w:styleId="DeptPaperno">
    <w:name w:val="Dept Paper no"/>
    <w:basedOn w:val="Papernumber"/>
    <w:qFormat/>
    <w:rsid w:val="00961BAA"/>
  </w:style>
  <w:style w:type="paragraph" w:customStyle="1" w:styleId="DeptPapername">
    <w:name w:val="Dept Paper name"/>
    <w:basedOn w:val="Papernumber"/>
    <w:qFormat/>
    <w:rsid w:val="00961BAA"/>
    <w:rPr>
      <w:b/>
      <w:color w:val="FFFFFF"/>
      <w:sz w:val="48"/>
    </w:rPr>
  </w:style>
  <w:style w:type="paragraph" w:styleId="Header">
    <w:name w:val="header"/>
    <w:basedOn w:val="Normal"/>
    <w:link w:val="HeaderChar"/>
    <w:uiPriority w:val="99"/>
    <w:rsid w:val="00FF6D77"/>
    <w:pPr>
      <w:tabs>
        <w:tab w:val="center" w:pos="4320"/>
        <w:tab w:val="right" w:pos="8640"/>
      </w:tabs>
    </w:pPr>
  </w:style>
  <w:style w:type="character" w:customStyle="1" w:styleId="HeaderChar">
    <w:name w:val="Header Char"/>
    <w:link w:val="Header"/>
    <w:uiPriority w:val="99"/>
    <w:rsid w:val="00FF6D77"/>
    <w:rPr>
      <w:rFonts w:ascii="Calibri" w:hAnsi="Calibri"/>
      <w:color w:val="3B3C3B"/>
      <w:sz w:val="24"/>
      <w:szCs w:val="24"/>
    </w:rPr>
  </w:style>
  <w:style w:type="paragraph" w:customStyle="1" w:styleId="Numberlist">
    <w:name w:val="Number list"/>
    <w:basedOn w:val="Normal"/>
    <w:next w:val="Normal"/>
    <w:qFormat/>
    <w:rsid w:val="004F3D6C"/>
    <w:pPr>
      <w:numPr>
        <w:numId w:val="2"/>
      </w:numPr>
      <w:spacing w:after="120"/>
      <w:ind w:left="357" w:hanging="357"/>
    </w:pPr>
    <w:rPr>
      <w:color w:val="3C3C3B"/>
    </w:rPr>
  </w:style>
  <w:style w:type="character" w:styleId="FollowedHyperlink">
    <w:name w:val="FollowedHyperlink"/>
    <w:uiPriority w:val="99"/>
    <w:semiHidden/>
    <w:unhideWhenUsed/>
    <w:rsid w:val="003C3E17"/>
    <w:rPr>
      <w:color w:val="800080"/>
      <w:u w:val="single"/>
    </w:rPr>
  </w:style>
  <w:style w:type="paragraph" w:styleId="BalloonText">
    <w:name w:val="Balloon Text"/>
    <w:basedOn w:val="Normal"/>
    <w:link w:val="BalloonTextChar"/>
    <w:rsid w:val="00961BAA"/>
    <w:rPr>
      <w:rFonts w:ascii="Lucida Grande" w:hAnsi="Lucida Grande" w:cs="Lucida Grande"/>
      <w:sz w:val="18"/>
      <w:szCs w:val="18"/>
    </w:rPr>
  </w:style>
  <w:style w:type="character" w:customStyle="1" w:styleId="BalloonTextChar">
    <w:name w:val="Balloon Text Char"/>
    <w:link w:val="BalloonText"/>
    <w:rsid w:val="00961BAA"/>
    <w:rPr>
      <w:rFonts w:ascii="Lucida Grande" w:hAnsi="Lucida Grande" w:cs="Lucida Grande"/>
      <w:color w:val="3B3C3B"/>
      <w:sz w:val="18"/>
      <w:szCs w:val="18"/>
      <w:lang w:val="en-US" w:eastAsia="en-US"/>
    </w:rPr>
  </w:style>
  <w:style w:type="paragraph" w:styleId="Footer">
    <w:name w:val="footer"/>
    <w:basedOn w:val="Normal"/>
    <w:link w:val="FooterChar"/>
    <w:uiPriority w:val="99"/>
    <w:rsid w:val="00E52763"/>
    <w:pPr>
      <w:tabs>
        <w:tab w:val="center" w:pos="4320"/>
        <w:tab w:val="right" w:pos="8640"/>
      </w:tabs>
    </w:pPr>
  </w:style>
  <w:style w:type="character" w:customStyle="1" w:styleId="FooterChar">
    <w:name w:val="Footer Char"/>
    <w:link w:val="Footer"/>
    <w:uiPriority w:val="99"/>
    <w:rsid w:val="00E52763"/>
    <w:rPr>
      <w:rFonts w:ascii="Calibri" w:hAnsi="Calibri"/>
      <w:color w:val="3B3C3B"/>
      <w:sz w:val="24"/>
      <w:szCs w:val="24"/>
    </w:rPr>
  </w:style>
  <w:style w:type="character" w:customStyle="1" w:styleId="Heading6Char">
    <w:name w:val="Heading 6 Char"/>
    <w:link w:val="Heading6"/>
    <w:semiHidden/>
    <w:rsid w:val="00825EFE"/>
    <w:rPr>
      <w:rFonts w:ascii="Calibri" w:eastAsia="Times New Roman" w:hAnsi="Calibri"/>
      <w:b/>
      <w:bCs/>
      <w:color w:val="3B3C3B"/>
      <w:sz w:val="22"/>
      <w:szCs w:val="22"/>
      <w:lang w:val="en-US" w:eastAsia="en-US"/>
    </w:rPr>
  </w:style>
  <w:style w:type="character" w:customStyle="1" w:styleId="Heading7Char">
    <w:name w:val="Heading 7 Char"/>
    <w:link w:val="Heading7"/>
    <w:semiHidden/>
    <w:rsid w:val="00825EFE"/>
    <w:rPr>
      <w:rFonts w:ascii="Calibri" w:eastAsia="Times New Roman" w:hAnsi="Calibri"/>
      <w:color w:val="3B3C3B"/>
      <w:sz w:val="24"/>
      <w:szCs w:val="24"/>
      <w:lang w:val="en-US" w:eastAsia="en-US"/>
    </w:rPr>
  </w:style>
  <w:style w:type="character" w:customStyle="1" w:styleId="Heading8Char">
    <w:name w:val="Heading 8 Char"/>
    <w:link w:val="Heading8"/>
    <w:semiHidden/>
    <w:rsid w:val="00825EFE"/>
    <w:rPr>
      <w:rFonts w:ascii="Calibri" w:eastAsia="Times New Roman" w:hAnsi="Calibri"/>
      <w:i/>
      <w:iCs/>
      <w:color w:val="3B3C3B"/>
      <w:sz w:val="24"/>
      <w:szCs w:val="24"/>
      <w:lang w:val="en-US" w:eastAsia="en-US"/>
    </w:rPr>
  </w:style>
  <w:style w:type="character" w:customStyle="1" w:styleId="Heading9Char">
    <w:name w:val="Heading 9 Char"/>
    <w:link w:val="Heading9"/>
    <w:semiHidden/>
    <w:rsid w:val="00825EFE"/>
    <w:rPr>
      <w:rFonts w:ascii="Calibri Light" w:eastAsia="Times New Roman" w:hAnsi="Calibri Light"/>
      <w:color w:val="3B3C3B"/>
      <w:sz w:val="22"/>
      <w:szCs w:val="22"/>
      <w:lang w:val="en-US" w:eastAsia="en-US"/>
    </w:rPr>
  </w:style>
  <w:style w:type="paragraph" w:styleId="ListParagraph">
    <w:name w:val="List Paragraph"/>
    <w:aliases w:val="List Paragraph1,Recommendation,bullet point list,List Paragraph11"/>
    <w:basedOn w:val="Normal"/>
    <w:link w:val="ListParagraphChar"/>
    <w:uiPriority w:val="34"/>
    <w:qFormat/>
    <w:rsid w:val="00480474"/>
    <w:pPr>
      <w:spacing w:after="200" w:line="276" w:lineRule="auto"/>
      <w:ind w:left="720"/>
      <w:contextualSpacing/>
    </w:pPr>
    <w:rPr>
      <w:rFonts w:eastAsia="Calibri"/>
      <w:color w:val="auto"/>
      <w:sz w:val="22"/>
      <w:szCs w:val="22"/>
    </w:rPr>
  </w:style>
  <w:style w:type="paragraph" w:customStyle="1" w:styleId="Papernumber">
    <w:name w:val="Paper number"/>
    <w:basedOn w:val="Normal"/>
    <w:qFormat/>
    <w:rsid w:val="00961BAA"/>
    <w:pPr>
      <w:keepNext/>
      <w:keepLines/>
      <w:spacing w:after="120"/>
      <w:outlineLvl w:val="0"/>
    </w:pPr>
    <w:rPr>
      <w:rFonts w:eastAsia="Times New Roman"/>
      <w:bCs/>
      <w:color w:val="00ACD4"/>
      <w:sz w:val="32"/>
      <w:szCs w:val="48"/>
    </w:rPr>
  </w:style>
  <w:style w:type="character" w:styleId="PageNumber">
    <w:name w:val="page number"/>
    <w:basedOn w:val="DefaultParagraphFont"/>
    <w:rsid w:val="00627C34"/>
  </w:style>
  <w:style w:type="character" w:customStyle="1" w:styleId="ListParagraphChar">
    <w:name w:val="List Paragraph Char"/>
    <w:aliases w:val="List Paragraph1 Char,Recommendation Char,bullet point list Char,List Paragraph11 Char"/>
    <w:link w:val="ListParagraph"/>
    <w:uiPriority w:val="34"/>
    <w:locked/>
    <w:rsid w:val="00480474"/>
    <w:rPr>
      <w:rFonts w:ascii="Calibri" w:eastAsia="Calibri" w:hAnsi="Calibri"/>
      <w:sz w:val="22"/>
      <w:szCs w:val="22"/>
      <w:lang w:eastAsia="en-US"/>
    </w:rPr>
  </w:style>
  <w:style w:type="character" w:styleId="Hyperlink">
    <w:name w:val="Hyperlink"/>
    <w:uiPriority w:val="99"/>
    <w:unhideWhenUsed/>
    <w:rsid w:val="00EC248B"/>
    <w:rPr>
      <w:color w:val="0563C1"/>
      <w:u w:val="single"/>
    </w:rPr>
  </w:style>
  <w:style w:type="paragraph" w:styleId="FootnoteText">
    <w:name w:val="footnote text"/>
    <w:basedOn w:val="Normal"/>
    <w:link w:val="FootnoteTextChar"/>
    <w:uiPriority w:val="99"/>
    <w:rsid w:val="00EC248B"/>
    <w:pPr>
      <w:spacing w:before="240"/>
    </w:pPr>
    <w:rPr>
      <w:rFonts w:eastAsia="Calibri"/>
      <w:color w:val="auto"/>
      <w:sz w:val="20"/>
      <w:szCs w:val="20"/>
    </w:rPr>
  </w:style>
  <w:style w:type="character" w:customStyle="1" w:styleId="FootnoteTextChar">
    <w:name w:val="Footnote Text Char"/>
    <w:link w:val="FootnoteText"/>
    <w:uiPriority w:val="99"/>
    <w:rsid w:val="00EC248B"/>
    <w:rPr>
      <w:rFonts w:ascii="Calibri" w:eastAsia="Calibri" w:hAnsi="Calibri"/>
      <w:lang w:eastAsia="en-US"/>
    </w:rPr>
  </w:style>
  <w:style w:type="character" w:styleId="FootnoteReference">
    <w:name w:val="footnote reference"/>
    <w:uiPriority w:val="99"/>
    <w:rsid w:val="00EC248B"/>
    <w:rPr>
      <w:vertAlign w:val="superscript"/>
    </w:rPr>
  </w:style>
  <w:style w:type="paragraph" w:customStyle="1" w:styleId="copyrighttextStyles">
    <w:name w:val="copyright text (Styles)"/>
    <w:basedOn w:val="Normal"/>
    <w:next w:val="Normal"/>
    <w:uiPriority w:val="99"/>
    <w:rsid w:val="00B914E5"/>
    <w:pPr>
      <w:widowControl w:val="0"/>
      <w:suppressAutoHyphens/>
      <w:autoSpaceDE w:val="0"/>
      <w:autoSpaceDN w:val="0"/>
      <w:adjustRightInd w:val="0"/>
      <w:spacing w:before="170" w:line="270" w:lineRule="atLeast"/>
      <w:textAlignment w:val="center"/>
    </w:pPr>
    <w:rPr>
      <w:rFonts w:ascii="Arial" w:eastAsia="Times New Roman" w:hAnsi="Arial" w:cs="TradeGothicLTStd-Light"/>
      <w:color w:val="000000"/>
      <w:sz w:val="16"/>
      <w:szCs w:val="16"/>
    </w:rPr>
  </w:style>
  <w:style w:type="paragraph" w:customStyle="1" w:styleId="Mainheading">
    <w:name w:val="Main heading"/>
    <w:basedOn w:val="Papernumber"/>
    <w:qFormat/>
    <w:rsid w:val="00022055"/>
    <w:rPr>
      <w:b/>
      <w:color w:val="FFFFFF"/>
      <w:sz w:val="48"/>
    </w:rPr>
  </w:style>
  <w:style w:type="paragraph" w:styleId="ListBullet3">
    <w:name w:val="List Bullet 3"/>
    <w:basedOn w:val="Normal"/>
    <w:rsid w:val="00536A0E"/>
    <w:pPr>
      <w:numPr>
        <w:numId w:val="6"/>
      </w:numPr>
      <w:contextualSpacing/>
    </w:pPr>
  </w:style>
  <w:style w:type="paragraph" w:styleId="ListNumber">
    <w:name w:val="List Number"/>
    <w:basedOn w:val="Normal"/>
    <w:rsid w:val="00536A0E"/>
    <w:pPr>
      <w:numPr>
        <w:numId w:val="7"/>
      </w:numPr>
      <w:contextualSpacing/>
    </w:pPr>
  </w:style>
  <w:style w:type="paragraph" w:styleId="ListBullet">
    <w:name w:val="List Bullet"/>
    <w:basedOn w:val="Normal"/>
    <w:rsid w:val="00536A0E"/>
    <w:pPr>
      <w:numPr>
        <w:numId w:val="4"/>
      </w:numPr>
      <w:contextualSpacing/>
    </w:pPr>
  </w:style>
  <w:style w:type="paragraph" w:styleId="ListBullet2">
    <w:name w:val="List Bullet 2"/>
    <w:basedOn w:val="Normal"/>
    <w:uiPriority w:val="99"/>
    <w:rsid w:val="00536A0E"/>
    <w:pPr>
      <w:numPr>
        <w:numId w:val="5"/>
      </w:numPr>
      <w:contextualSpacing/>
    </w:pPr>
  </w:style>
  <w:style w:type="paragraph" w:customStyle="1" w:styleId="Deptlistbullet3">
    <w:name w:val="Dept list bullet 3"/>
    <w:basedOn w:val="ListBullet3"/>
    <w:qFormat/>
    <w:rsid w:val="00536A0E"/>
    <w:pPr>
      <w:spacing w:after="120"/>
    </w:pPr>
  </w:style>
  <w:style w:type="paragraph" w:customStyle="1" w:styleId="Deptbulletlist1">
    <w:name w:val="Dept bullet list 1"/>
    <w:basedOn w:val="Normal"/>
    <w:qFormat/>
    <w:rsid w:val="00E719B7"/>
    <w:pPr>
      <w:spacing w:after="80"/>
    </w:pPr>
  </w:style>
  <w:style w:type="paragraph" w:customStyle="1" w:styleId="Deptbulletlist2">
    <w:name w:val="Dept bullet list 2"/>
    <w:basedOn w:val="ListBullet2"/>
    <w:qFormat/>
    <w:rsid w:val="00536A0E"/>
    <w:pPr>
      <w:numPr>
        <w:numId w:val="0"/>
      </w:numPr>
      <w:spacing w:after="120"/>
      <w:ind w:left="720" w:hanging="360"/>
    </w:pPr>
  </w:style>
  <w:style w:type="paragraph" w:customStyle="1" w:styleId="Deptnumberlist">
    <w:name w:val="Dept number list"/>
    <w:basedOn w:val="ListNumber"/>
    <w:qFormat/>
    <w:rsid w:val="00536A0E"/>
  </w:style>
  <w:style w:type="character" w:customStyle="1" w:styleId="Heading4Char">
    <w:name w:val="Heading 4 Char"/>
    <w:link w:val="Heading4"/>
    <w:rsid w:val="004F5250"/>
    <w:rPr>
      <w:rFonts w:eastAsia="MS Gothic"/>
      <w:b/>
      <w:bCs/>
      <w:i/>
      <w:iCs/>
      <w:color w:val="4F81BD"/>
      <w:sz w:val="24"/>
      <w:szCs w:val="24"/>
      <w:lang w:val="en-US" w:eastAsia="en-US"/>
    </w:rPr>
  </w:style>
  <w:style w:type="character" w:customStyle="1" w:styleId="Heading5Char">
    <w:name w:val="Heading 5 Char"/>
    <w:link w:val="Heading5"/>
    <w:rsid w:val="004F5250"/>
    <w:rPr>
      <w:rFonts w:eastAsia="MS Gothic"/>
      <w:color w:val="243F60"/>
      <w:sz w:val="24"/>
      <w:szCs w:val="24"/>
      <w:lang w:val="en-US" w:eastAsia="en-US"/>
    </w:rPr>
  </w:style>
  <w:style w:type="paragraph" w:customStyle="1" w:styleId="DeptHeading5figurestables">
    <w:name w:val="Dept Heading 5 (figures/tables)"/>
    <w:basedOn w:val="Heading5"/>
    <w:qFormat/>
    <w:rsid w:val="004F5250"/>
    <w:rPr>
      <w:rFonts w:ascii="Calibri" w:hAnsi="Calibri"/>
      <w:b/>
    </w:rPr>
  </w:style>
  <w:style w:type="paragraph" w:customStyle="1" w:styleId="DeptHeading4">
    <w:name w:val="Dept Heading 4"/>
    <w:basedOn w:val="Heading4"/>
    <w:qFormat/>
    <w:rsid w:val="004F5250"/>
    <w:rPr>
      <w:rFonts w:ascii="Calibri" w:hAnsi="Calibri"/>
    </w:rPr>
  </w:style>
  <w:style w:type="paragraph" w:customStyle="1" w:styleId="DeptHeading3">
    <w:name w:val="Dept Heading 3"/>
    <w:basedOn w:val="Heading3"/>
    <w:qFormat/>
    <w:rsid w:val="00753932"/>
    <w:rPr>
      <w:sz w:val="28"/>
    </w:rPr>
  </w:style>
  <w:style w:type="paragraph" w:customStyle="1" w:styleId="DeptHeading2">
    <w:name w:val="Dept Heading 2"/>
    <w:basedOn w:val="Heading2"/>
    <w:qFormat/>
    <w:rsid w:val="00C54F27"/>
    <w:pPr>
      <w:spacing w:after="120"/>
    </w:pPr>
  </w:style>
  <w:style w:type="paragraph" w:customStyle="1" w:styleId="DeptHeading1">
    <w:name w:val="Dept Heading 1"/>
    <w:basedOn w:val="Heading1"/>
    <w:autoRedefine/>
    <w:qFormat/>
    <w:rsid w:val="00A62C68"/>
    <w:pPr>
      <w:spacing w:after="120"/>
    </w:pPr>
    <w:rPr>
      <w:sz w:val="36"/>
    </w:rPr>
  </w:style>
  <w:style w:type="paragraph" w:customStyle="1" w:styleId="DeptBodytext">
    <w:name w:val="Dept Body text"/>
    <w:basedOn w:val="Normal"/>
    <w:autoRedefine/>
    <w:qFormat/>
    <w:rsid w:val="00F8656F"/>
    <w:pPr>
      <w:spacing w:before="120" w:after="240"/>
    </w:pPr>
  </w:style>
  <w:style w:type="paragraph" w:customStyle="1" w:styleId="copyrightHeading2Styles">
    <w:name w:val="copyrightHeading 2 (Styles)"/>
    <w:basedOn w:val="Normal"/>
    <w:next w:val="Normal"/>
    <w:uiPriority w:val="99"/>
    <w:rsid w:val="00B914E5"/>
    <w:pPr>
      <w:keepNext/>
      <w:widowControl w:val="0"/>
      <w:suppressAutoHyphens/>
      <w:autoSpaceDE w:val="0"/>
      <w:autoSpaceDN w:val="0"/>
      <w:adjustRightInd w:val="0"/>
      <w:spacing w:before="454" w:line="320" w:lineRule="atLeast"/>
      <w:textAlignment w:val="center"/>
    </w:pPr>
    <w:rPr>
      <w:rFonts w:ascii="Arial" w:eastAsia="Times New Roman" w:hAnsi="Arial" w:cs="Geogrotesque-Light"/>
      <w:color w:val="0072B9"/>
      <w:sz w:val="33"/>
      <w:szCs w:val="33"/>
    </w:rPr>
  </w:style>
  <w:style w:type="character" w:styleId="CommentReference">
    <w:name w:val="annotation reference"/>
    <w:uiPriority w:val="99"/>
    <w:unhideWhenUsed/>
    <w:rsid w:val="00F03D4D"/>
    <w:rPr>
      <w:sz w:val="16"/>
      <w:szCs w:val="16"/>
    </w:rPr>
  </w:style>
  <w:style w:type="paragraph" w:styleId="CommentText">
    <w:name w:val="annotation text"/>
    <w:basedOn w:val="Normal"/>
    <w:link w:val="CommentTextChar"/>
    <w:uiPriority w:val="99"/>
    <w:unhideWhenUsed/>
    <w:rsid w:val="00F03D4D"/>
    <w:pPr>
      <w:spacing w:after="160"/>
    </w:pPr>
    <w:rPr>
      <w:rFonts w:eastAsia="Calibri"/>
      <w:color w:val="auto"/>
      <w:sz w:val="20"/>
      <w:szCs w:val="20"/>
    </w:rPr>
  </w:style>
  <w:style w:type="paragraph" w:customStyle="1" w:styleId="Sourcetext">
    <w:name w:val="Source text"/>
    <w:basedOn w:val="Normal"/>
    <w:qFormat/>
    <w:rsid w:val="004F5250"/>
    <w:pPr>
      <w:pBdr>
        <w:bottom w:val="single" w:sz="4" w:space="1" w:color="auto"/>
      </w:pBdr>
    </w:pPr>
    <w:rPr>
      <w:rFonts w:ascii="Arial" w:hAnsi="Arial" w:cs="Arial"/>
      <w:b/>
      <w:sz w:val="16"/>
      <w:szCs w:val="16"/>
    </w:rPr>
  </w:style>
  <w:style w:type="paragraph" w:customStyle="1" w:styleId="DeptSourcetext">
    <w:name w:val="Dept Source text"/>
    <w:basedOn w:val="Sourcetext"/>
    <w:qFormat/>
    <w:rsid w:val="004F5250"/>
    <w:pPr>
      <w:spacing w:before="120"/>
    </w:pPr>
    <w:rPr>
      <w:rFonts w:eastAsia="Times New Roman" w:cs="Calibri"/>
      <w:bCs/>
      <w:color w:val="000000"/>
      <w:lang w:eastAsia="en-AU"/>
    </w:rPr>
  </w:style>
  <w:style w:type="paragraph" w:customStyle="1" w:styleId="DeptFootnotetext">
    <w:name w:val="Dept Footnote text"/>
    <w:basedOn w:val="Normal"/>
    <w:qFormat/>
    <w:rsid w:val="00961BAA"/>
    <w:rPr>
      <w:rFonts w:ascii="Arial" w:hAnsi="Arial" w:cs="Arial"/>
      <w:sz w:val="16"/>
      <w:szCs w:val="16"/>
    </w:rPr>
  </w:style>
  <w:style w:type="paragraph" w:customStyle="1" w:styleId="DeptTabletextleft">
    <w:name w:val="Dept Table text left"/>
    <w:basedOn w:val="Normal"/>
    <w:qFormat/>
    <w:rsid w:val="00961BAA"/>
    <w:rPr>
      <w:rFonts w:eastAsia="Calibri"/>
      <w:sz w:val="20"/>
      <w:lang w:eastAsia="en-AU"/>
    </w:rPr>
  </w:style>
  <w:style w:type="paragraph" w:customStyle="1" w:styleId="DeptTabletextright">
    <w:name w:val="Dept Table text right"/>
    <w:basedOn w:val="Normal"/>
    <w:qFormat/>
    <w:rsid w:val="00961BAA"/>
    <w:pPr>
      <w:jc w:val="right"/>
    </w:pPr>
    <w:rPr>
      <w:rFonts w:eastAsia="Calibri"/>
      <w:sz w:val="20"/>
      <w:lang w:eastAsia="en-AU"/>
    </w:rPr>
  </w:style>
  <w:style w:type="character" w:customStyle="1" w:styleId="CommentTextChar">
    <w:name w:val="Comment Text Char"/>
    <w:link w:val="CommentText"/>
    <w:uiPriority w:val="99"/>
    <w:rsid w:val="00F03D4D"/>
    <w:rPr>
      <w:rFonts w:ascii="Calibri" w:eastAsia="Calibri" w:hAnsi="Calibri"/>
      <w:lang w:eastAsia="en-US"/>
    </w:rPr>
  </w:style>
  <w:style w:type="paragraph" w:styleId="TOCHeading">
    <w:name w:val="TOC Heading"/>
    <w:basedOn w:val="Heading1"/>
    <w:next w:val="Normal"/>
    <w:uiPriority w:val="39"/>
    <w:unhideWhenUsed/>
    <w:qFormat/>
    <w:rsid w:val="00DE16DE"/>
    <w:pPr>
      <w:spacing w:before="240" w:line="259" w:lineRule="auto"/>
      <w:ind w:left="0" w:firstLine="0"/>
      <w:outlineLvl w:val="9"/>
    </w:pPr>
    <w:rPr>
      <w:rFonts w:ascii="Calibri Light" w:hAnsi="Calibri Light"/>
      <w:b w:val="0"/>
      <w:bCs w:val="0"/>
      <w:color w:val="2E74B5"/>
      <w:sz w:val="32"/>
    </w:rPr>
  </w:style>
  <w:style w:type="paragraph" w:styleId="TOC1">
    <w:name w:val="toc 1"/>
    <w:basedOn w:val="Normal"/>
    <w:next w:val="Normal"/>
    <w:autoRedefine/>
    <w:uiPriority w:val="39"/>
    <w:rsid w:val="00683475"/>
    <w:pPr>
      <w:tabs>
        <w:tab w:val="right" w:leader="dot" w:pos="8681"/>
      </w:tabs>
    </w:pPr>
    <w:rPr>
      <w:b/>
      <w:noProof/>
    </w:rPr>
  </w:style>
  <w:style w:type="paragraph" w:styleId="TOC2">
    <w:name w:val="toc 2"/>
    <w:basedOn w:val="Normal"/>
    <w:next w:val="Normal"/>
    <w:autoRedefine/>
    <w:uiPriority w:val="39"/>
    <w:rsid w:val="00DE16DE"/>
    <w:pPr>
      <w:ind w:left="240"/>
    </w:pPr>
  </w:style>
  <w:style w:type="paragraph" w:styleId="TOC3">
    <w:name w:val="toc 3"/>
    <w:basedOn w:val="Normal"/>
    <w:next w:val="Normal"/>
    <w:autoRedefine/>
    <w:uiPriority w:val="39"/>
    <w:rsid w:val="00DE16DE"/>
    <w:pPr>
      <w:ind w:left="480"/>
    </w:pPr>
  </w:style>
  <w:style w:type="paragraph" w:styleId="CommentSubject">
    <w:name w:val="annotation subject"/>
    <w:basedOn w:val="CommentText"/>
    <w:next w:val="CommentText"/>
    <w:link w:val="CommentSubjectChar"/>
    <w:rsid w:val="00563E75"/>
    <w:pPr>
      <w:spacing w:after="0"/>
    </w:pPr>
    <w:rPr>
      <w:rFonts w:eastAsia="Cambria"/>
      <w:b/>
      <w:bCs/>
      <w:color w:val="3B3C3B"/>
      <w:lang w:val="en-US"/>
    </w:rPr>
  </w:style>
  <w:style w:type="character" w:customStyle="1" w:styleId="CommentSubjectChar">
    <w:name w:val="Comment Subject Char"/>
    <w:basedOn w:val="CommentTextChar"/>
    <w:link w:val="CommentSubject"/>
    <w:rsid w:val="00563E75"/>
    <w:rPr>
      <w:rFonts w:ascii="Calibri" w:eastAsia="Calibri" w:hAnsi="Calibri"/>
      <w:b/>
      <w:bCs/>
      <w:color w:val="3B3C3B"/>
      <w:lang w:val="en-US" w:eastAsia="en-US"/>
    </w:rPr>
  </w:style>
  <w:style w:type="paragraph" w:styleId="BodyText">
    <w:name w:val="Body Text"/>
    <w:basedOn w:val="Normal"/>
    <w:link w:val="BodyTextChar"/>
    <w:uiPriority w:val="99"/>
    <w:unhideWhenUsed/>
    <w:rsid w:val="008734EE"/>
    <w:pPr>
      <w:spacing w:after="120" w:line="276" w:lineRule="auto"/>
    </w:pPr>
    <w:rPr>
      <w:rFonts w:eastAsia="Calibri"/>
      <w:color w:val="auto"/>
      <w:sz w:val="22"/>
      <w:szCs w:val="22"/>
    </w:rPr>
  </w:style>
  <w:style w:type="character" w:customStyle="1" w:styleId="BodyTextChar">
    <w:name w:val="Body Text Char"/>
    <w:basedOn w:val="DefaultParagraphFont"/>
    <w:link w:val="BodyText"/>
    <w:uiPriority w:val="99"/>
    <w:rsid w:val="008734EE"/>
    <w:rPr>
      <w:rFonts w:ascii="Calibri" w:eastAsia="Calibri" w:hAnsi="Calibri"/>
      <w:sz w:val="22"/>
      <w:szCs w:val="22"/>
      <w:lang w:eastAsia="en-US"/>
    </w:rPr>
  </w:style>
  <w:style w:type="paragraph" w:styleId="Revision">
    <w:name w:val="Revision"/>
    <w:hidden/>
    <w:uiPriority w:val="71"/>
    <w:rsid w:val="00EC631A"/>
    <w:rPr>
      <w:rFonts w:ascii="Calibri" w:hAnsi="Calibri"/>
      <w:color w:val="3B3C3B"/>
      <w:sz w:val="24"/>
      <w:szCs w:val="24"/>
      <w:lang w:val="en-US" w:eastAsia="en-US"/>
    </w:rPr>
  </w:style>
  <w:style w:type="paragraph" w:customStyle="1" w:styleId="BoxtextQUESTIONITALICS">
    <w:name w:val="Box text QUESTION ITALICS"/>
    <w:basedOn w:val="Normal"/>
    <w:qFormat/>
    <w:rsid w:val="00074259"/>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after="240"/>
      <w:ind w:left="198"/>
    </w:pPr>
    <w:rPr>
      <w:rFonts w:eastAsiaTheme="minorHAnsi" w:cstheme="minorBidi"/>
      <w:b/>
      <w:i/>
      <w:color w:val="auto"/>
      <w:sz w:val="22"/>
      <w:szCs w:val="22"/>
    </w:rPr>
  </w:style>
  <w:style w:type="paragraph" w:customStyle="1" w:styleId="Numberedlist">
    <w:name w:val="Numbered list"/>
    <w:basedOn w:val="Normal"/>
    <w:next w:val="Normal"/>
    <w:autoRedefine/>
    <w:qFormat/>
    <w:rsid w:val="00E14857"/>
    <w:pPr>
      <w:widowControl w:val="0"/>
      <w:numPr>
        <w:numId w:val="19"/>
      </w:numPr>
      <w:spacing w:after="120" w:line="276" w:lineRule="auto"/>
      <w:contextualSpacing/>
    </w:pPr>
    <w:rPr>
      <w:rFonts w:asciiTheme="majorHAnsi" w:eastAsia="Times New Roman" w:hAnsiTheme="majorHAnsi"/>
      <w:color w:val="auto"/>
      <w:sz w:val="22"/>
      <w:lang w:eastAsia="en-GB"/>
    </w:rPr>
  </w:style>
  <w:style w:type="paragraph" w:styleId="NoSpacing">
    <w:name w:val="No Spacing"/>
    <w:uiPriority w:val="1"/>
    <w:qFormat/>
    <w:rsid w:val="009B7C4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0789">
      <w:bodyDiv w:val="1"/>
      <w:marLeft w:val="0"/>
      <w:marRight w:val="0"/>
      <w:marTop w:val="0"/>
      <w:marBottom w:val="0"/>
      <w:divBdr>
        <w:top w:val="none" w:sz="0" w:space="0" w:color="auto"/>
        <w:left w:val="none" w:sz="0" w:space="0" w:color="auto"/>
        <w:bottom w:val="none" w:sz="0" w:space="0" w:color="auto"/>
        <w:right w:val="none" w:sz="0" w:space="0" w:color="auto"/>
      </w:divBdr>
    </w:div>
    <w:div w:id="115489534">
      <w:bodyDiv w:val="1"/>
      <w:marLeft w:val="0"/>
      <w:marRight w:val="0"/>
      <w:marTop w:val="0"/>
      <w:marBottom w:val="0"/>
      <w:divBdr>
        <w:top w:val="none" w:sz="0" w:space="0" w:color="auto"/>
        <w:left w:val="none" w:sz="0" w:space="0" w:color="auto"/>
        <w:bottom w:val="none" w:sz="0" w:space="0" w:color="auto"/>
        <w:right w:val="none" w:sz="0" w:space="0" w:color="auto"/>
      </w:divBdr>
    </w:div>
    <w:div w:id="164175481">
      <w:bodyDiv w:val="1"/>
      <w:marLeft w:val="0"/>
      <w:marRight w:val="0"/>
      <w:marTop w:val="0"/>
      <w:marBottom w:val="0"/>
      <w:divBdr>
        <w:top w:val="none" w:sz="0" w:space="0" w:color="auto"/>
        <w:left w:val="none" w:sz="0" w:space="0" w:color="auto"/>
        <w:bottom w:val="none" w:sz="0" w:space="0" w:color="auto"/>
        <w:right w:val="none" w:sz="0" w:space="0" w:color="auto"/>
      </w:divBdr>
    </w:div>
    <w:div w:id="231431883">
      <w:bodyDiv w:val="1"/>
      <w:marLeft w:val="0"/>
      <w:marRight w:val="0"/>
      <w:marTop w:val="0"/>
      <w:marBottom w:val="0"/>
      <w:divBdr>
        <w:top w:val="none" w:sz="0" w:space="0" w:color="auto"/>
        <w:left w:val="none" w:sz="0" w:space="0" w:color="auto"/>
        <w:bottom w:val="none" w:sz="0" w:space="0" w:color="auto"/>
        <w:right w:val="none" w:sz="0" w:space="0" w:color="auto"/>
      </w:divBdr>
    </w:div>
    <w:div w:id="232469479">
      <w:bodyDiv w:val="1"/>
      <w:marLeft w:val="0"/>
      <w:marRight w:val="0"/>
      <w:marTop w:val="0"/>
      <w:marBottom w:val="0"/>
      <w:divBdr>
        <w:top w:val="none" w:sz="0" w:space="0" w:color="auto"/>
        <w:left w:val="none" w:sz="0" w:space="0" w:color="auto"/>
        <w:bottom w:val="none" w:sz="0" w:space="0" w:color="auto"/>
        <w:right w:val="none" w:sz="0" w:space="0" w:color="auto"/>
      </w:divBdr>
    </w:div>
    <w:div w:id="398477176">
      <w:bodyDiv w:val="1"/>
      <w:marLeft w:val="0"/>
      <w:marRight w:val="0"/>
      <w:marTop w:val="0"/>
      <w:marBottom w:val="0"/>
      <w:divBdr>
        <w:top w:val="none" w:sz="0" w:space="0" w:color="auto"/>
        <w:left w:val="none" w:sz="0" w:space="0" w:color="auto"/>
        <w:bottom w:val="none" w:sz="0" w:space="0" w:color="auto"/>
        <w:right w:val="none" w:sz="0" w:space="0" w:color="auto"/>
      </w:divBdr>
    </w:div>
    <w:div w:id="452820759">
      <w:bodyDiv w:val="1"/>
      <w:marLeft w:val="0"/>
      <w:marRight w:val="0"/>
      <w:marTop w:val="0"/>
      <w:marBottom w:val="0"/>
      <w:divBdr>
        <w:top w:val="none" w:sz="0" w:space="0" w:color="auto"/>
        <w:left w:val="none" w:sz="0" w:space="0" w:color="auto"/>
        <w:bottom w:val="none" w:sz="0" w:space="0" w:color="auto"/>
        <w:right w:val="none" w:sz="0" w:space="0" w:color="auto"/>
      </w:divBdr>
    </w:div>
    <w:div w:id="1015379753">
      <w:bodyDiv w:val="1"/>
      <w:marLeft w:val="0"/>
      <w:marRight w:val="0"/>
      <w:marTop w:val="0"/>
      <w:marBottom w:val="0"/>
      <w:divBdr>
        <w:top w:val="none" w:sz="0" w:space="0" w:color="auto"/>
        <w:left w:val="none" w:sz="0" w:space="0" w:color="auto"/>
        <w:bottom w:val="none" w:sz="0" w:space="0" w:color="auto"/>
        <w:right w:val="none" w:sz="0" w:space="0" w:color="auto"/>
      </w:divBdr>
    </w:div>
    <w:div w:id="1477137988">
      <w:bodyDiv w:val="1"/>
      <w:marLeft w:val="0"/>
      <w:marRight w:val="0"/>
      <w:marTop w:val="0"/>
      <w:marBottom w:val="0"/>
      <w:divBdr>
        <w:top w:val="none" w:sz="0" w:space="0" w:color="auto"/>
        <w:left w:val="none" w:sz="0" w:space="0" w:color="auto"/>
        <w:bottom w:val="none" w:sz="0" w:space="0" w:color="auto"/>
        <w:right w:val="none" w:sz="0" w:space="0" w:color="auto"/>
      </w:divBdr>
    </w:div>
    <w:div w:id="1585525824">
      <w:bodyDiv w:val="1"/>
      <w:marLeft w:val="0"/>
      <w:marRight w:val="0"/>
      <w:marTop w:val="0"/>
      <w:marBottom w:val="0"/>
      <w:divBdr>
        <w:top w:val="none" w:sz="0" w:space="0" w:color="auto"/>
        <w:left w:val="none" w:sz="0" w:space="0" w:color="auto"/>
        <w:bottom w:val="none" w:sz="0" w:space="0" w:color="auto"/>
        <w:right w:val="none" w:sz="0" w:space="0" w:color="auto"/>
      </w:divBdr>
    </w:div>
    <w:div w:id="2082362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defense.gov/news/newsarticle.aspx?id=120052" TargetMode="External"/><Relationship Id="rId3" Type="http://schemas.openxmlformats.org/officeDocument/2006/relationships/hyperlink" Target="http://www.itu.int/dms_pub/itu-r/opb/rep/R-REP-M.2290-2014-PDF-E.pdf" TargetMode="External"/><Relationship Id="rId7" Type="http://schemas.openxmlformats.org/officeDocument/2006/relationships/hyperlink" Target="http://www.ic.gc.ca/eic/site/ic-gc.nsf/eng/07389.html" TargetMode="External"/><Relationship Id="rId2" Type="http://schemas.openxmlformats.org/officeDocument/2006/relationships/hyperlink" Target="http://www.wififorward.org/wp-content/uploads/2014/01/Value-of-Unlicensed-Spectrum-to-the-US-Economy-Full-Report.pdf" TargetMode="External"/><Relationship Id="rId1" Type="http://schemas.openxmlformats.org/officeDocument/2006/relationships/hyperlink" Target="http://engage.acma.gov.au/wp-content/uploads/2014/04/Economic-impacts-of-mobile-broadband_Final2.pdf" TargetMode="External"/><Relationship Id="rId6" Type="http://schemas.openxmlformats.org/officeDocument/2006/relationships/hyperlink" Target="http://www.broadband.gov/plan/5-spectrum/" TargetMode="External"/><Relationship Id="rId5" Type="http://schemas.openxmlformats.org/officeDocument/2006/relationships/hyperlink" Target="https://www.gov.uk/government/uploads/system/uploads/attachment_data/file/77429/Spectrum_Release.pdf" TargetMode="External"/><Relationship Id="rId10" Type="http://schemas.openxmlformats.org/officeDocument/2006/relationships/hyperlink" Target="http://www.dpmc.gov.au/pmc/publication/lower-cost-business-friendly-environment-reducing-regulatory-burden" TargetMode="External"/><Relationship Id="rId4" Type="http://schemas.openxmlformats.org/officeDocument/2006/relationships/hyperlink" Target="http://www.acma.gov.au/theACMA/Library/researchacma/Research-reports/economic-impacts-of-mobile-broadband-1" TargetMode="External"/><Relationship Id="rId9" Type="http://schemas.openxmlformats.org/officeDocument/2006/relationships/hyperlink" Target="http://fedscoop.com/disa-spectrum-forecast-to-indust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D664-F0C7-4209-9CBA-5852D26EF39F}">
  <ds:schemaRefs>
    <ds:schemaRef ds:uri="http://schemas.microsoft.com/office/2006/metadata/longProperties"/>
  </ds:schemaRefs>
</ds:datastoreItem>
</file>

<file path=customXml/itemProps2.xml><?xml version="1.0" encoding="utf-8"?>
<ds:datastoreItem xmlns:ds="http://schemas.openxmlformats.org/officeDocument/2006/customXml" ds:itemID="{45CF327B-965D-43FA-82A9-A5CD836F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902B0D2A.dotm</Template>
  <TotalTime>0</TotalTime>
  <Pages>45</Pages>
  <Words>12332</Words>
  <Characters>74711</Characters>
  <Application>Microsoft Office Word</Application>
  <DocSecurity>0</DocSecurity>
  <Lines>622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86870</CharactersWithSpaces>
  <SharedDoc>false</SharedDoc>
  <HLinks>
    <vt:vector size="24" baseType="variant">
      <vt:variant>
        <vt:i4>7471148</vt:i4>
      </vt:variant>
      <vt:variant>
        <vt:i4>6</vt:i4>
      </vt:variant>
      <vt:variant>
        <vt:i4>0</vt:i4>
      </vt:variant>
      <vt:variant>
        <vt:i4>5</vt:i4>
      </vt:variant>
      <vt:variant>
        <vt:lpwstr>http://www.itsanhonour.gov.au/</vt:lpwstr>
      </vt:variant>
      <vt:variant>
        <vt:lpwstr/>
      </vt:variant>
      <vt:variant>
        <vt:i4>2752613</vt:i4>
      </vt:variant>
      <vt:variant>
        <vt:i4>3</vt:i4>
      </vt:variant>
      <vt:variant>
        <vt:i4>0</vt:i4>
      </vt:variant>
      <vt:variant>
        <vt:i4>5</vt:i4>
      </vt:variant>
      <vt:variant>
        <vt:lpwstr>http://www.creativecommons.org/licenses/by/3.0/au/</vt:lpwstr>
      </vt:variant>
      <vt:variant>
        <vt:lpwstr/>
      </vt:variant>
      <vt:variant>
        <vt:i4>7274528</vt:i4>
      </vt:variant>
      <vt:variant>
        <vt:i4>3</vt:i4>
      </vt:variant>
      <vt:variant>
        <vt:i4>0</vt:i4>
      </vt:variant>
      <vt:variant>
        <vt:i4>5</vt:i4>
      </vt:variant>
      <vt:variant>
        <vt:lpwstr>http://www.acma.gov.au/theACMA/Library/researchacma/Research-reports/economic-impacts-of-mobile-broadband-1</vt:lpwstr>
      </vt:variant>
      <vt:variant>
        <vt:lpwstr/>
      </vt:variant>
      <vt:variant>
        <vt:i4>7274528</vt:i4>
      </vt:variant>
      <vt:variant>
        <vt:i4>0</vt:i4>
      </vt:variant>
      <vt:variant>
        <vt:i4>0</vt:i4>
      </vt:variant>
      <vt:variant>
        <vt:i4>5</vt:i4>
      </vt:variant>
      <vt:variant>
        <vt:lpwstr>http://www.acma.gov.au/theACMA/Library/researchacma/Research-reports/economic-impacts-of-mobile-broadband-1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2015-05-14T04:34:00Z</dcterms:created>
  <dcterms:modified xsi:type="dcterms:W3CDTF">2015-05-21T04:01:00Z</dcterms:modified>
</cp:coreProperties>
</file>