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241FC1" w14:textId="77777777" w:rsidR="00C61801" w:rsidRPr="00866A71" w:rsidRDefault="00C61801" w:rsidP="009475AE">
      <w:pPr>
        <w:pStyle w:val="DBCDElogo"/>
        <w:spacing w:line="276" w:lineRule="auto"/>
      </w:pPr>
    </w:p>
    <w:p w14:paraId="3BE2EB95" w14:textId="77777777" w:rsidR="00583203" w:rsidRDefault="00583203" w:rsidP="009475AE">
      <w:pPr>
        <w:pStyle w:val="Titleheading"/>
        <w:spacing w:line="276" w:lineRule="auto"/>
        <w:contextualSpacing/>
      </w:pPr>
    </w:p>
    <w:p w14:paraId="0B747D03" w14:textId="77777777" w:rsidR="00583203" w:rsidRDefault="00583203" w:rsidP="009475AE">
      <w:pPr>
        <w:pStyle w:val="Titleheading"/>
        <w:spacing w:line="276" w:lineRule="auto"/>
        <w:contextualSpacing/>
      </w:pPr>
    </w:p>
    <w:p w14:paraId="0EEC9351" w14:textId="5F7106FE" w:rsidR="009B3DEC" w:rsidRDefault="00B11D29" w:rsidP="009475AE">
      <w:pPr>
        <w:pStyle w:val="Titleheading"/>
        <w:spacing w:line="276" w:lineRule="auto"/>
        <w:contextualSpacing/>
      </w:pPr>
      <w:r>
        <w:t xml:space="preserve">Migration Assurance </w:t>
      </w:r>
      <w:r w:rsidR="002968F3">
        <w:t>Policy</w:t>
      </w:r>
    </w:p>
    <w:p w14:paraId="6ABB1648" w14:textId="43ABB3A5" w:rsidR="0096218C" w:rsidRPr="0096218C" w:rsidRDefault="0096218C" w:rsidP="009475AE">
      <w:pPr>
        <w:pStyle w:val="Titledate"/>
        <w:spacing w:line="276" w:lineRule="auto"/>
        <w:rPr>
          <w:rFonts w:asciiTheme="minorHAnsi" w:eastAsiaTheme="minorHAnsi" w:hAnsiTheme="minorHAnsi" w:cstheme="minorBidi"/>
          <w:b w:val="0"/>
          <w:color w:val="005391"/>
          <w:kern w:val="0"/>
          <w:sz w:val="60"/>
          <w:szCs w:val="22"/>
        </w:rPr>
      </w:pPr>
      <w:r w:rsidRPr="0096218C">
        <w:rPr>
          <w:rFonts w:asciiTheme="minorHAnsi" w:eastAsiaTheme="minorHAnsi" w:hAnsiTheme="minorHAnsi" w:cstheme="minorBidi"/>
          <w:b w:val="0"/>
          <w:color w:val="005391"/>
          <w:kern w:val="0"/>
          <w:sz w:val="60"/>
          <w:szCs w:val="22"/>
        </w:rPr>
        <w:t>Framework</w:t>
      </w:r>
    </w:p>
    <w:p w14:paraId="50CEE3BD" w14:textId="77777777" w:rsidR="0096218C" w:rsidRDefault="0096218C" w:rsidP="009475AE">
      <w:pPr>
        <w:pStyle w:val="Titledate"/>
        <w:spacing w:line="276" w:lineRule="auto"/>
      </w:pPr>
    </w:p>
    <w:p w14:paraId="6292204F" w14:textId="77777777" w:rsidR="000D2CB6" w:rsidRDefault="000D2CB6" w:rsidP="009475AE">
      <w:pPr>
        <w:pStyle w:val="Titledate"/>
        <w:spacing w:line="276" w:lineRule="auto"/>
      </w:pPr>
    </w:p>
    <w:p w14:paraId="473DA5A5" w14:textId="77777777" w:rsidR="000D2CB6" w:rsidRDefault="000D2CB6" w:rsidP="009475AE">
      <w:pPr>
        <w:pStyle w:val="Titledate"/>
        <w:spacing w:line="276" w:lineRule="auto"/>
      </w:pPr>
    </w:p>
    <w:p w14:paraId="2609C6C8" w14:textId="77777777" w:rsidR="0096218C" w:rsidRDefault="0096218C" w:rsidP="009475AE">
      <w:pPr>
        <w:pStyle w:val="Titledate"/>
        <w:spacing w:line="276" w:lineRule="auto"/>
      </w:pPr>
    </w:p>
    <w:p w14:paraId="777E6FC4" w14:textId="2652C7FC" w:rsidR="00D63767" w:rsidRDefault="00D63767" w:rsidP="009475AE">
      <w:pPr>
        <w:pStyle w:val="Titledate"/>
        <w:spacing w:line="276" w:lineRule="auto"/>
      </w:pPr>
      <w:r>
        <w:t>Draft for consultation</w:t>
      </w:r>
    </w:p>
    <w:p w14:paraId="74AB2BDD" w14:textId="77777777" w:rsidR="00B77C59" w:rsidRDefault="00B77C59" w:rsidP="009475AE">
      <w:pPr>
        <w:pStyle w:val="Titledate"/>
        <w:spacing w:line="276" w:lineRule="auto"/>
      </w:pPr>
    </w:p>
    <w:p w14:paraId="2F7F0142" w14:textId="1A48CF08" w:rsidR="009B3DEC" w:rsidRDefault="00765346" w:rsidP="009475AE">
      <w:pPr>
        <w:pStyle w:val="Titledate"/>
        <w:spacing w:line="276" w:lineRule="auto"/>
      </w:pPr>
      <w:r>
        <w:t>July</w:t>
      </w:r>
      <w:r w:rsidR="00030571">
        <w:t xml:space="preserve"> </w:t>
      </w:r>
      <w:r w:rsidR="00D72642">
        <w:t>2015</w:t>
      </w:r>
    </w:p>
    <w:p w14:paraId="365FFB92" w14:textId="77777777" w:rsidR="00076CD6" w:rsidRDefault="00076CD6" w:rsidP="009475AE">
      <w:pPr>
        <w:spacing w:after="120" w:line="276" w:lineRule="auto"/>
        <w:ind w:left="1021" w:hanging="1021"/>
        <w:rPr>
          <w:rFonts w:ascii="Cambria" w:eastAsiaTheme="majorEastAsia" w:hAnsi="Cambria" w:cstheme="majorBidi"/>
          <w:b/>
          <w:color w:val="0072B9"/>
          <w:kern w:val="28"/>
          <w:sz w:val="32"/>
          <w:szCs w:val="52"/>
        </w:rPr>
      </w:pPr>
      <w:r>
        <w:br w:type="page"/>
      </w:r>
    </w:p>
    <w:p w14:paraId="24842862" w14:textId="77777777" w:rsidR="00C61801" w:rsidRDefault="00C61801" w:rsidP="009475AE">
      <w:pPr>
        <w:pStyle w:val="TOCHeading"/>
        <w:spacing w:line="276" w:lineRule="auto"/>
        <w:rPr>
          <w:rFonts w:eastAsiaTheme="minorHAnsi"/>
        </w:rPr>
      </w:pPr>
      <w:r w:rsidRPr="00D153EC">
        <w:t>Contents</w:t>
      </w:r>
    </w:p>
    <w:p w14:paraId="4E9574C7" w14:textId="77777777" w:rsidR="002968F3" w:rsidRDefault="00AB0EF0">
      <w:pPr>
        <w:pStyle w:val="TOC1"/>
        <w:rPr>
          <w:rFonts w:asciiTheme="minorHAnsi" w:eastAsiaTheme="minorEastAsia" w:hAnsiTheme="minorHAnsi"/>
          <w:color w:val="auto"/>
          <w:sz w:val="22"/>
          <w:lang w:eastAsia="en-AU"/>
        </w:rPr>
      </w:pPr>
      <w:r>
        <w:fldChar w:fldCharType="begin"/>
      </w:r>
      <w:r w:rsidR="00A52637">
        <w:instrText xml:space="preserve"> TOC \o "1-1" \h \z \t "Heading 2,2,Heading 3,3" </w:instrText>
      </w:r>
      <w:r>
        <w:fldChar w:fldCharType="separate"/>
      </w:r>
      <w:hyperlink w:anchor="_Toc422237709" w:history="1">
        <w:r w:rsidR="002968F3" w:rsidRPr="006F557F">
          <w:rPr>
            <w:rStyle w:val="Hyperlink"/>
          </w:rPr>
          <w:t>Forward</w:t>
        </w:r>
        <w:r w:rsidR="002968F3">
          <w:rPr>
            <w:webHidden/>
          </w:rPr>
          <w:tab/>
        </w:r>
        <w:r w:rsidR="002968F3">
          <w:rPr>
            <w:webHidden/>
          </w:rPr>
          <w:fldChar w:fldCharType="begin"/>
        </w:r>
        <w:r w:rsidR="002968F3">
          <w:rPr>
            <w:webHidden/>
          </w:rPr>
          <w:instrText xml:space="preserve"> PAGEREF _Toc422237709 \h </w:instrText>
        </w:r>
        <w:r w:rsidR="002968F3">
          <w:rPr>
            <w:webHidden/>
          </w:rPr>
        </w:r>
        <w:r w:rsidR="002968F3">
          <w:rPr>
            <w:webHidden/>
          </w:rPr>
          <w:fldChar w:fldCharType="separate"/>
        </w:r>
        <w:r w:rsidR="0007488B">
          <w:rPr>
            <w:webHidden/>
          </w:rPr>
          <w:t>3</w:t>
        </w:r>
        <w:r w:rsidR="002968F3">
          <w:rPr>
            <w:webHidden/>
          </w:rPr>
          <w:fldChar w:fldCharType="end"/>
        </w:r>
      </w:hyperlink>
    </w:p>
    <w:p w14:paraId="56ADD5E7" w14:textId="77777777" w:rsidR="002968F3" w:rsidRDefault="0007488B">
      <w:pPr>
        <w:pStyle w:val="TOC1"/>
        <w:rPr>
          <w:rFonts w:asciiTheme="minorHAnsi" w:eastAsiaTheme="minorEastAsia" w:hAnsiTheme="minorHAnsi"/>
          <w:color w:val="auto"/>
          <w:sz w:val="22"/>
          <w:lang w:eastAsia="en-AU"/>
        </w:rPr>
      </w:pPr>
      <w:hyperlink w:anchor="_Toc422237710" w:history="1">
        <w:r w:rsidR="002968F3" w:rsidRPr="006F557F">
          <w:rPr>
            <w:rStyle w:val="Hyperlink"/>
          </w:rPr>
          <w:t>Industry migration and disconnection roles and responsibilities</w:t>
        </w:r>
        <w:r w:rsidR="002968F3">
          <w:rPr>
            <w:webHidden/>
          </w:rPr>
          <w:tab/>
        </w:r>
        <w:r w:rsidR="002968F3">
          <w:rPr>
            <w:webHidden/>
          </w:rPr>
          <w:fldChar w:fldCharType="begin"/>
        </w:r>
        <w:r w:rsidR="002968F3">
          <w:rPr>
            <w:webHidden/>
          </w:rPr>
          <w:instrText xml:space="preserve"> PAGEREF _Toc422237710 \h </w:instrText>
        </w:r>
        <w:r w:rsidR="002968F3">
          <w:rPr>
            <w:webHidden/>
          </w:rPr>
        </w:r>
        <w:r w:rsidR="002968F3">
          <w:rPr>
            <w:webHidden/>
          </w:rPr>
          <w:fldChar w:fldCharType="separate"/>
        </w:r>
        <w:r>
          <w:rPr>
            <w:webHidden/>
          </w:rPr>
          <w:t>5</w:t>
        </w:r>
        <w:r w:rsidR="002968F3">
          <w:rPr>
            <w:webHidden/>
          </w:rPr>
          <w:fldChar w:fldCharType="end"/>
        </w:r>
      </w:hyperlink>
    </w:p>
    <w:p w14:paraId="65F3D010" w14:textId="77777777" w:rsidR="002968F3" w:rsidRDefault="0007488B">
      <w:pPr>
        <w:pStyle w:val="TOC2"/>
        <w:rPr>
          <w:rFonts w:asciiTheme="minorHAnsi" w:eastAsiaTheme="minorEastAsia" w:hAnsiTheme="minorHAnsi"/>
          <w:noProof/>
          <w:lang w:eastAsia="en-AU"/>
        </w:rPr>
      </w:pPr>
      <w:hyperlink w:anchor="_Toc422237711" w:history="1">
        <w:r w:rsidR="002968F3" w:rsidRPr="006F557F">
          <w:rPr>
            <w:rStyle w:val="Hyperlink"/>
            <w:noProof/>
          </w:rPr>
          <w:t>Role of nbn</w:t>
        </w:r>
        <w:r w:rsidR="002968F3">
          <w:rPr>
            <w:noProof/>
            <w:webHidden/>
          </w:rPr>
          <w:tab/>
        </w:r>
        <w:r w:rsidR="002968F3">
          <w:rPr>
            <w:noProof/>
            <w:webHidden/>
          </w:rPr>
          <w:fldChar w:fldCharType="begin"/>
        </w:r>
        <w:r w:rsidR="002968F3">
          <w:rPr>
            <w:noProof/>
            <w:webHidden/>
          </w:rPr>
          <w:instrText xml:space="preserve"> PAGEREF _Toc422237711 \h </w:instrText>
        </w:r>
        <w:r w:rsidR="002968F3">
          <w:rPr>
            <w:noProof/>
            <w:webHidden/>
          </w:rPr>
        </w:r>
        <w:r w:rsidR="002968F3">
          <w:rPr>
            <w:noProof/>
            <w:webHidden/>
          </w:rPr>
          <w:fldChar w:fldCharType="separate"/>
        </w:r>
        <w:r>
          <w:rPr>
            <w:noProof/>
            <w:webHidden/>
          </w:rPr>
          <w:t>5</w:t>
        </w:r>
        <w:r w:rsidR="002968F3">
          <w:rPr>
            <w:noProof/>
            <w:webHidden/>
          </w:rPr>
          <w:fldChar w:fldCharType="end"/>
        </w:r>
      </w:hyperlink>
    </w:p>
    <w:p w14:paraId="5581EB26" w14:textId="77777777" w:rsidR="002968F3" w:rsidRDefault="0007488B">
      <w:pPr>
        <w:pStyle w:val="TOC2"/>
        <w:rPr>
          <w:rFonts w:asciiTheme="minorHAnsi" w:eastAsiaTheme="minorEastAsia" w:hAnsiTheme="minorHAnsi"/>
          <w:noProof/>
          <w:lang w:eastAsia="en-AU"/>
        </w:rPr>
      </w:pPr>
      <w:hyperlink w:anchor="_Toc422237712" w:history="1">
        <w:r w:rsidR="002968F3" w:rsidRPr="006F557F">
          <w:rPr>
            <w:rStyle w:val="Hyperlink"/>
            <w:noProof/>
          </w:rPr>
          <w:t>Role of retail service providers (RSPs)</w:t>
        </w:r>
        <w:r w:rsidR="002968F3">
          <w:rPr>
            <w:noProof/>
            <w:webHidden/>
          </w:rPr>
          <w:tab/>
        </w:r>
        <w:r w:rsidR="002968F3">
          <w:rPr>
            <w:noProof/>
            <w:webHidden/>
          </w:rPr>
          <w:fldChar w:fldCharType="begin"/>
        </w:r>
        <w:r w:rsidR="002968F3">
          <w:rPr>
            <w:noProof/>
            <w:webHidden/>
          </w:rPr>
          <w:instrText xml:space="preserve"> PAGEREF _Toc422237712 \h </w:instrText>
        </w:r>
        <w:r w:rsidR="002968F3">
          <w:rPr>
            <w:noProof/>
            <w:webHidden/>
          </w:rPr>
        </w:r>
        <w:r w:rsidR="002968F3">
          <w:rPr>
            <w:noProof/>
            <w:webHidden/>
          </w:rPr>
          <w:fldChar w:fldCharType="separate"/>
        </w:r>
        <w:r>
          <w:rPr>
            <w:noProof/>
            <w:webHidden/>
          </w:rPr>
          <w:t>5</w:t>
        </w:r>
        <w:r w:rsidR="002968F3">
          <w:rPr>
            <w:noProof/>
            <w:webHidden/>
          </w:rPr>
          <w:fldChar w:fldCharType="end"/>
        </w:r>
      </w:hyperlink>
    </w:p>
    <w:p w14:paraId="7426FBE0" w14:textId="77777777" w:rsidR="002968F3" w:rsidRDefault="0007488B">
      <w:pPr>
        <w:pStyle w:val="TOC2"/>
        <w:rPr>
          <w:rFonts w:asciiTheme="minorHAnsi" w:eastAsiaTheme="minorEastAsia" w:hAnsiTheme="minorHAnsi"/>
          <w:noProof/>
          <w:lang w:eastAsia="en-AU"/>
        </w:rPr>
      </w:pPr>
      <w:hyperlink w:anchor="_Toc422237713" w:history="1">
        <w:r w:rsidR="002968F3" w:rsidRPr="006F557F">
          <w:rPr>
            <w:rStyle w:val="Hyperlink"/>
            <w:noProof/>
          </w:rPr>
          <w:t>Role of application service providers</w:t>
        </w:r>
        <w:r w:rsidR="002968F3">
          <w:rPr>
            <w:noProof/>
            <w:webHidden/>
          </w:rPr>
          <w:tab/>
        </w:r>
        <w:r w:rsidR="002968F3">
          <w:rPr>
            <w:noProof/>
            <w:webHidden/>
          </w:rPr>
          <w:fldChar w:fldCharType="begin"/>
        </w:r>
        <w:r w:rsidR="002968F3">
          <w:rPr>
            <w:noProof/>
            <w:webHidden/>
          </w:rPr>
          <w:instrText xml:space="preserve"> PAGEREF _Toc422237713 \h </w:instrText>
        </w:r>
        <w:r w:rsidR="002968F3">
          <w:rPr>
            <w:noProof/>
            <w:webHidden/>
          </w:rPr>
        </w:r>
        <w:r w:rsidR="002968F3">
          <w:rPr>
            <w:noProof/>
            <w:webHidden/>
          </w:rPr>
          <w:fldChar w:fldCharType="separate"/>
        </w:r>
        <w:r>
          <w:rPr>
            <w:noProof/>
            <w:webHidden/>
          </w:rPr>
          <w:t>6</w:t>
        </w:r>
        <w:r w:rsidR="002968F3">
          <w:rPr>
            <w:noProof/>
            <w:webHidden/>
          </w:rPr>
          <w:fldChar w:fldCharType="end"/>
        </w:r>
      </w:hyperlink>
    </w:p>
    <w:p w14:paraId="1699AFDF" w14:textId="77777777" w:rsidR="002968F3" w:rsidRDefault="0007488B">
      <w:pPr>
        <w:pStyle w:val="TOC2"/>
        <w:rPr>
          <w:rFonts w:asciiTheme="minorHAnsi" w:eastAsiaTheme="minorEastAsia" w:hAnsiTheme="minorHAnsi"/>
          <w:noProof/>
          <w:lang w:eastAsia="en-AU"/>
        </w:rPr>
      </w:pPr>
      <w:hyperlink w:anchor="_Toc422237714" w:history="1">
        <w:r w:rsidR="002968F3" w:rsidRPr="006F557F">
          <w:rPr>
            <w:rStyle w:val="Hyperlink"/>
            <w:noProof/>
          </w:rPr>
          <w:t>Role of end users</w:t>
        </w:r>
        <w:r w:rsidR="002968F3">
          <w:rPr>
            <w:noProof/>
            <w:webHidden/>
          </w:rPr>
          <w:tab/>
        </w:r>
        <w:r w:rsidR="002968F3">
          <w:rPr>
            <w:noProof/>
            <w:webHidden/>
          </w:rPr>
          <w:fldChar w:fldCharType="begin"/>
        </w:r>
        <w:r w:rsidR="002968F3">
          <w:rPr>
            <w:noProof/>
            <w:webHidden/>
          </w:rPr>
          <w:instrText xml:space="preserve"> PAGEREF _Toc422237714 \h </w:instrText>
        </w:r>
        <w:r w:rsidR="002968F3">
          <w:rPr>
            <w:noProof/>
            <w:webHidden/>
          </w:rPr>
        </w:r>
        <w:r w:rsidR="002968F3">
          <w:rPr>
            <w:noProof/>
            <w:webHidden/>
          </w:rPr>
          <w:fldChar w:fldCharType="separate"/>
        </w:r>
        <w:r>
          <w:rPr>
            <w:noProof/>
            <w:webHidden/>
          </w:rPr>
          <w:t>6</w:t>
        </w:r>
        <w:r w:rsidR="002968F3">
          <w:rPr>
            <w:noProof/>
            <w:webHidden/>
          </w:rPr>
          <w:fldChar w:fldCharType="end"/>
        </w:r>
      </w:hyperlink>
    </w:p>
    <w:p w14:paraId="20FCBC48" w14:textId="77777777" w:rsidR="002968F3" w:rsidRDefault="0007488B">
      <w:pPr>
        <w:pStyle w:val="TOC2"/>
        <w:rPr>
          <w:rFonts w:asciiTheme="minorHAnsi" w:eastAsiaTheme="minorEastAsia" w:hAnsiTheme="minorHAnsi"/>
          <w:noProof/>
          <w:lang w:eastAsia="en-AU"/>
        </w:rPr>
      </w:pPr>
      <w:hyperlink w:anchor="_Toc422237715" w:history="1">
        <w:r w:rsidR="002968F3" w:rsidRPr="006F557F">
          <w:rPr>
            <w:rStyle w:val="Hyperlink"/>
            <w:noProof/>
          </w:rPr>
          <w:t>Role of Telstra (as disconnecting network provider)</w:t>
        </w:r>
        <w:r w:rsidR="002968F3">
          <w:rPr>
            <w:noProof/>
            <w:webHidden/>
          </w:rPr>
          <w:tab/>
        </w:r>
        <w:r w:rsidR="002968F3">
          <w:rPr>
            <w:noProof/>
            <w:webHidden/>
          </w:rPr>
          <w:fldChar w:fldCharType="begin"/>
        </w:r>
        <w:r w:rsidR="002968F3">
          <w:rPr>
            <w:noProof/>
            <w:webHidden/>
          </w:rPr>
          <w:instrText xml:space="preserve"> PAGEREF _Toc422237715 \h </w:instrText>
        </w:r>
        <w:r w:rsidR="002968F3">
          <w:rPr>
            <w:noProof/>
            <w:webHidden/>
          </w:rPr>
        </w:r>
        <w:r w:rsidR="002968F3">
          <w:rPr>
            <w:noProof/>
            <w:webHidden/>
          </w:rPr>
          <w:fldChar w:fldCharType="separate"/>
        </w:r>
        <w:r>
          <w:rPr>
            <w:noProof/>
            <w:webHidden/>
          </w:rPr>
          <w:t>7</w:t>
        </w:r>
        <w:r w:rsidR="002968F3">
          <w:rPr>
            <w:noProof/>
            <w:webHidden/>
          </w:rPr>
          <w:fldChar w:fldCharType="end"/>
        </w:r>
      </w:hyperlink>
    </w:p>
    <w:p w14:paraId="1ACFC776" w14:textId="77777777" w:rsidR="002968F3" w:rsidRDefault="0007488B">
      <w:pPr>
        <w:pStyle w:val="TOC2"/>
        <w:rPr>
          <w:rFonts w:asciiTheme="minorHAnsi" w:eastAsiaTheme="minorEastAsia" w:hAnsiTheme="minorHAnsi"/>
          <w:noProof/>
          <w:lang w:eastAsia="en-AU"/>
        </w:rPr>
      </w:pPr>
      <w:hyperlink w:anchor="_Toc422237716" w:history="1">
        <w:r w:rsidR="002968F3" w:rsidRPr="006F557F">
          <w:rPr>
            <w:rStyle w:val="Hyperlink"/>
            <w:noProof/>
          </w:rPr>
          <w:t>Role of the cabling industry</w:t>
        </w:r>
        <w:r w:rsidR="002968F3">
          <w:rPr>
            <w:noProof/>
            <w:webHidden/>
          </w:rPr>
          <w:tab/>
        </w:r>
        <w:r w:rsidR="002968F3">
          <w:rPr>
            <w:noProof/>
            <w:webHidden/>
          </w:rPr>
          <w:fldChar w:fldCharType="begin"/>
        </w:r>
        <w:r w:rsidR="002968F3">
          <w:rPr>
            <w:noProof/>
            <w:webHidden/>
          </w:rPr>
          <w:instrText xml:space="preserve"> PAGEREF _Toc422237716 \h </w:instrText>
        </w:r>
        <w:r w:rsidR="002968F3">
          <w:rPr>
            <w:noProof/>
            <w:webHidden/>
          </w:rPr>
        </w:r>
        <w:r w:rsidR="002968F3">
          <w:rPr>
            <w:noProof/>
            <w:webHidden/>
          </w:rPr>
          <w:fldChar w:fldCharType="separate"/>
        </w:r>
        <w:r>
          <w:rPr>
            <w:noProof/>
            <w:webHidden/>
          </w:rPr>
          <w:t>7</w:t>
        </w:r>
        <w:r w:rsidR="002968F3">
          <w:rPr>
            <w:noProof/>
            <w:webHidden/>
          </w:rPr>
          <w:fldChar w:fldCharType="end"/>
        </w:r>
      </w:hyperlink>
    </w:p>
    <w:p w14:paraId="3023C146" w14:textId="77777777" w:rsidR="002968F3" w:rsidRDefault="0007488B">
      <w:pPr>
        <w:pStyle w:val="TOC1"/>
        <w:rPr>
          <w:rFonts w:asciiTheme="minorHAnsi" w:eastAsiaTheme="minorEastAsia" w:hAnsiTheme="minorHAnsi"/>
          <w:color w:val="auto"/>
          <w:sz w:val="22"/>
          <w:lang w:eastAsia="en-AU"/>
        </w:rPr>
      </w:pPr>
      <w:hyperlink w:anchor="_Toc422237717" w:history="1">
        <w:r w:rsidR="002968F3" w:rsidRPr="006F557F">
          <w:rPr>
            <w:rStyle w:val="Hyperlink"/>
          </w:rPr>
          <w:t>Information sharing and data stability</w:t>
        </w:r>
        <w:r w:rsidR="002968F3">
          <w:rPr>
            <w:webHidden/>
          </w:rPr>
          <w:tab/>
        </w:r>
        <w:r w:rsidR="002968F3">
          <w:rPr>
            <w:webHidden/>
          </w:rPr>
          <w:fldChar w:fldCharType="begin"/>
        </w:r>
        <w:r w:rsidR="002968F3">
          <w:rPr>
            <w:webHidden/>
          </w:rPr>
          <w:instrText xml:space="preserve"> PAGEREF _Toc422237717 \h </w:instrText>
        </w:r>
        <w:r w:rsidR="002968F3">
          <w:rPr>
            <w:webHidden/>
          </w:rPr>
        </w:r>
        <w:r w:rsidR="002968F3">
          <w:rPr>
            <w:webHidden/>
          </w:rPr>
          <w:fldChar w:fldCharType="separate"/>
        </w:r>
        <w:r>
          <w:rPr>
            <w:webHidden/>
          </w:rPr>
          <w:t>8</w:t>
        </w:r>
        <w:r w:rsidR="002968F3">
          <w:rPr>
            <w:webHidden/>
          </w:rPr>
          <w:fldChar w:fldCharType="end"/>
        </w:r>
      </w:hyperlink>
    </w:p>
    <w:p w14:paraId="66BA783D" w14:textId="77777777" w:rsidR="002968F3" w:rsidRDefault="0007488B">
      <w:pPr>
        <w:pStyle w:val="TOC1"/>
        <w:rPr>
          <w:rFonts w:asciiTheme="minorHAnsi" w:eastAsiaTheme="minorEastAsia" w:hAnsiTheme="minorHAnsi"/>
          <w:color w:val="auto"/>
          <w:sz w:val="22"/>
          <w:lang w:eastAsia="en-AU"/>
        </w:rPr>
      </w:pPr>
      <w:hyperlink w:anchor="_Toc422237718" w:history="1">
        <w:r w:rsidR="002968F3" w:rsidRPr="006F557F">
          <w:rPr>
            <w:rStyle w:val="Hyperlink"/>
          </w:rPr>
          <w:t>1.</w:t>
        </w:r>
        <w:r w:rsidR="002968F3">
          <w:rPr>
            <w:rFonts w:asciiTheme="minorHAnsi" w:eastAsiaTheme="minorEastAsia" w:hAnsiTheme="minorHAnsi"/>
            <w:color w:val="auto"/>
            <w:sz w:val="22"/>
            <w:lang w:eastAsia="en-AU"/>
          </w:rPr>
          <w:tab/>
        </w:r>
        <w:r w:rsidR="002968F3" w:rsidRPr="006F557F">
          <w:rPr>
            <w:rStyle w:val="Hyperlink"/>
          </w:rPr>
          <w:t>Pillar 1 – Serviceability</w:t>
        </w:r>
        <w:r w:rsidR="002968F3">
          <w:rPr>
            <w:webHidden/>
          </w:rPr>
          <w:tab/>
        </w:r>
        <w:r w:rsidR="002968F3">
          <w:rPr>
            <w:webHidden/>
          </w:rPr>
          <w:fldChar w:fldCharType="begin"/>
        </w:r>
        <w:r w:rsidR="002968F3">
          <w:rPr>
            <w:webHidden/>
          </w:rPr>
          <w:instrText xml:space="preserve"> PAGEREF _Toc422237718 \h </w:instrText>
        </w:r>
        <w:r w:rsidR="002968F3">
          <w:rPr>
            <w:webHidden/>
          </w:rPr>
        </w:r>
        <w:r w:rsidR="002968F3">
          <w:rPr>
            <w:webHidden/>
          </w:rPr>
          <w:fldChar w:fldCharType="separate"/>
        </w:r>
        <w:r>
          <w:rPr>
            <w:webHidden/>
          </w:rPr>
          <w:t>9</w:t>
        </w:r>
        <w:r w:rsidR="002968F3">
          <w:rPr>
            <w:webHidden/>
          </w:rPr>
          <w:fldChar w:fldCharType="end"/>
        </w:r>
      </w:hyperlink>
    </w:p>
    <w:p w14:paraId="1AA3A5E3" w14:textId="77777777" w:rsidR="002968F3" w:rsidRDefault="0007488B">
      <w:pPr>
        <w:pStyle w:val="TOC1"/>
        <w:rPr>
          <w:rFonts w:asciiTheme="minorHAnsi" w:eastAsiaTheme="minorEastAsia" w:hAnsiTheme="minorHAnsi"/>
          <w:color w:val="auto"/>
          <w:sz w:val="22"/>
          <w:lang w:eastAsia="en-AU"/>
        </w:rPr>
      </w:pPr>
      <w:hyperlink w:anchor="_Toc422237719" w:history="1">
        <w:r w:rsidR="002968F3" w:rsidRPr="006F557F">
          <w:rPr>
            <w:rStyle w:val="Hyperlink"/>
          </w:rPr>
          <w:t>2.</w:t>
        </w:r>
        <w:r w:rsidR="002968F3">
          <w:rPr>
            <w:rFonts w:asciiTheme="minorHAnsi" w:eastAsiaTheme="minorEastAsia" w:hAnsiTheme="minorHAnsi"/>
            <w:color w:val="auto"/>
            <w:sz w:val="22"/>
            <w:lang w:eastAsia="en-AU"/>
          </w:rPr>
          <w:tab/>
        </w:r>
        <w:r w:rsidR="002968F3" w:rsidRPr="006F557F">
          <w:rPr>
            <w:rStyle w:val="Hyperlink"/>
          </w:rPr>
          <w:t>Pillar 2 – Product availability</w:t>
        </w:r>
        <w:r w:rsidR="002968F3">
          <w:rPr>
            <w:webHidden/>
          </w:rPr>
          <w:tab/>
        </w:r>
        <w:r w:rsidR="002968F3">
          <w:rPr>
            <w:webHidden/>
          </w:rPr>
          <w:fldChar w:fldCharType="begin"/>
        </w:r>
        <w:r w:rsidR="002968F3">
          <w:rPr>
            <w:webHidden/>
          </w:rPr>
          <w:instrText xml:space="preserve"> PAGEREF _Toc422237719 \h </w:instrText>
        </w:r>
        <w:r w:rsidR="002968F3">
          <w:rPr>
            <w:webHidden/>
          </w:rPr>
        </w:r>
        <w:r w:rsidR="002968F3">
          <w:rPr>
            <w:webHidden/>
          </w:rPr>
          <w:fldChar w:fldCharType="separate"/>
        </w:r>
        <w:r>
          <w:rPr>
            <w:webHidden/>
          </w:rPr>
          <w:t>11</w:t>
        </w:r>
        <w:r w:rsidR="002968F3">
          <w:rPr>
            <w:webHidden/>
          </w:rPr>
          <w:fldChar w:fldCharType="end"/>
        </w:r>
      </w:hyperlink>
    </w:p>
    <w:p w14:paraId="131FB442" w14:textId="77777777" w:rsidR="002968F3" w:rsidRDefault="0007488B">
      <w:pPr>
        <w:pStyle w:val="TOC2"/>
        <w:rPr>
          <w:rFonts w:asciiTheme="minorHAnsi" w:eastAsiaTheme="minorEastAsia" w:hAnsiTheme="minorHAnsi"/>
          <w:noProof/>
          <w:lang w:eastAsia="en-AU"/>
        </w:rPr>
      </w:pPr>
      <w:hyperlink w:anchor="_Toc422237720" w:history="1">
        <w:r w:rsidR="002968F3" w:rsidRPr="006F557F">
          <w:rPr>
            <w:rStyle w:val="Hyperlink"/>
            <w:noProof/>
          </w:rPr>
          <w:t>2.1.</w:t>
        </w:r>
        <w:r w:rsidR="002968F3">
          <w:rPr>
            <w:rFonts w:asciiTheme="minorHAnsi" w:eastAsiaTheme="minorEastAsia" w:hAnsiTheme="minorHAnsi"/>
            <w:noProof/>
            <w:lang w:eastAsia="en-AU"/>
          </w:rPr>
          <w:tab/>
        </w:r>
        <w:r w:rsidR="002968F3" w:rsidRPr="006F557F">
          <w:rPr>
            <w:rStyle w:val="Hyperlink"/>
            <w:noProof/>
          </w:rPr>
          <w:t>Broadband Services</w:t>
        </w:r>
        <w:r w:rsidR="002968F3">
          <w:rPr>
            <w:noProof/>
            <w:webHidden/>
          </w:rPr>
          <w:tab/>
        </w:r>
        <w:r w:rsidR="002968F3">
          <w:rPr>
            <w:noProof/>
            <w:webHidden/>
          </w:rPr>
          <w:fldChar w:fldCharType="begin"/>
        </w:r>
        <w:r w:rsidR="002968F3">
          <w:rPr>
            <w:noProof/>
            <w:webHidden/>
          </w:rPr>
          <w:instrText xml:space="preserve"> PAGEREF _Toc422237720 \h </w:instrText>
        </w:r>
        <w:r w:rsidR="002968F3">
          <w:rPr>
            <w:noProof/>
            <w:webHidden/>
          </w:rPr>
        </w:r>
        <w:r w:rsidR="002968F3">
          <w:rPr>
            <w:noProof/>
            <w:webHidden/>
          </w:rPr>
          <w:fldChar w:fldCharType="separate"/>
        </w:r>
        <w:r>
          <w:rPr>
            <w:noProof/>
            <w:webHidden/>
          </w:rPr>
          <w:t>11</w:t>
        </w:r>
        <w:r w:rsidR="002968F3">
          <w:rPr>
            <w:noProof/>
            <w:webHidden/>
          </w:rPr>
          <w:fldChar w:fldCharType="end"/>
        </w:r>
      </w:hyperlink>
    </w:p>
    <w:p w14:paraId="425303B2" w14:textId="77777777" w:rsidR="002968F3" w:rsidRDefault="0007488B">
      <w:pPr>
        <w:pStyle w:val="TOC2"/>
        <w:rPr>
          <w:rFonts w:asciiTheme="minorHAnsi" w:eastAsiaTheme="minorEastAsia" w:hAnsiTheme="minorHAnsi"/>
          <w:noProof/>
          <w:lang w:eastAsia="en-AU"/>
        </w:rPr>
      </w:pPr>
      <w:hyperlink w:anchor="_Toc422237721" w:history="1">
        <w:r w:rsidR="002968F3" w:rsidRPr="006F557F">
          <w:rPr>
            <w:rStyle w:val="Hyperlink"/>
            <w:noProof/>
          </w:rPr>
          <w:t>2.2.</w:t>
        </w:r>
        <w:r w:rsidR="002968F3">
          <w:rPr>
            <w:rFonts w:asciiTheme="minorHAnsi" w:eastAsiaTheme="minorEastAsia" w:hAnsiTheme="minorHAnsi"/>
            <w:noProof/>
            <w:lang w:eastAsia="en-AU"/>
          </w:rPr>
          <w:tab/>
        </w:r>
        <w:r w:rsidR="002968F3" w:rsidRPr="006F557F">
          <w:rPr>
            <w:rStyle w:val="Hyperlink"/>
            <w:noProof/>
          </w:rPr>
          <w:t>Voice Services</w:t>
        </w:r>
        <w:r w:rsidR="002968F3">
          <w:rPr>
            <w:noProof/>
            <w:webHidden/>
          </w:rPr>
          <w:tab/>
        </w:r>
        <w:r w:rsidR="002968F3">
          <w:rPr>
            <w:noProof/>
            <w:webHidden/>
          </w:rPr>
          <w:fldChar w:fldCharType="begin"/>
        </w:r>
        <w:r w:rsidR="002968F3">
          <w:rPr>
            <w:noProof/>
            <w:webHidden/>
          </w:rPr>
          <w:instrText xml:space="preserve"> PAGEREF _Toc422237721 \h </w:instrText>
        </w:r>
        <w:r w:rsidR="002968F3">
          <w:rPr>
            <w:noProof/>
            <w:webHidden/>
          </w:rPr>
        </w:r>
        <w:r w:rsidR="002968F3">
          <w:rPr>
            <w:noProof/>
            <w:webHidden/>
          </w:rPr>
          <w:fldChar w:fldCharType="separate"/>
        </w:r>
        <w:r>
          <w:rPr>
            <w:noProof/>
            <w:webHidden/>
          </w:rPr>
          <w:t>11</w:t>
        </w:r>
        <w:r w:rsidR="002968F3">
          <w:rPr>
            <w:noProof/>
            <w:webHidden/>
          </w:rPr>
          <w:fldChar w:fldCharType="end"/>
        </w:r>
      </w:hyperlink>
    </w:p>
    <w:p w14:paraId="05C19497" w14:textId="6E9EBC9C" w:rsidR="002968F3" w:rsidRPr="002968F3" w:rsidRDefault="002968F3" w:rsidP="002968F3">
      <w:pPr>
        <w:pStyle w:val="TOC3"/>
        <w:rPr>
          <w:rFonts w:asciiTheme="minorHAnsi" w:eastAsiaTheme="minorEastAsia" w:hAnsiTheme="minorHAnsi"/>
          <w:lang w:eastAsia="en-AU"/>
        </w:rPr>
      </w:pPr>
      <w:r w:rsidRPr="002968F3">
        <w:rPr>
          <w:rStyle w:val="Hyperlink"/>
          <w:u w:val="none"/>
        </w:rPr>
        <w:tab/>
      </w:r>
      <w:hyperlink w:anchor="_Toc422237722" w:history="1">
        <w:r w:rsidRPr="002968F3">
          <w:rPr>
            <w:rStyle w:val="Hyperlink"/>
            <w:u w:val="none"/>
          </w:rPr>
          <w:t>2.2.1.</w:t>
        </w:r>
        <w:r w:rsidRPr="002968F3">
          <w:rPr>
            <w:rFonts w:asciiTheme="minorHAnsi" w:eastAsiaTheme="minorEastAsia" w:hAnsiTheme="minorHAnsi"/>
            <w:lang w:eastAsia="en-AU"/>
          </w:rPr>
          <w:t xml:space="preserve"> </w:t>
        </w:r>
        <w:r w:rsidRPr="002968F3">
          <w:rPr>
            <w:rStyle w:val="Hyperlink"/>
            <w:u w:val="none"/>
          </w:rPr>
          <w:t>Migration of over-the-top legacy services</w:t>
        </w:r>
        <w:r w:rsidRPr="002968F3">
          <w:rPr>
            <w:webHidden/>
          </w:rPr>
          <w:tab/>
        </w:r>
        <w:r w:rsidRPr="002968F3">
          <w:rPr>
            <w:webHidden/>
          </w:rPr>
          <w:fldChar w:fldCharType="begin"/>
        </w:r>
        <w:r w:rsidRPr="002968F3">
          <w:rPr>
            <w:webHidden/>
          </w:rPr>
          <w:instrText xml:space="preserve"> PAGEREF _Toc422237722 \h </w:instrText>
        </w:r>
        <w:r w:rsidRPr="002968F3">
          <w:rPr>
            <w:webHidden/>
          </w:rPr>
        </w:r>
        <w:r w:rsidRPr="002968F3">
          <w:rPr>
            <w:webHidden/>
          </w:rPr>
          <w:fldChar w:fldCharType="separate"/>
        </w:r>
        <w:r w:rsidR="0007488B">
          <w:rPr>
            <w:webHidden/>
          </w:rPr>
          <w:t>12</w:t>
        </w:r>
        <w:r w:rsidRPr="002968F3">
          <w:rPr>
            <w:webHidden/>
          </w:rPr>
          <w:fldChar w:fldCharType="end"/>
        </w:r>
      </w:hyperlink>
    </w:p>
    <w:p w14:paraId="6E6E1EEC" w14:textId="77777777" w:rsidR="002968F3" w:rsidRDefault="0007488B">
      <w:pPr>
        <w:pStyle w:val="TOC2"/>
        <w:rPr>
          <w:rFonts w:asciiTheme="minorHAnsi" w:eastAsiaTheme="minorEastAsia" w:hAnsiTheme="minorHAnsi"/>
          <w:noProof/>
          <w:lang w:eastAsia="en-AU"/>
        </w:rPr>
      </w:pPr>
      <w:hyperlink w:anchor="_Toc422237723" w:history="1">
        <w:r w:rsidR="002968F3" w:rsidRPr="006F557F">
          <w:rPr>
            <w:rStyle w:val="Hyperlink"/>
            <w:noProof/>
          </w:rPr>
          <w:t>2.3.</w:t>
        </w:r>
        <w:r w:rsidR="002968F3">
          <w:rPr>
            <w:rFonts w:asciiTheme="minorHAnsi" w:eastAsiaTheme="minorEastAsia" w:hAnsiTheme="minorHAnsi"/>
            <w:noProof/>
            <w:lang w:eastAsia="en-AU"/>
          </w:rPr>
          <w:tab/>
        </w:r>
        <w:r w:rsidR="002968F3" w:rsidRPr="006F557F">
          <w:rPr>
            <w:rStyle w:val="Hyperlink"/>
            <w:noProof/>
          </w:rPr>
          <w:t>Migration of Special Services</w:t>
        </w:r>
        <w:r w:rsidR="002968F3">
          <w:rPr>
            <w:noProof/>
            <w:webHidden/>
          </w:rPr>
          <w:tab/>
        </w:r>
        <w:r w:rsidR="002968F3">
          <w:rPr>
            <w:noProof/>
            <w:webHidden/>
          </w:rPr>
          <w:fldChar w:fldCharType="begin"/>
        </w:r>
        <w:r w:rsidR="002968F3">
          <w:rPr>
            <w:noProof/>
            <w:webHidden/>
          </w:rPr>
          <w:instrText xml:space="preserve"> PAGEREF _Toc422237723 \h </w:instrText>
        </w:r>
        <w:r w:rsidR="002968F3">
          <w:rPr>
            <w:noProof/>
            <w:webHidden/>
          </w:rPr>
        </w:r>
        <w:r w:rsidR="002968F3">
          <w:rPr>
            <w:noProof/>
            <w:webHidden/>
          </w:rPr>
          <w:fldChar w:fldCharType="separate"/>
        </w:r>
        <w:r>
          <w:rPr>
            <w:noProof/>
            <w:webHidden/>
          </w:rPr>
          <w:t>13</w:t>
        </w:r>
        <w:r w:rsidR="002968F3">
          <w:rPr>
            <w:noProof/>
            <w:webHidden/>
          </w:rPr>
          <w:fldChar w:fldCharType="end"/>
        </w:r>
      </w:hyperlink>
    </w:p>
    <w:p w14:paraId="11A53B2C" w14:textId="77777777" w:rsidR="002968F3" w:rsidRDefault="0007488B">
      <w:pPr>
        <w:pStyle w:val="TOC2"/>
        <w:rPr>
          <w:rFonts w:asciiTheme="minorHAnsi" w:eastAsiaTheme="minorEastAsia" w:hAnsiTheme="minorHAnsi"/>
          <w:noProof/>
          <w:lang w:eastAsia="en-AU"/>
        </w:rPr>
      </w:pPr>
      <w:hyperlink w:anchor="_Toc422237724" w:history="1">
        <w:r w:rsidR="002968F3" w:rsidRPr="006F557F">
          <w:rPr>
            <w:rStyle w:val="Hyperlink"/>
            <w:noProof/>
          </w:rPr>
          <w:t>2.4.</w:t>
        </w:r>
        <w:r w:rsidR="002968F3">
          <w:rPr>
            <w:rFonts w:asciiTheme="minorHAnsi" w:eastAsiaTheme="minorEastAsia" w:hAnsiTheme="minorHAnsi"/>
            <w:noProof/>
            <w:lang w:eastAsia="en-AU"/>
          </w:rPr>
          <w:tab/>
        </w:r>
        <w:r w:rsidR="002968F3" w:rsidRPr="006F557F">
          <w:rPr>
            <w:rStyle w:val="Hyperlink"/>
            <w:noProof/>
          </w:rPr>
          <w:t>Migration of non-premises</w:t>
        </w:r>
        <w:r w:rsidR="002968F3">
          <w:rPr>
            <w:noProof/>
            <w:webHidden/>
          </w:rPr>
          <w:tab/>
        </w:r>
        <w:r w:rsidR="002968F3">
          <w:rPr>
            <w:noProof/>
            <w:webHidden/>
          </w:rPr>
          <w:fldChar w:fldCharType="begin"/>
        </w:r>
        <w:r w:rsidR="002968F3">
          <w:rPr>
            <w:noProof/>
            <w:webHidden/>
          </w:rPr>
          <w:instrText xml:space="preserve"> PAGEREF _Toc422237724 \h </w:instrText>
        </w:r>
        <w:r w:rsidR="002968F3">
          <w:rPr>
            <w:noProof/>
            <w:webHidden/>
          </w:rPr>
        </w:r>
        <w:r w:rsidR="002968F3">
          <w:rPr>
            <w:noProof/>
            <w:webHidden/>
          </w:rPr>
          <w:fldChar w:fldCharType="separate"/>
        </w:r>
        <w:r>
          <w:rPr>
            <w:noProof/>
            <w:webHidden/>
          </w:rPr>
          <w:t>13</w:t>
        </w:r>
        <w:r w:rsidR="002968F3">
          <w:rPr>
            <w:noProof/>
            <w:webHidden/>
          </w:rPr>
          <w:fldChar w:fldCharType="end"/>
        </w:r>
      </w:hyperlink>
    </w:p>
    <w:p w14:paraId="0ADBCF25" w14:textId="77777777" w:rsidR="002968F3" w:rsidRDefault="0007488B">
      <w:pPr>
        <w:pStyle w:val="TOC1"/>
        <w:rPr>
          <w:rFonts w:asciiTheme="minorHAnsi" w:eastAsiaTheme="minorEastAsia" w:hAnsiTheme="minorHAnsi"/>
          <w:color w:val="auto"/>
          <w:sz w:val="22"/>
          <w:lang w:eastAsia="en-AU"/>
        </w:rPr>
      </w:pPr>
      <w:hyperlink w:anchor="_Toc422237725" w:history="1">
        <w:r w:rsidR="002968F3" w:rsidRPr="006F557F">
          <w:rPr>
            <w:rStyle w:val="Hyperlink"/>
          </w:rPr>
          <w:t>3.</w:t>
        </w:r>
        <w:r w:rsidR="002968F3">
          <w:rPr>
            <w:rFonts w:asciiTheme="minorHAnsi" w:eastAsiaTheme="minorEastAsia" w:hAnsiTheme="minorHAnsi"/>
            <w:color w:val="auto"/>
            <w:sz w:val="22"/>
            <w:lang w:eastAsia="en-AU"/>
          </w:rPr>
          <w:tab/>
        </w:r>
        <w:r w:rsidR="002968F3" w:rsidRPr="006F557F">
          <w:rPr>
            <w:rStyle w:val="Hyperlink"/>
          </w:rPr>
          <w:t>Pillar 3 - End user awareness and management</w:t>
        </w:r>
        <w:r w:rsidR="002968F3">
          <w:rPr>
            <w:webHidden/>
          </w:rPr>
          <w:tab/>
        </w:r>
        <w:r w:rsidR="002968F3">
          <w:rPr>
            <w:webHidden/>
          </w:rPr>
          <w:fldChar w:fldCharType="begin"/>
        </w:r>
        <w:r w:rsidR="002968F3">
          <w:rPr>
            <w:webHidden/>
          </w:rPr>
          <w:instrText xml:space="preserve"> PAGEREF _Toc422237725 \h </w:instrText>
        </w:r>
        <w:r w:rsidR="002968F3">
          <w:rPr>
            <w:webHidden/>
          </w:rPr>
        </w:r>
        <w:r w:rsidR="002968F3">
          <w:rPr>
            <w:webHidden/>
          </w:rPr>
          <w:fldChar w:fldCharType="separate"/>
        </w:r>
        <w:r>
          <w:rPr>
            <w:webHidden/>
          </w:rPr>
          <w:t>14</w:t>
        </w:r>
        <w:r w:rsidR="002968F3">
          <w:rPr>
            <w:webHidden/>
          </w:rPr>
          <w:fldChar w:fldCharType="end"/>
        </w:r>
      </w:hyperlink>
    </w:p>
    <w:p w14:paraId="2DA66ED9" w14:textId="77777777" w:rsidR="002968F3" w:rsidRDefault="0007488B">
      <w:pPr>
        <w:pStyle w:val="TOC2"/>
        <w:rPr>
          <w:rFonts w:asciiTheme="minorHAnsi" w:eastAsiaTheme="minorEastAsia" w:hAnsiTheme="minorHAnsi"/>
          <w:noProof/>
          <w:lang w:eastAsia="en-AU"/>
        </w:rPr>
      </w:pPr>
      <w:hyperlink w:anchor="_Toc422237726" w:history="1">
        <w:r w:rsidR="002968F3" w:rsidRPr="006F557F">
          <w:rPr>
            <w:rStyle w:val="Hyperlink"/>
            <w:noProof/>
          </w:rPr>
          <w:t>3.1.</w:t>
        </w:r>
        <w:r w:rsidR="002968F3">
          <w:rPr>
            <w:rFonts w:asciiTheme="minorHAnsi" w:eastAsiaTheme="minorEastAsia" w:hAnsiTheme="minorHAnsi"/>
            <w:noProof/>
            <w:lang w:eastAsia="en-AU"/>
          </w:rPr>
          <w:tab/>
        </w:r>
        <w:r w:rsidR="002968F3" w:rsidRPr="006F557F">
          <w:rPr>
            <w:rStyle w:val="Hyperlink"/>
            <w:noProof/>
          </w:rPr>
          <w:t>End user redress</w:t>
        </w:r>
        <w:r w:rsidR="002968F3">
          <w:rPr>
            <w:noProof/>
            <w:webHidden/>
          </w:rPr>
          <w:tab/>
        </w:r>
        <w:r w:rsidR="002968F3">
          <w:rPr>
            <w:noProof/>
            <w:webHidden/>
          </w:rPr>
          <w:fldChar w:fldCharType="begin"/>
        </w:r>
        <w:r w:rsidR="002968F3">
          <w:rPr>
            <w:noProof/>
            <w:webHidden/>
          </w:rPr>
          <w:instrText xml:space="preserve"> PAGEREF _Toc422237726 \h </w:instrText>
        </w:r>
        <w:r w:rsidR="002968F3">
          <w:rPr>
            <w:noProof/>
            <w:webHidden/>
          </w:rPr>
        </w:r>
        <w:r w:rsidR="002968F3">
          <w:rPr>
            <w:noProof/>
            <w:webHidden/>
          </w:rPr>
          <w:fldChar w:fldCharType="separate"/>
        </w:r>
        <w:r>
          <w:rPr>
            <w:noProof/>
            <w:webHidden/>
          </w:rPr>
          <w:t>16</w:t>
        </w:r>
        <w:r w:rsidR="002968F3">
          <w:rPr>
            <w:noProof/>
            <w:webHidden/>
          </w:rPr>
          <w:fldChar w:fldCharType="end"/>
        </w:r>
      </w:hyperlink>
    </w:p>
    <w:p w14:paraId="64F73B58" w14:textId="77777777" w:rsidR="002968F3" w:rsidRDefault="0007488B">
      <w:pPr>
        <w:pStyle w:val="TOC2"/>
        <w:rPr>
          <w:rFonts w:asciiTheme="minorHAnsi" w:eastAsiaTheme="minorEastAsia" w:hAnsiTheme="minorHAnsi"/>
          <w:noProof/>
          <w:lang w:eastAsia="en-AU"/>
        </w:rPr>
      </w:pPr>
      <w:hyperlink w:anchor="_Toc422237727" w:history="1">
        <w:r w:rsidR="002968F3" w:rsidRPr="006F557F">
          <w:rPr>
            <w:rStyle w:val="Hyperlink"/>
            <w:noProof/>
          </w:rPr>
          <w:t>3.2.</w:t>
        </w:r>
        <w:r w:rsidR="002968F3">
          <w:rPr>
            <w:rFonts w:asciiTheme="minorHAnsi" w:eastAsiaTheme="minorEastAsia" w:hAnsiTheme="minorHAnsi"/>
            <w:noProof/>
            <w:lang w:eastAsia="en-AU"/>
          </w:rPr>
          <w:tab/>
        </w:r>
        <w:r w:rsidR="002968F3" w:rsidRPr="006F557F">
          <w:rPr>
            <w:rStyle w:val="Hyperlink"/>
            <w:noProof/>
          </w:rPr>
          <w:t>Management of vulnerable end users</w:t>
        </w:r>
        <w:r w:rsidR="002968F3">
          <w:rPr>
            <w:noProof/>
            <w:webHidden/>
          </w:rPr>
          <w:tab/>
        </w:r>
        <w:r w:rsidR="002968F3">
          <w:rPr>
            <w:noProof/>
            <w:webHidden/>
          </w:rPr>
          <w:fldChar w:fldCharType="begin"/>
        </w:r>
        <w:r w:rsidR="002968F3">
          <w:rPr>
            <w:noProof/>
            <w:webHidden/>
          </w:rPr>
          <w:instrText xml:space="preserve"> PAGEREF _Toc422237727 \h </w:instrText>
        </w:r>
        <w:r w:rsidR="002968F3">
          <w:rPr>
            <w:noProof/>
            <w:webHidden/>
          </w:rPr>
        </w:r>
        <w:r w:rsidR="002968F3">
          <w:rPr>
            <w:noProof/>
            <w:webHidden/>
          </w:rPr>
          <w:fldChar w:fldCharType="separate"/>
        </w:r>
        <w:r>
          <w:rPr>
            <w:noProof/>
            <w:webHidden/>
          </w:rPr>
          <w:t>18</w:t>
        </w:r>
        <w:r w:rsidR="002968F3">
          <w:rPr>
            <w:noProof/>
            <w:webHidden/>
          </w:rPr>
          <w:fldChar w:fldCharType="end"/>
        </w:r>
      </w:hyperlink>
    </w:p>
    <w:p w14:paraId="7BAC87DD" w14:textId="5ADA0568" w:rsidR="002968F3" w:rsidRDefault="002968F3" w:rsidP="002968F3">
      <w:pPr>
        <w:pStyle w:val="TOC3"/>
        <w:rPr>
          <w:rFonts w:asciiTheme="minorHAnsi" w:eastAsiaTheme="minorEastAsia" w:hAnsiTheme="minorHAnsi"/>
          <w:lang w:eastAsia="en-AU"/>
        </w:rPr>
      </w:pPr>
      <w:r>
        <w:rPr>
          <w:rStyle w:val="Hyperlink"/>
          <w:u w:val="none"/>
        </w:rPr>
        <w:tab/>
      </w:r>
      <w:hyperlink w:anchor="_Toc422237728" w:history="1">
        <w:r w:rsidRPr="006F557F">
          <w:rPr>
            <w:rStyle w:val="Hyperlink"/>
          </w:rPr>
          <w:t>3.2.1.</w:t>
        </w:r>
        <w:r>
          <w:rPr>
            <w:rFonts w:asciiTheme="minorHAnsi" w:eastAsiaTheme="minorEastAsia" w:hAnsiTheme="minorHAnsi"/>
            <w:lang w:eastAsia="en-AU"/>
          </w:rPr>
          <w:t xml:space="preserve"> </w:t>
        </w:r>
        <w:r w:rsidRPr="006F557F">
          <w:rPr>
            <w:rStyle w:val="Hyperlink"/>
          </w:rPr>
          <w:t>Tier one vulnerable end users</w:t>
        </w:r>
        <w:r>
          <w:rPr>
            <w:webHidden/>
          </w:rPr>
          <w:tab/>
        </w:r>
        <w:r>
          <w:rPr>
            <w:webHidden/>
          </w:rPr>
          <w:fldChar w:fldCharType="begin"/>
        </w:r>
        <w:r>
          <w:rPr>
            <w:webHidden/>
          </w:rPr>
          <w:instrText xml:space="preserve"> PAGEREF _Toc422237728 \h </w:instrText>
        </w:r>
        <w:r>
          <w:rPr>
            <w:webHidden/>
          </w:rPr>
        </w:r>
        <w:r>
          <w:rPr>
            <w:webHidden/>
          </w:rPr>
          <w:fldChar w:fldCharType="separate"/>
        </w:r>
        <w:r w:rsidR="0007488B">
          <w:rPr>
            <w:webHidden/>
          </w:rPr>
          <w:t>19</w:t>
        </w:r>
        <w:r>
          <w:rPr>
            <w:webHidden/>
          </w:rPr>
          <w:fldChar w:fldCharType="end"/>
        </w:r>
      </w:hyperlink>
    </w:p>
    <w:p w14:paraId="24E534E1" w14:textId="0E2DD336" w:rsidR="002968F3" w:rsidRPr="002968F3" w:rsidRDefault="002968F3" w:rsidP="002968F3">
      <w:pPr>
        <w:pStyle w:val="TOC3"/>
        <w:rPr>
          <w:rFonts w:asciiTheme="minorHAnsi" w:eastAsiaTheme="minorEastAsia" w:hAnsiTheme="minorHAnsi"/>
          <w:lang w:eastAsia="en-AU"/>
        </w:rPr>
      </w:pPr>
      <w:r w:rsidRPr="002968F3">
        <w:rPr>
          <w:rStyle w:val="Hyperlink"/>
          <w:u w:val="none"/>
        </w:rPr>
        <w:tab/>
      </w:r>
      <w:hyperlink w:anchor="_Toc422237729" w:history="1">
        <w:r w:rsidRPr="002968F3">
          <w:rPr>
            <w:rStyle w:val="Hyperlink"/>
            <w:u w:val="none"/>
          </w:rPr>
          <w:t>3.2.2.</w:t>
        </w:r>
        <w:r w:rsidRPr="002968F3">
          <w:rPr>
            <w:rFonts w:asciiTheme="minorHAnsi" w:eastAsiaTheme="minorEastAsia" w:hAnsiTheme="minorHAnsi"/>
            <w:lang w:eastAsia="en-AU"/>
          </w:rPr>
          <w:t xml:space="preserve"> </w:t>
        </w:r>
        <w:r w:rsidRPr="002968F3">
          <w:rPr>
            <w:rStyle w:val="Hyperlink"/>
            <w:u w:val="none"/>
          </w:rPr>
          <w:t>Tier two vulnerable end users</w:t>
        </w:r>
        <w:r w:rsidRPr="002968F3">
          <w:rPr>
            <w:webHidden/>
          </w:rPr>
          <w:tab/>
        </w:r>
        <w:r w:rsidRPr="002968F3">
          <w:rPr>
            <w:webHidden/>
          </w:rPr>
          <w:fldChar w:fldCharType="begin"/>
        </w:r>
        <w:r w:rsidRPr="002968F3">
          <w:rPr>
            <w:webHidden/>
          </w:rPr>
          <w:instrText xml:space="preserve"> PAGEREF _Toc422237729 \h </w:instrText>
        </w:r>
        <w:r w:rsidRPr="002968F3">
          <w:rPr>
            <w:webHidden/>
          </w:rPr>
        </w:r>
        <w:r w:rsidRPr="002968F3">
          <w:rPr>
            <w:webHidden/>
          </w:rPr>
          <w:fldChar w:fldCharType="separate"/>
        </w:r>
        <w:r w:rsidR="0007488B">
          <w:rPr>
            <w:webHidden/>
          </w:rPr>
          <w:t>22</w:t>
        </w:r>
        <w:r w:rsidRPr="002968F3">
          <w:rPr>
            <w:webHidden/>
          </w:rPr>
          <w:fldChar w:fldCharType="end"/>
        </w:r>
      </w:hyperlink>
    </w:p>
    <w:p w14:paraId="082A5E81" w14:textId="77777777" w:rsidR="002968F3" w:rsidRPr="002968F3" w:rsidRDefault="0007488B">
      <w:pPr>
        <w:pStyle w:val="TOC2"/>
        <w:rPr>
          <w:rFonts w:asciiTheme="minorHAnsi" w:eastAsiaTheme="minorEastAsia" w:hAnsiTheme="minorHAnsi"/>
          <w:noProof/>
          <w:lang w:eastAsia="en-AU"/>
        </w:rPr>
      </w:pPr>
      <w:hyperlink w:anchor="_Toc422237730" w:history="1">
        <w:r w:rsidR="002968F3" w:rsidRPr="002968F3">
          <w:rPr>
            <w:rStyle w:val="Hyperlink"/>
            <w:noProof/>
            <w:u w:val="none"/>
          </w:rPr>
          <w:t>3.3.</w:t>
        </w:r>
        <w:r w:rsidR="002968F3" w:rsidRPr="002968F3">
          <w:rPr>
            <w:rFonts w:asciiTheme="minorHAnsi" w:eastAsiaTheme="minorEastAsia" w:hAnsiTheme="minorHAnsi"/>
            <w:noProof/>
            <w:lang w:eastAsia="en-AU"/>
          </w:rPr>
          <w:tab/>
        </w:r>
        <w:r w:rsidR="002968F3" w:rsidRPr="002968F3">
          <w:rPr>
            <w:rStyle w:val="Hyperlink"/>
            <w:noProof/>
            <w:u w:val="none"/>
          </w:rPr>
          <w:t>Management of safety critical services (fire alarm panels and lift phones)</w:t>
        </w:r>
        <w:r w:rsidR="002968F3" w:rsidRPr="002968F3">
          <w:rPr>
            <w:noProof/>
            <w:webHidden/>
          </w:rPr>
          <w:tab/>
        </w:r>
        <w:r w:rsidR="002968F3" w:rsidRPr="002968F3">
          <w:rPr>
            <w:noProof/>
            <w:webHidden/>
          </w:rPr>
          <w:fldChar w:fldCharType="begin"/>
        </w:r>
        <w:r w:rsidR="002968F3" w:rsidRPr="002968F3">
          <w:rPr>
            <w:noProof/>
            <w:webHidden/>
          </w:rPr>
          <w:instrText xml:space="preserve"> PAGEREF _Toc422237730 \h </w:instrText>
        </w:r>
        <w:r w:rsidR="002968F3" w:rsidRPr="002968F3">
          <w:rPr>
            <w:noProof/>
            <w:webHidden/>
          </w:rPr>
        </w:r>
        <w:r w:rsidR="002968F3" w:rsidRPr="002968F3">
          <w:rPr>
            <w:noProof/>
            <w:webHidden/>
          </w:rPr>
          <w:fldChar w:fldCharType="separate"/>
        </w:r>
        <w:r>
          <w:rPr>
            <w:noProof/>
            <w:webHidden/>
          </w:rPr>
          <w:t>23</w:t>
        </w:r>
        <w:r w:rsidR="002968F3" w:rsidRPr="002968F3">
          <w:rPr>
            <w:noProof/>
            <w:webHidden/>
          </w:rPr>
          <w:fldChar w:fldCharType="end"/>
        </w:r>
      </w:hyperlink>
    </w:p>
    <w:p w14:paraId="5C782845" w14:textId="77777777" w:rsidR="002968F3" w:rsidRDefault="0007488B">
      <w:pPr>
        <w:pStyle w:val="TOC1"/>
        <w:rPr>
          <w:rFonts w:asciiTheme="minorHAnsi" w:eastAsiaTheme="minorEastAsia" w:hAnsiTheme="minorHAnsi"/>
          <w:color w:val="auto"/>
          <w:sz w:val="22"/>
          <w:lang w:eastAsia="en-AU"/>
        </w:rPr>
      </w:pPr>
      <w:hyperlink w:anchor="_Toc422237731" w:history="1">
        <w:r w:rsidR="002968F3" w:rsidRPr="006F557F">
          <w:rPr>
            <w:rStyle w:val="Hyperlink"/>
          </w:rPr>
          <w:t>4.</w:t>
        </w:r>
        <w:r w:rsidR="002968F3">
          <w:rPr>
            <w:rFonts w:asciiTheme="minorHAnsi" w:eastAsiaTheme="minorEastAsia" w:hAnsiTheme="minorHAnsi"/>
            <w:color w:val="auto"/>
            <w:sz w:val="22"/>
            <w:lang w:eastAsia="en-AU"/>
          </w:rPr>
          <w:tab/>
        </w:r>
        <w:r w:rsidR="002968F3" w:rsidRPr="006F557F">
          <w:rPr>
            <w:rStyle w:val="Hyperlink"/>
          </w:rPr>
          <w:t>Pillar 4 - Installation and activation of national broadband network services</w:t>
        </w:r>
        <w:r w:rsidR="002968F3">
          <w:rPr>
            <w:webHidden/>
          </w:rPr>
          <w:tab/>
        </w:r>
        <w:r w:rsidR="002968F3">
          <w:rPr>
            <w:webHidden/>
          </w:rPr>
          <w:fldChar w:fldCharType="begin"/>
        </w:r>
        <w:r w:rsidR="002968F3">
          <w:rPr>
            <w:webHidden/>
          </w:rPr>
          <w:instrText xml:space="preserve"> PAGEREF _Toc422237731 \h </w:instrText>
        </w:r>
        <w:r w:rsidR="002968F3">
          <w:rPr>
            <w:webHidden/>
          </w:rPr>
        </w:r>
        <w:r w:rsidR="002968F3">
          <w:rPr>
            <w:webHidden/>
          </w:rPr>
          <w:fldChar w:fldCharType="separate"/>
        </w:r>
        <w:r>
          <w:rPr>
            <w:webHidden/>
          </w:rPr>
          <w:t>28</w:t>
        </w:r>
        <w:r w:rsidR="002968F3">
          <w:rPr>
            <w:webHidden/>
          </w:rPr>
          <w:fldChar w:fldCharType="end"/>
        </w:r>
      </w:hyperlink>
    </w:p>
    <w:p w14:paraId="08ADBBC2" w14:textId="77777777" w:rsidR="002968F3" w:rsidRDefault="0007488B">
      <w:pPr>
        <w:pStyle w:val="TOC1"/>
        <w:rPr>
          <w:rFonts w:asciiTheme="minorHAnsi" w:eastAsiaTheme="minorEastAsia" w:hAnsiTheme="minorHAnsi"/>
          <w:color w:val="auto"/>
          <w:sz w:val="22"/>
          <w:lang w:eastAsia="en-AU"/>
        </w:rPr>
      </w:pPr>
      <w:hyperlink w:anchor="_Toc422237732" w:history="1">
        <w:r w:rsidR="002968F3" w:rsidRPr="006F557F">
          <w:rPr>
            <w:rStyle w:val="Hyperlink"/>
          </w:rPr>
          <w:t>Mandatory disconnections</w:t>
        </w:r>
        <w:r w:rsidR="002968F3">
          <w:rPr>
            <w:webHidden/>
          </w:rPr>
          <w:tab/>
        </w:r>
        <w:r w:rsidR="002968F3">
          <w:rPr>
            <w:webHidden/>
          </w:rPr>
          <w:fldChar w:fldCharType="begin"/>
        </w:r>
        <w:r w:rsidR="002968F3">
          <w:rPr>
            <w:webHidden/>
          </w:rPr>
          <w:instrText xml:space="preserve"> PAGEREF _Toc422237732 \h </w:instrText>
        </w:r>
        <w:r w:rsidR="002968F3">
          <w:rPr>
            <w:webHidden/>
          </w:rPr>
        </w:r>
        <w:r w:rsidR="002968F3">
          <w:rPr>
            <w:webHidden/>
          </w:rPr>
          <w:fldChar w:fldCharType="separate"/>
        </w:r>
        <w:r>
          <w:rPr>
            <w:webHidden/>
          </w:rPr>
          <w:t>30</w:t>
        </w:r>
        <w:r w:rsidR="002968F3">
          <w:rPr>
            <w:webHidden/>
          </w:rPr>
          <w:fldChar w:fldCharType="end"/>
        </w:r>
      </w:hyperlink>
    </w:p>
    <w:p w14:paraId="0C08A90B" w14:textId="77777777" w:rsidR="002968F3" w:rsidRDefault="0007488B">
      <w:pPr>
        <w:pStyle w:val="TOC1"/>
        <w:rPr>
          <w:rFonts w:asciiTheme="minorHAnsi" w:eastAsiaTheme="minorEastAsia" w:hAnsiTheme="minorHAnsi"/>
          <w:color w:val="auto"/>
          <w:sz w:val="22"/>
          <w:lang w:eastAsia="en-AU"/>
        </w:rPr>
      </w:pPr>
      <w:hyperlink w:anchor="_Toc422237733" w:history="1">
        <w:r w:rsidR="002968F3" w:rsidRPr="006F557F">
          <w:rPr>
            <w:rStyle w:val="Hyperlink"/>
          </w:rPr>
          <w:t>5.</w:t>
        </w:r>
        <w:r w:rsidR="002968F3">
          <w:rPr>
            <w:rFonts w:asciiTheme="minorHAnsi" w:eastAsiaTheme="minorEastAsia" w:hAnsiTheme="minorHAnsi"/>
            <w:color w:val="auto"/>
            <w:sz w:val="22"/>
            <w:lang w:eastAsia="en-AU"/>
          </w:rPr>
          <w:tab/>
        </w:r>
        <w:r w:rsidR="002968F3" w:rsidRPr="006F557F">
          <w:rPr>
            <w:rStyle w:val="Hyperlink"/>
          </w:rPr>
          <w:t>Migration and disconnection process – key documents</w:t>
        </w:r>
        <w:r w:rsidR="002968F3">
          <w:rPr>
            <w:webHidden/>
          </w:rPr>
          <w:tab/>
        </w:r>
        <w:r w:rsidR="002968F3">
          <w:rPr>
            <w:webHidden/>
          </w:rPr>
          <w:fldChar w:fldCharType="begin"/>
        </w:r>
        <w:r w:rsidR="002968F3">
          <w:rPr>
            <w:webHidden/>
          </w:rPr>
          <w:instrText xml:space="preserve"> PAGEREF _Toc422237733 \h </w:instrText>
        </w:r>
        <w:r w:rsidR="002968F3">
          <w:rPr>
            <w:webHidden/>
          </w:rPr>
        </w:r>
        <w:r w:rsidR="002968F3">
          <w:rPr>
            <w:webHidden/>
          </w:rPr>
          <w:fldChar w:fldCharType="separate"/>
        </w:r>
        <w:r>
          <w:rPr>
            <w:webHidden/>
          </w:rPr>
          <w:t>31</w:t>
        </w:r>
        <w:r w:rsidR="002968F3">
          <w:rPr>
            <w:webHidden/>
          </w:rPr>
          <w:fldChar w:fldCharType="end"/>
        </w:r>
      </w:hyperlink>
    </w:p>
    <w:p w14:paraId="4349BAE0" w14:textId="77777777" w:rsidR="002968F3" w:rsidRDefault="0007488B">
      <w:pPr>
        <w:pStyle w:val="TOC1"/>
        <w:rPr>
          <w:rFonts w:asciiTheme="minorHAnsi" w:eastAsiaTheme="minorEastAsia" w:hAnsiTheme="minorHAnsi"/>
          <w:color w:val="auto"/>
          <w:sz w:val="22"/>
          <w:lang w:eastAsia="en-AU"/>
        </w:rPr>
      </w:pPr>
      <w:hyperlink w:anchor="_Toc422237734" w:history="1">
        <w:r w:rsidR="002968F3" w:rsidRPr="006F557F">
          <w:rPr>
            <w:rStyle w:val="Hyperlink"/>
          </w:rPr>
          <w:t>6.</w:t>
        </w:r>
        <w:r w:rsidR="002968F3">
          <w:rPr>
            <w:rFonts w:asciiTheme="minorHAnsi" w:eastAsiaTheme="minorEastAsia" w:hAnsiTheme="minorHAnsi"/>
            <w:color w:val="auto"/>
            <w:sz w:val="22"/>
            <w:lang w:eastAsia="en-AU"/>
          </w:rPr>
          <w:tab/>
        </w:r>
        <w:r w:rsidR="002968F3" w:rsidRPr="006F557F">
          <w:rPr>
            <w:rStyle w:val="Hyperlink"/>
          </w:rPr>
          <w:t>Glossary</w:t>
        </w:r>
        <w:r w:rsidR="002968F3">
          <w:rPr>
            <w:webHidden/>
          </w:rPr>
          <w:tab/>
        </w:r>
        <w:r w:rsidR="002968F3">
          <w:rPr>
            <w:webHidden/>
          </w:rPr>
          <w:fldChar w:fldCharType="begin"/>
        </w:r>
        <w:r w:rsidR="002968F3">
          <w:rPr>
            <w:webHidden/>
          </w:rPr>
          <w:instrText xml:space="preserve"> PAGEREF _Toc422237734 \h </w:instrText>
        </w:r>
        <w:r w:rsidR="002968F3">
          <w:rPr>
            <w:webHidden/>
          </w:rPr>
        </w:r>
        <w:r w:rsidR="002968F3">
          <w:rPr>
            <w:webHidden/>
          </w:rPr>
          <w:fldChar w:fldCharType="separate"/>
        </w:r>
        <w:r>
          <w:rPr>
            <w:webHidden/>
          </w:rPr>
          <w:t>33</w:t>
        </w:r>
        <w:r w:rsidR="002968F3">
          <w:rPr>
            <w:webHidden/>
          </w:rPr>
          <w:fldChar w:fldCharType="end"/>
        </w:r>
      </w:hyperlink>
    </w:p>
    <w:p w14:paraId="7F10AFF0" w14:textId="703346F4" w:rsidR="00B77C59" w:rsidRDefault="00AB0EF0" w:rsidP="009475AE">
      <w:pPr>
        <w:spacing w:line="276" w:lineRule="auto"/>
      </w:pPr>
      <w:r>
        <w:rPr>
          <w:noProof/>
          <w:color w:val="00728F"/>
          <w:sz w:val="24"/>
        </w:rPr>
        <w:fldChar w:fldCharType="end"/>
      </w:r>
    </w:p>
    <w:p w14:paraId="73F3F636" w14:textId="77777777" w:rsidR="00EA1D7D" w:rsidRDefault="00EA1D7D" w:rsidP="009475AE">
      <w:pPr>
        <w:spacing w:after="120" w:line="276" w:lineRule="auto"/>
        <w:ind w:left="1021" w:hanging="1021"/>
        <w:rPr>
          <w:rFonts w:ascii="Cambria" w:eastAsiaTheme="majorEastAsia" w:hAnsi="Cambria" w:cstheme="majorBidi"/>
          <w:bCs/>
          <w:color w:val="0072B9"/>
          <w:sz w:val="36"/>
          <w:szCs w:val="28"/>
        </w:rPr>
      </w:pPr>
      <w:bookmarkStart w:id="0" w:name="_Toc406491052"/>
      <w:bookmarkStart w:id="1" w:name="_Toc406497261"/>
      <w:r>
        <w:br w:type="page"/>
      </w:r>
    </w:p>
    <w:p w14:paraId="3C0451A0" w14:textId="020B340E" w:rsidR="00C61801" w:rsidRDefault="00D80654" w:rsidP="009475AE">
      <w:pPr>
        <w:pStyle w:val="Heading1"/>
        <w:numPr>
          <w:ilvl w:val="0"/>
          <w:numId w:val="0"/>
        </w:numPr>
        <w:spacing w:line="276" w:lineRule="auto"/>
        <w:ind w:left="907" w:hanging="907"/>
      </w:pPr>
      <w:bookmarkStart w:id="2" w:name="_Toc422237709"/>
      <w:bookmarkEnd w:id="0"/>
      <w:bookmarkEnd w:id="1"/>
      <w:r>
        <w:lastRenderedPageBreak/>
        <w:t>Forward</w:t>
      </w:r>
      <w:bookmarkEnd w:id="2"/>
    </w:p>
    <w:p w14:paraId="31E4C844" w14:textId="445099D6" w:rsidR="00691E92" w:rsidRPr="00691E92" w:rsidRDefault="00691E92" w:rsidP="009475AE">
      <w:pPr>
        <w:pStyle w:val="BodyText"/>
        <w:spacing w:line="276" w:lineRule="auto"/>
      </w:pPr>
      <w:bookmarkStart w:id="3" w:name="22_June_2011"/>
      <w:bookmarkStart w:id="4" w:name="/"/>
      <w:bookmarkStart w:id="5" w:name="_Toc382493212"/>
      <w:bookmarkEnd w:id="3"/>
      <w:bookmarkEnd w:id="4"/>
      <w:r w:rsidRPr="00691E92">
        <w:t xml:space="preserve">The </w:t>
      </w:r>
      <w:r w:rsidR="002968F3">
        <w:t>national broadband network</w:t>
      </w:r>
      <w:r w:rsidRPr="00691E92">
        <w:t xml:space="preserve"> will offer all Australian premises access to high speed broadband </w:t>
      </w:r>
      <w:r w:rsidR="00BC1F88">
        <w:t xml:space="preserve">and telephony </w:t>
      </w:r>
      <w:r w:rsidRPr="00691E92">
        <w:t>service</w:t>
      </w:r>
      <w:r w:rsidR="00BC1F88">
        <w:t>s</w:t>
      </w:r>
      <w:r w:rsidRPr="00691E92">
        <w:t xml:space="preserve"> and deliver structural reform of the industry via the structural separation of Telstra’s copper and </w:t>
      </w:r>
      <w:r w:rsidR="002A2975">
        <w:t>hybrid-fibre coaxial (</w:t>
      </w:r>
      <w:r w:rsidRPr="00691E92">
        <w:t>HFC</w:t>
      </w:r>
      <w:r w:rsidR="002A2975">
        <w:t>)</w:t>
      </w:r>
      <w:r w:rsidRPr="00691E92">
        <w:t xml:space="preserve"> networks. </w:t>
      </w:r>
    </w:p>
    <w:p w14:paraId="30E3AF3F" w14:textId="61B9748C" w:rsidR="00691E92" w:rsidRPr="00691E92" w:rsidRDefault="00F3638B" w:rsidP="009475AE">
      <w:pPr>
        <w:pStyle w:val="BodyText"/>
        <w:spacing w:line="276" w:lineRule="auto"/>
      </w:pPr>
      <w:r>
        <w:t>In the fixed line footprint, f</w:t>
      </w:r>
      <w:r w:rsidR="00691E92" w:rsidRPr="00691E92">
        <w:t xml:space="preserve">rom the time </w:t>
      </w:r>
      <w:r w:rsidR="00283547">
        <w:t>an area</w:t>
      </w:r>
      <w:r w:rsidR="00691E92" w:rsidRPr="00691E92">
        <w:t xml:space="preserve"> is declared ‘ready for service’ in a particular rollout region</w:t>
      </w:r>
      <w:r w:rsidR="00FD254F">
        <w:t>,</w:t>
      </w:r>
      <w:r w:rsidR="00FD254F" w:rsidRPr="00FD254F">
        <w:t xml:space="preserve"> </w:t>
      </w:r>
      <w:r w:rsidR="00FD254F">
        <w:t>e</w:t>
      </w:r>
      <w:r w:rsidR="00FD254F" w:rsidRPr="00FD254F">
        <w:t>nd users and businesses generally have 18 months to migrate services on to the national broadband network</w:t>
      </w:r>
      <w:r w:rsidR="00691E92" w:rsidRPr="00691E92">
        <w:t xml:space="preserve"> (the migration window). After this time, any remaining </w:t>
      </w:r>
      <w:r w:rsidR="0061380A">
        <w:t xml:space="preserve">fixed line </w:t>
      </w:r>
      <w:r w:rsidR="00BC1F88">
        <w:t xml:space="preserve">broadband or telephony </w:t>
      </w:r>
      <w:r w:rsidR="00691E92" w:rsidRPr="00691E92">
        <w:t xml:space="preserve">services </w:t>
      </w:r>
      <w:r w:rsidR="00CD53AE" w:rsidRPr="00CD53AE">
        <w:t>over the T</w:t>
      </w:r>
      <w:r w:rsidR="00CD53AE">
        <w:t xml:space="preserve">elstra copper and HFC networks </w:t>
      </w:r>
      <w:r w:rsidR="006C79A0">
        <w:t xml:space="preserve">within the national broadband network fixed line footprint </w:t>
      </w:r>
      <w:r w:rsidR="00691E92" w:rsidRPr="00691E92">
        <w:t>will be disconnected</w:t>
      </w:r>
      <w:r w:rsidR="00FD254F">
        <w:rPr>
          <w:rStyle w:val="FootnoteReference"/>
        </w:rPr>
        <w:footnoteReference w:id="2"/>
      </w:r>
      <w:r w:rsidR="00691E92" w:rsidRPr="00691E92">
        <w:t>.</w:t>
      </w:r>
      <w:r w:rsidR="00D95F8A">
        <w:t xml:space="preserve"> </w:t>
      </w:r>
      <w:r w:rsidR="00D95F8A" w:rsidRPr="00D95F8A">
        <w:t xml:space="preserve">To minimise the potential for service disruption, end users are encouraged to migrate their services early in the migration window. </w:t>
      </w:r>
    </w:p>
    <w:p w14:paraId="29C6D5DC" w14:textId="6F3586E7" w:rsidR="00691E92" w:rsidRPr="00691E92" w:rsidRDefault="00691E92" w:rsidP="009475AE">
      <w:pPr>
        <w:pStyle w:val="BodyText"/>
        <w:spacing w:line="276" w:lineRule="auto"/>
      </w:pPr>
      <w:r w:rsidRPr="00691E92">
        <w:t xml:space="preserve">One of the Australian Government’s priorities for the migration is to ensure that end users experience minimal disruption. However, experience in the initial rollout areas has shown that this has not always been achieved. In some instances, issues relating to inconsistent messaging, serviceability challenges and a lack of clarity around the roles and responsibilities of the various parties involved have had a negative impact on service continuity. Addressing these issues is complicated by the fact that no single party has end-to-end accountability for the migration process. </w:t>
      </w:r>
    </w:p>
    <w:p w14:paraId="4C0727D2" w14:textId="51AC5BB8" w:rsidR="00691E92" w:rsidRPr="00691E92" w:rsidRDefault="00691E92" w:rsidP="009475AE">
      <w:pPr>
        <w:pStyle w:val="BodyText"/>
        <w:spacing w:line="276" w:lineRule="auto"/>
      </w:pPr>
      <w:r w:rsidRPr="00691E92">
        <w:t xml:space="preserve">In recognition of this, the Government, Telstra and </w:t>
      </w:r>
      <w:r w:rsidR="00283547">
        <w:t>nbn</w:t>
      </w:r>
      <w:r w:rsidRPr="00691E92">
        <w:t xml:space="preserve"> agreed to cooperate and work with broader industry to re-examine and improve migration processes through the development of a migration assurance</w:t>
      </w:r>
      <w:r w:rsidR="00C1683E">
        <w:t xml:space="preserve"> policy</w:t>
      </w:r>
      <w:r w:rsidR="002009B5">
        <w:t xml:space="preserve"> (MAP)</w:t>
      </w:r>
      <w:r w:rsidRPr="00691E92">
        <w:t xml:space="preserve">. </w:t>
      </w:r>
    </w:p>
    <w:p w14:paraId="498F8765" w14:textId="77777777" w:rsidR="00691E92" w:rsidRPr="00691E92" w:rsidRDefault="00691E92" w:rsidP="00FD254F">
      <w:pPr>
        <w:pStyle w:val="BodyText"/>
        <w:spacing w:after="0" w:line="276" w:lineRule="auto"/>
      </w:pPr>
      <w:r w:rsidRPr="00691E92">
        <w:t xml:space="preserve">A number of streams of work were begun to improve the migration process: </w:t>
      </w:r>
    </w:p>
    <w:p w14:paraId="2249FAF2" w14:textId="167B6325" w:rsidR="00691E92" w:rsidRPr="00691E92" w:rsidRDefault="00691E92" w:rsidP="00FD254F">
      <w:pPr>
        <w:pStyle w:val="BodyText"/>
        <w:numPr>
          <w:ilvl w:val="0"/>
          <w:numId w:val="45"/>
        </w:numPr>
        <w:spacing w:before="0" w:line="276" w:lineRule="auto"/>
      </w:pPr>
      <w:r w:rsidRPr="00691E92">
        <w:t xml:space="preserve">The Communications Alliance convened a working committee composed of industry stakeholders (predominantly </w:t>
      </w:r>
      <w:r w:rsidR="00F07A5F">
        <w:t>retail service providers (</w:t>
      </w:r>
      <w:r w:rsidRPr="00691E92">
        <w:t>RSPs</w:t>
      </w:r>
      <w:r w:rsidR="00F07A5F">
        <w:t>)</w:t>
      </w:r>
      <w:r w:rsidRPr="00691E92">
        <w:t>) to develop an industry</w:t>
      </w:r>
      <w:r w:rsidR="009C3983">
        <w:t>-</w:t>
      </w:r>
      <w:r w:rsidRPr="00691E92">
        <w:t xml:space="preserve">led processes and solutions guideline to address key migration issues. This working group released the </w:t>
      </w:r>
      <w:r w:rsidRPr="005F2431">
        <w:rPr>
          <w:i/>
        </w:rPr>
        <w:t>NBN Migration Management Guideline G652:2014</w:t>
      </w:r>
      <w:r w:rsidRPr="00691E92">
        <w:t xml:space="preserve"> in December 2014.</w:t>
      </w:r>
    </w:p>
    <w:p w14:paraId="0B2CD3CF" w14:textId="4C83AA7C" w:rsidR="00691E92" w:rsidRPr="00691E92" w:rsidRDefault="0076262F" w:rsidP="009475AE">
      <w:pPr>
        <w:pStyle w:val="BodyText"/>
        <w:numPr>
          <w:ilvl w:val="0"/>
          <w:numId w:val="45"/>
        </w:numPr>
        <w:spacing w:line="276" w:lineRule="auto"/>
      </w:pPr>
      <w:r>
        <w:t>n</w:t>
      </w:r>
      <w:r w:rsidR="00601030">
        <w:t>bn</w:t>
      </w:r>
      <w:r w:rsidR="00691E92" w:rsidRPr="00691E92">
        <w:t xml:space="preserve"> and Telstra initiated a process to</w:t>
      </w:r>
      <w:r w:rsidR="00691E92" w:rsidRPr="00691E92" w:rsidDel="00FC38A4">
        <w:t xml:space="preserve"> </w:t>
      </w:r>
      <w:r w:rsidR="00691E92" w:rsidRPr="00691E92">
        <w:t xml:space="preserve">refine operational arrangements to support improved migration and disconnection processes (reflected in the arrangements announced to industry for </w:t>
      </w:r>
      <w:r w:rsidR="00CD53AE">
        <w:t>service</w:t>
      </w:r>
      <w:r w:rsidR="00691E92" w:rsidRPr="00691E92">
        <w:t xml:space="preserve"> area modules 32 and beyond). </w:t>
      </w:r>
    </w:p>
    <w:p w14:paraId="51C66106" w14:textId="13A39710" w:rsidR="00691E92" w:rsidRPr="00691E92" w:rsidRDefault="00691E92" w:rsidP="009475AE">
      <w:pPr>
        <w:pStyle w:val="BodyText"/>
        <w:numPr>
          <w:ilvl w:val="0"/>
          <w:numId w:val="45"/>
        </w:numPr>
        <w:spacing w:line="276" w:lineRule="auto"/>
      </w:pPr>
      <w:r w:rsidRPr="00691E92">
        <w:t>the</w:t>
      </w:r>
      <w:r w:rsidRPr="00691E92" w:rsidDel="00F07A5F">
        <w:t xml:space="preserve"> </w:t>
      </w:r>
      <w:r w:rsidRPr="00691E92">
        <w:t xml:space="preserve">Government released a consultation paper in September 2014 seeking submissions from industry and other interested stakeholders in order to obtain a better understanding of migration issues and receive input as to the improvements which could be made to promote an improved, more consistent migration experience for end users. </w:t>
      </w:r>
    </w:p>
    <w:p w14:paraId="22C906CD" w14:textId="77777777" w:rsidR="00FD254F" w:rsidRDefault="00691E92" w:rsidP="009475AE">
      <w:pPr>
        <w:pStyle w:val="BodyText"/>
        <w:spacing w:line="276" w:lineRule="auto"/>
      </w:pPr>
      <w:r w:rsidRPr="00691E92">
        <w:t>Learnings from the consultation process</w:t>
      </w:r>
      <w:r w:rsidR="00F900DE">
        <w:t xml:space="preserve">, </w:t>
      </w:r>
      <w:r w:rsidRPr="00691E92">
        <w:t xml:space="preserve">consideration </w:t>
      </w:r>
      <w:r w:rsidR="00080DB3">
        <w:t xml:space="preserve">of </w:t>
      </w:r>
      <w:r w:rsidRPr="00691E92">
        <w:t xml:space="preserve">the work of the other industry processes </w:t>
      </w:r>
      <w:r w:rsidR="00F900DE">
        <w:t xml:space="preserve">and the experience of the first six months of managed disconnections </w:t>
      </w:r>
      <w:r w:rsidRPr="00691E92">
        <w:t xml:space="preserve">have informed the development of the following </w:t>
      </w:r>
      <w:r w:rsidR="002009B5">
        <w:t>MAP</w:t>
      </w:r>
      <w:r w:rsidRPr="00691E92">
        <w:t xml:space="preserve"> framework. </w:t>
      </w:r>
    </w:p>
    <w:p w14:paraId="4284FF31" w14:textId="0AEC19CD" w:rsidR="00691E92" w:rsidRDefault="00691E92" w:rsidP="009475AE">
      <w:pPr>
        <w:pStyle w:val="BodyText"/>
        <w:spacing w:line="276" w:lineRule="auto"/>
      </w:pPr>
      <w:r w:rsidRPr="00691E92">
        <w:rPr>
          <w:lang w:val="en"/>
        </w:rPr>
        <w:t>This framework has been developed by</w:t>
      </w:r>
      <w:r w:rsidRPr="00691E92">
        <w:t xml:space="preserve"> the Government in collaboration with </w:t>
      </w:r>
      <w:r w:rsidR="0076262F">
        <w:t>n</w:t>
      </w:r>
      <w:r w:rsidR="00601030">
        <w:t>bn</w:t>
      </w:r>
      <w:r w:rsidRPr="00691E92">
        <w:t xml:space="preserve"> and Telstra </w:t>
      </w:r>
      <w:r w:rsidRPr="00691E92">
        <w:rPr>
          <w:lang w:val="en"/>
        </w:rPr>
        <w:t xml:space="preserve">to engage industry in developing solutions that address key migration issues, and manage the service continuity needs of end users. </w:t>
      </w:r>
      <w:r w:rsidR="00FD254F">
        <w:rPr>
          <w:lang w:val="en"/>
        </w:rPr>
        <w:t>Therefore, t</w:t>
      </w:r>
      <w:r w:rsidRPr="00691E92">
        <w:rPr>
          <w:lang w:val="en"/>
        </w:rPr>
        <w:t>he framework</w:t>
      </w:r>
      <w:r w:rsidRPr="00691E92">
        <w:t xml:space="preserve"> </w:t>
      </w:r>
      <w:r w:rsidR="00FD254F">
        <w:t>is being</w:t>
      </w:r>
      <w:r w:rsidR="00080DB3">
        <w:t xml:space="preserve"> </w:t>
      </w:r>
      <w:r w:rsidRPr="00691E92">
        <w:t xml:space="preserve">released </w:t>
      </w:r>
      <w:r w:rsidR="00080DB3">
        <w:t>to seek</w:t>
      </w:r>
      <w:r w:rsidRPr="00691E92">
        <w:t xml:space="preserve"> industry feedback</w:t>
      </w:r>
      <w:r w:rsidR="00FD254F">
        <w:t xml:space="preserve"> for further refinement. It is then expected that </w:t>
      </w:r>
      <w:r w:rsidR="002009B5">
        <w:t xml:space="preserve">industry </w:t>
      </w:r>
      <w:r w:rsidR="00FD254F">
        <w:t>will own the framework and put it into</w:t>
      </w:r>
      <w:r w:rsidRPr="00691E92">
        <w:t xml:space="preserve"> practice. </w:t>
      </w:r>
    </w:p>
    <w:p w14:paraId="033ED6BE" w14:textId="0D1ADFBB" w:rsidR="00691E92" w:rsidRPr="00691E92" w:rsidRDefault="00691E92" w:rsidP="009475AE">
      <w:pPr>
        <w:pStyle w:val="BodyText"/>
        <w:spacing w:line="276" w:lineRule="auto"/>
      </w:pPr>
      <w:r w:rsidRPr="00691E92">
        <w:t xml:space="preserve">The </w:t>
      </w:r>
      <w:r w:rsidR="002009B5">
        <w:t>MAP</w:t>
      </w:r>
      <w:r w:rsidRPr="00691E92">
        <w:t xml:space="preserve"> framework recognises that there </w:t>
      </w:r>
      <w:r w:rsidR="00B2604B">
        <w:t xml:space="preserve">are </w:t>
      </w:r>
      <w:r w:rsidRPr="00691E92">
        <w:t xml:space="preserve">already a range of commitments and obligations in relation to migration and disconnection which are enforced through regulatory, industry and commercial agreements such as Telstra’s Migration Plan, the Definitive Agreements between </w:t>
      </w:r>
      <w:r w:rsidR="0076262F">
        <w:t>n</w:t>
      </w:r>
      <w:r w:rsidR="00601030">
        <w:t>bn</w:t>
      </w:r>
      <w:r w:rsidRPr="00691E92">
        <w:t xml:space="preserve"> and Telstra, </w:t>
      </w:r>
      <w:r w:rsidR="0076262F">
        <w:t>n</w:t>
      </w:r>
      <w:r w:rsidR="00601030">
        <w:t>bn</w:t>
      </w:r>
      <w:r w:rsidRPr="00691E92">
        <w:t>’s Wholesale Broadband Agreement, and Communications Alliance Guidelines. The framework does not seek to reproduce those documents.</w:t>
      </w:r>
    </w:p>
    <w:p w14:paraId="1CC0E5A2" w14:textId="368633FD" w:rsidR="00691E92" w:rsidRPr="00691E92" w:rsidRDefault="00691E92" w:rsidP="009475AE">
      <w:pPr>
        <w:pStyle w:val="BodyText"/>
        <w:spacing w:line="276" w:lineRule="auto"/>
      </w:pPr>
      <w:r w:rsidRPr="00691E92">
        <w:t>The Government will monitor improvements to the migration process through a variety of sources including:</w:t>
      </w:r>
    </w:p>
    <w:p w14:paraId="2F362A95" w14:textId="25826CA1" w:rsidR="00691E92" w:rsidRPr="00691E92" w:rsidRDefault="00691E92" w:rsidP="009475AE">
      <w:pPr>
        <w:pStyle w:val="BodyText"/>
        <w:numPr>
          <w:ilvl w:val="0"/>
          <w:numId w:val="36"/>
        </w:numPr>
        <w:spacing w:line="276" w:lineRule="auto"/>
      </w:pPr>
      <w:r w:rsidRPr="00691E92">
        <w:t xml:space="preserve">market research conducted by </w:t>
      </w:r>
      <w:r w:rsidR="0076262F">
        <w:t>n</w:t>
      </w:r>
      <w:r w:rsidR="00601030">
        <w:t>bn</w:t>
      </w:r>
      <w:r w:rsidRPr="00691E92">
        <w:t xml:space="preserve"> to track end user experience when connecting to </w:t>
      </w:r>
      <w:r w:rsidR="002968F3">
        <w:t>services on the national broadband network</w:t>
      </w:r>
    </w:p>
    <w:p w14:paraId="4C0C5F7C" w14:textId="47285EFD" w:rsidR="00691E92" w:rsidRPr="00691E92" w:rsidRDefault="009C3983" w:rsidP="009475AE">
      <w:pPr>
        <w:pStyle w:val="BodyText"/>
        <w:numPr>
          <w:ilvl w:val="0"/>
          <w:numId w:val="36"/>
        </w:numPr>
        <w:spacing w:line="276" w:lineRule="auto"/>
      </w:pPr>
      <w:r>
        <w:t>n</w:t>
      </w:r>
      <w:r w:rsidR="002968F3">
        <w:t>ational broadband network</w:t>
      </w:r>
      <w:r w:rsidR="00691E92" w:rsidRPr="00691E92">
        <w:t xml:space="preserve"> related complaints received by the T</w:t>
      </w:r>
      <w:r w:rsidR="00F07A5F">
        <w:t xml:space="preserve">elecommunications </w:t>
      </w:r>
      <w:r w:rsidR="00691E92" w:rsidRPr="00691E92">
        <w:t>I</w:t>
      </w:r>
      <w:r w:rsidR="00F07A5F">
        <w:t xml:space="preserve">ndustry </w:t>
      </w:r>
      <w:r w:rsidR="00691E92" w:rsidRPr="00691E92">
        <w:t>O</w:t>
      </w:r>
      <w:r w:rsidR="00F07A5F">
        <w:t>mbudsman (TIO)</w:t>
      </w:r>
      <w:r w:rsidR="00B2604B">
        <w:t>,</w:t>
      </w:r>
      <w:r w:rsidR="00691E92" w:rsidRPr="00691E92">
        <w:t xml:space="preserve"> and other government entities such as the Australian Competition and Consumer Commission, Australian Communications and Media Authority and </w:t>
      </w:r>
      <w:r w:rsidR="0076262F">
        <w:t>n</w:t>
      </w:r>
      <w:r w:rsidR="00601030">
        <w:t>bn</w:t>
      </w:r>
      <w:r w:rsidR="00691E92" w:rsidRPr="00691E92">
        <w:t xml:space="preserve"> directly</w:t>
      </w:r>
    </w:p>
    <w:p w14:paraId="11B7EB38" w14:textId="77777777" w:rsidR="00691E92" w:rsidRPr="00691E92" w:rsidRDefault="00691E92" w:rsidP="009475AE">
      <w:pPr>
        <w:pStyle w:val="BodyText"/>
        <w:numPr>
          <w:ilvl w:val="0"/>
          <w:numId w:val="36"/>
        </w:numPr>
        <w:spacing w:line="276" w:lineRule="auto"/>
      </w:pPr>
      <w:r w:rsidRPr="00691E92">
        <w:t>correspondence received by the Minister for Communications and the Parliamentary Secretary to the Minister for Communications.</w:t>
      </w:r>
    </w:p>
    <w:p w14:paraId="57C78EA5" w14:textId="495A6E0B" w:rsidR="00691E92" w:rsidRDefault="00691E92" w:rsidP="009475AE">
      <w:pPr>
        <w:pStyle w:val="BodyText"/>
        <w:spacing w:line="276" w:lineRule="auto"/>
      </w:pPr>
      <w:r w:rsidRPr="00691E92">
        <w:t xml:space="preserve">If parties are not adhering to their roles and responsibilities and the migration process results in high instances of poor service continuity outcomes for end users, the Government </w:t>
      </w:r>
      <w:r w:rsidR="001D6C79">
        <w:t>may</w:t>
      </w:r>
      <w:r w:rsidRPr="00691E92">
        <w:t xml:space="preserve"> investigate </w:t>
      </w:r>
      <w:r w:rsidR="001D6C79" w:rsidRPr="001D6C79">
        <w:t>other avenues to improve continuity outcomes</w:t>
      </w:r>
      <w:r w:rsidR="001D6C79">
        <w:t xml:space="preserve">, such as </w:t>
      </w:r>
      <w:r w:rsidRPr="00691E92">
        <w:t>appropriate regulatory and legislative mechanisms to further reform the migration process.</w:t>
      </w:r>
    </w:p>
    <w:p w14:paraId="5205D252" w14:textId="03EDF8D5" w:rsidR="00F3638B" w:rsidRDefault="00F3638B" w:rsidP="009475AE">
      <w:pPr>
        <w:pStyle w:val="BodyText"/>
        <w:spacing w:line="276" w:lineRule="auto"/>
      </w:pPr>
      <w:r>
        <w:t xml:space="preserve">It is important to note that the MAP framework only applies to the </w:t>
      </w:r>
      <w:r w:rsidR="006C79A0">
        <w:t xml:space="preserve">national broadband network </w:t>
      </w:r>
      <w:r>
        <w:t>fixed line footprint</w:t>
      </w:r>
      <w:r w:rsidR="00145988">
        <w:t>,</w:t>
      </w:r>
      <w:r>
        <w:t xml:space="preserve"> as premises within the nbn fixed wireless and satellite footprints do not need to migrate off the existing legacy network.</w:t>
      </w:r>
    </w:p>
    <w:p w14:paraId="6E2B64E0" w14:textId="0DC15A6D" w:rsidR="009F26EA" w:rsidRPr="002009B5" w:rsidRDefault="002009B5" w:rsidP="009475AE">
      <w:pPr>
        <w:pStyle w:val="BodyText"/>
        <w:spacing w:line="276" w:lineRule="auto"/>
        <w:rPr>
          <w:highlight w:val="yellow"/>
        </w:rPr>
      </w:pPr>
      <w:r w:rsidRPr="002009B5">
        <w:t>This version of the MAP framew</w:t>
      </w:r>
      <w:r w:rsidR="00765346">
        <w:t>o</w:t>
      </w:r>
      <w:r w:rsidR="00E51130">
        <w:t xml:space="preserve">rk will be updated as required </w:t>
      </w:r>
      <w:r w:rsidR="00765346" w:rsidRPr="00765346">
        <w:t>over time</w:t>
      </w:r>
      <w:r w:rsidR="00765346">
        <w:t>,</w:t>
      </w:r>
      <w:r w:rsidR="00696685">
        <w:t xml:space="preserve"> including</w:t>
      </w:r>
      <w:r w:rsidR="00765346" w:rsidRPr="00765346">
        <w:t xml:space="preserve"> </w:t>
      </w:r>
      <w:r w:rsidRPr="002009B5">
        <w:t>to reflect the multi</w:t>
      </w:r>
      <w:r w:rsidR="009C3983">
        <w:noBreakHyphen/>
      </w:r>
      <w:r w:rsidRPr="002009B5">
        <w:t>technology mix.</w:t>
      </w:r>
    </w:p>
    <w:p w14:paraId="7B8F66FE" w14:textId="774E21D2" w:rsidR="00D80654" w:rsidRDefault="00D80654" w:rsidP="009475AE">
      <w:pPr>
        <w:pStyle w:val="BodyText"/>
        <w:spacing w:line="276" w:lineRule="auto"/>
      </w:pPr>
    </w:p>
    <w:p w14:paraId="5682E9BF" w14:textId="77777777" w:rsidR="00D80654" w:rsidRDefault="00D80654" w:rsidP="009475AE">
      <w:pPr>
        <w:pStyle w:val="BodyText"/>
        <w:spacing w:line="276" w:lineRule="auto"/>
      </w:pPr>
    </w:p>
    <w:p w14:paraId="6439878A" w14:textId="77777777" w:rsidR="00D80654" w:rsidRDefault="00D80654" w:rsidP="009475AE">
      <w:pPr>
        <w:pStyle w:val="BodyText"/>
        <w:spacing w:line="276" w:lineRule="auto"/>
      </w:pPr>
    </w:p>
    <w:p w14:paraId="076B1570" w14:textId="77777777" w:rsidR="00D80654" w:rsidRDefault="00D80654" w:rsidP="009475AE">
      <w:pPr>
        <w:pStyle w:val="BodyText"/>
        <w:spacing w:line="276" w:lineRule="auto"/>
      </w:pPr>
    </w:p>
    <w:p w14:paraId="0C0A0ADB" w14:textId="4B1FD56C" w:rsidR="00E8573F" w:rsidRPr="00E60D80" w:rsidRDefault="00320DDA" w:rsidP="009475AE">
      <w:pPr>
        <w:spacing w:after="120" w:line="276" w:lineRule="auto"/>
        <w:ind w:left="1021" w:hanging="1021"/>
        <w:rPr>
          <w:rFonts w:asciiTheme="minorHAnsi" w:hAnsiTheme="minorHAnsi" w:cs="Times New Roman"/>
        </w:rPr>
      </w:pPr>
      <w:r>
        <w:rPr>
          <w:rFonts w:asciiTheme="minorHAnsi" w:hAnsiTheme="minorHAnsi" w:cs="Times New Roman"/>
        </w:rPr>
        <w:br w:type="page"/>
      </w:r>
    </w:p>
    <w:p w14:paraId="2829CB59" w14:textId="34E91ECE" w:rsidR="00F1701A" w:rsidRDefault="00F1701A" w:rsidP="009475AE">
      <w:pPr>
        <w:pStyle w:val="Heading1"/>
        <w:numPr>
          <w:ilvl w:val="0"/>
          <w:numId w:val="0"/>
        </w:numPr>
        <w:spacing w:line="276" w:lineRule="auto"/>
        <w:ind w:left="907" w:hanging="907"/>
      </w:pPr>
      <w:bookmarkStart w:id="6" w:name="_Toc406491054"/>
      <w:bookmarkStart w:id="7" w:name="_Toc406497263"/>
      <w:bookmarkStart w:id="8" w:name="_Toc422237710"/>
      <w:r>
        <w:t>Industry migration and disconnection roles and responsibilities</w:t>
      </w:r>
      <w:bookmarkEnd w:id="6"/>
      <w:bookmarkEnd w:id="7"/>
      <w:bookmarkEnd w:id="8"/>
    </w:p>
    <w:p w14:paraId="666AE49B" w14:textId="75690C7A" w:rsidR="00F1701A" w:rsidRPr="00523700" w:rsidRDefault="00F1701A" w:rsidP="009475AE">
      <w:pPr>
        <w:pStyle w:val="Bodytext-Indent"/>
        <w:spacing w:line="276" w:lineRule="auto"/>
        <w:ind w:left="0"/>
      </w:pPr>
      <w:r w:rsidRPr="00523700">
        <w:t xml:space="preserve">Effective migration requires ongoing co-operation, commitment and resources from all industry stakeholders. </w:t>
      </w:r>
      <w:r w:rsidR="000D2C29">
        <w:t xml:space="preserve">The Government recognises that to date industry </w:t>
      </w:r>
      <w:r w:rsidR="00B2604B">
        <w:t xml:space="preserve">has worked hard </w:t>
      </w:r>
      <w:r w:rsidR="000D2C29">
        <w:t xml:space="preserve">in </w:t>
      </w:r>
      <w:r w:rsidR="000426D2">
        <w:t xml:space="preserve">supporting </w:t>
      </w:r>
      <w:r w:rsidR="000D2C29">
        <w:t>a successful migration process.</w:t>
      </w:r>
    </w:p>
    <w:p w14:paraId="2DD0EEE5" w14:textId="6482D137" w:rsidR="00F1701A" w:rsidRPr="00523700" w:rsidRDefault="00F1701A" w:rsidP="009475AE">
      <w:pPr>
        <w:pStyle w:val="Bodytext-Indent"/>
        <w:spacing w:line="276" w:lineRule="auto"/>
        <w:ind w:left="0"/>
      </w:pPr>
      <w:r w:rsidRPr="00523700">
        <w:t xml:space="preserve">The following section identifies at a high level the </w:t>
      </w:r>
      <w:r w:rsidR="00D95F8A">
        <w:t>roles of</w:t>
      </w:r>
      <w:r w:rsidRPr="00523700">
        <w:t xml:space="preserve"> key industry stakeholders in the migration of end</w:t>
      </w:r>
      <w:r w:rsidR="00ED2432">
        <w:t xml:space="preserve"> </w:t>
      </w:r>
      <w:r w:rsidRPr="00523700">
        <w:t xml:space="preserve">users to the </w:t>
      </w:r>
      <w:r w:rsidR="00F3175B">
        <w:t>national broadband network</w:t>
      </w:r>
      <w:r w:rsidRPr="00523700">
        <w:t>.</w:t>
      </w:r>
      <w:r w:rsidR="00E96C2C">
        <w:t xml:space="preserve"> All stakeholders need to play their part to support service continuity for </w:t>
      </w:r>
      <w:r w:rsidR="00E51130">
        <w:t>customers</w:t>
      </w:r>
      <w:r w:rsidR="00E96C2C">
        <w:t>.</w:t>
      </w:r>
    </w:p>
    <w:p w14:paraId="43697FD6" w14:textId="6A2F0BAD" w:rsidR="00F1701A" w:rsidRDefault="00F1701A" w:rsidP="009475AE">
      <w:pPr>
        <w:pStyle w:val="Heading2"/>
        <w:numPr>
          <w:ilvl w:val="0"/>
          <w:numId w:val="0"/>
        </w:numPr>
        <w:spacing w:line="276" w:lineRule="auto"/>
        <w:ind w:left="1049" w:hanging="907"/>
      </w:pPr>
      <w:bookmarkStart w:id="9" w:name="_Toc406491055"/>
      <w:bookmarkStart w:id="10" w:name="_Toc406497264"/>
      <w:bookmarkStart w:id="11" w:name="_Toc422237711"/>
      <w:r>
        <w:t xml:space="preserve">Role of </w:t>
      </w:r>
      <w:bookmarkEnd w:id="9"/>
      <w:bookmarkEnd w:id="10"/>
      <w:r w:rsidR="0076262F">
        <w:t>n</w:t>
      </w:r>
      <w:r w:rsidR="00601030">
        <w:t>bn</w:t>
      </w:r>
      <w:bookmarkEnd w:id="11"/>
    </w:p>
    <w:p w14:paraId="135F88C8" w14:textId="0F291E11" w:rsidR="00FE7E5B" w:rsidRDefault="00FE7E5B" w:rsidP="009475AE">
      <w:pPr>
        <w:pStyle w:val="BodyText"/>
        <w:numPr>
          <w:ilvl w:val="0"/>
          <w:numId w:val="24"/>
        </w:numPr>
        <w:spacing w:before="0" w:after="120" w:line="276" w:lineRule="auto"/>
      </w:pPr>
      <w:r w:rsidRPr="00E56864">
        <w:t xml:space="preserve">construction, operation and maintenance of </w:t>
      </w:r>
      <w:r w:rsidR="002968F3">
        <w:t>the national broadband network</w:t>
      </w:r>
      <w:r w:rsidRPr="00E56864">
        <w:t xml:space="preserve"> </w:t>
      </w:r>
    </w:p>
    <w:p w14:paraId="2DFE702F" w14:textId="77777777" w:rsidR="002968F3" w:rsidRDefault="00FE7E5B" w:rsidP="009475AE">
      <w:pPr>
        <w:pStyle w:val="BodyText"/>
        <w:numPr>
          <w:ilvl w:val="0"/>
          <w:numId w:val="24"/>
        </w:numPr>
        <w:spacing w:before="0" w:after="120" w:line="276" w:lineRule="auto"/>
      </w:pPr>
      <w:r w:rsidRPr="00E56864">
        <w:t>publication of network and service readiness information</w:t>
      </w:r>
    </w:p>
    <w:p w14:paraId="530F19AD" w14:textId="61E3E1FF" w:rsidR="00FE7E5B" w:rsidRDefault="00FE7E5B" w:rsidP="009475AE">
      <w:pPr>
        <w:pStyle w:val="BodyText"/>
        <w:numPr>
          <w:ilvl w:val="0"/>
          <w:numId w:val="24"/>
        </w:numPr>
        <w:spacing w:before="0" w:after="120" w:line="276" w:lineRule="auto"/>
      </w:pPr>
      <w:r>
        <w:t xml:space="preserve">notifying end users </w:t>
      </w:r>
      <w:r w:rsidR="00AD5C9D">
        <w:t xml:space="preserve">via </w:t>
      </w:r>
      <w:r w:rsidR="0076262F">
        <w:t>n</w:t>
      </w:r>
      <w:r w:rsidR="00601030">
        <w:t>bn</w:t>
      </w:r>
      <w:r w:rsidR="000426D2">
        <w:t xml:space="preserve">’s </w:t>
      </w:r>
      <w:r w:rsidR="00AD5C9D">
        <w:t>P</w:t>
      </w:r>
      <w:r w:rsidR="00C535CC">
        <w:t xml:space="preserve">ublic </w:t>
      </w:r>
      <w:r w:rsidR="00AD5C9D">
        <w:t>I</w:t>
      </w:r>
      <w:r w:rsidR="00C535CC">
        <w:t xml:space="preserve">nformation on </w:t>
      </w:r>
      <w:r w:rsidR="00AD5C9D">
        <w:t>M</w:t>
      </w:r>
      <w:r w:rsidR="00B14812">
        <w:t>igration campaig</w:t>
      </w:r>
      <w:r w:rsidR="00B10D96">
        <w:t>n</w:t>
      </w:r>
      <w:r w:rsidR="00AD5C9D">
        <w:t xml:space="preserve"> </w:t>
      </w:r>
      <w:r>
        <w:t xml:space="preserve">of the need to migrate </w:t>
      </w:r>
      <w:r w:rsidR="007328A6">
        <w:t xml:space="preserve">existing fixed line </w:t>
      </w:r>
      <w:r>
        <w:t xml:space="preserve">services </w:t>
      </w:r>
      <w:r w:rsidR="007328A6">
        <w:t xml:space="preserve">to the national broadband network, </w:t>
      </w:r>
      <w:r w:rsidR="007F731E" w:rsidRPr="007F731E">
        <w:t xml:space="preserve">and the impact of </w:t>
      </w:r>
      <w:r w:rsidR="00D33FFE">
        <w:t>nbn’s network</w:t>
      </w:r>
      <w:r w:rsidR="007F731E" w:rsidRPr="007F731E">
        <w:t xml:space="preserve"> availability on their fixed </w:t>
      </w:r>
      <w:r w:rsidR="007328A6">
        <w:t>line</w:t>
      </w:r>
      <w:r w:rsidR="007F731E" w:rsidRPr="007F731E">
        <w:t xml:space="preserve"> services </w:t>
      </w:r>
    </w:p>
    <w:p w14:paraId="0558E475" w14:textId="4650A3A5" w:rsidR="00FE7E5B" w:rsidRPr="009750DC" w:rsidRDefault="00CD4287" w:rsidP="009475AE">
      <w:pPr>
        <w:pStyle w:val="BodyText"/>
        <w:numPr>
          <w:ilvl w:val="0"/>
          <w:numId w:val="24"/>
        </w:numPr>
        <w:spacing w:before="0" w:after="120" w:line="276" w:lineRule="auto"/>
      </w:pPr>
      <w:r>
        <w:t>serviceability and</w:t>
      </w:r>
      <w:r w:rsidR="008A5265">
        <w:t xml:space="preserve"> </w:t>
      </w:r>
      <w:r w:rsidR="00FE7E5B" w:rsidRPr="009750DC">
        <w:t>connection-related activities</w:t>
      </w:r>
      <w:r>
        <w:t xml:space="preserve"> </w:t>
      </w:r>
      <w:r w:rsidR="00FE7E5B" w:rsidRPr="009750DC">
        <w:t xml:space="preserve">(to the extent this is associated with </w:t>
      </w:r>
      <w:r w:rsidR="00FD254F">
        <w:t>a national broadband network</w:t>
      </w:r>
      <w:r w:rsidR="00FE7E5B" w:rsidRPr="009750DC">
        <w:t xml:space="preserve"> connection</w:t>
      </w:r>
      <w:r w:rsidR="00E344F2">
        <w:t>, service or network element</w:t>
      </w:r>
      <w:r w:rsidR="00FE7E5B" w:rsidRPr="009750DC">
        <w:t>)</w:t>
      </w:r>
    </w:p>
    <w:p w14:paraId="58B2A692" w14:textId="406A2E43" w:rsidR="007F731E" w:rsidRDefault="00FE7E5B" w:rsidP="009475AE">
      <w:pPr>
        <w:pStyle w:val="BodyText"/>
        <w:numPr>
          <w:ilvl w:val="0"/>
          <w:numId w:val="24"/>
        </w:numPr>
        <w:spacing w:before="0" w:after="120" w:line="276" w:lineRule="auto"/>
      </w:pPr>
      <w:r w:rsidRPr="009750DC">
        <w:t xml:space="preserve">ensuring </w:t>
      </w:r>
      <w:r w:rsidR="00D33FFE">
        <w:t xml:space="preserve">nbn’s network </w:t>
      </w:r>
      <w:r w:rsidRPr="009750DC">
        <w:t xml:space="preserve">(and </w:t>
      </w:r>
      <w:r w:rsidR="00D33FFE">
        <w:t>n</w:t>
      </w:r>
      <w:r w:rsidR="009547EB">
        <w:t>ational broadband</w:t>
      </w:r>
      <w:r w:rsidR="00D33FFE">
        <w:t xml:space="preserve"> network</w:t>
      </w:r>
      <w:r w:rsidR="00A70D30">
        <w:t xml:space="preserve"> </w:t>
      </w:r>
      <w:r w:rsidRPr="009750DC">
        <w:t xml:space="preserve">based products) </w:t>
      </w:r>
      <w:r w:rsidR="0058429E">
        <w:t xml:space="preserve">provide layer 2 wholesale products that allow </w:t>
      </w:r>
      <w:r>
        <w:t xml:space="preserve">RSPs </w:t>
      </w:r>
      <w:r w:rsidR="0058429E">
        <w:t xml:space="preserve">to add additional functionality </w:t>
      </w:r>
    </w:p>
    <w:p w14:paraId="1F2C0B3C" w14:textId="48BFB144" w:rsidR="007F731E" w:rsidRDefault="007F731E" w:rsidP="009475AE">
      <w:pPr>
        <w:pStyle w:val="BodyText"/>
        <w:numPr>
          <w:ilvl w:val="0"/>
          <w:numId w:val="24"/>
        </w:numPr>
        <w:spacing w:before="0" w:after="120" w:line="276" w:lineRule="auto"/>
      </w:pPr>
      <w:r w:rsidRPr="007F731E">
        <w:t xml:space="preserve">maintenance of the </w:t>
      </w:r>
      <w:r w:rsidR="00082033">
        <w:t>M</w:t>
      </w:r>
      <w:r w:rsidRPr="007F731E">
        <w:t xml:space="preserve">edical </w:t>
      </w:r>
      <w:r w:rsidR="00082033">
        <w:t>A</w:t>
      </w:r>
      <w:r w:rsidRPr="007F731E">
        <w:t xml:space="preserve">larm </w:t>
      </w:r>
      <w:r w:rsidR="00082033">
        <w:t>R</w:t>
      </w:r>
      <w:r w:rsidRPr="007F731E">
        <w:t>egister</w:t>
      </w:r>
      <w:r w:rsidR="00717646">
        <w:t xml:space="preserve"> and the </w:t>
      </w:r>
      <w:r w:rsidR="00F900DE">
        <w:t>F</w:t>
      </w:r>
      <w:r w:rsidR="00717646">
        <w:t xml:space="preserve">ire </w:t>
      </w:r>
      <w:r w:rsidR="00F900DE">
        <w:t>A</w:t>
      </w:r>
      <w:r w:rsidR="00717646">
        <w:t xml:space="preserve">larm and </w:t>
      </w:r>
      <w:r w:rsidR="00F900DE">
        <w:t>L</w:t>
      </w:r>
      <w:r w:rsidR="00717646">
        <w:t xml:space="preserve">ift </w:t>
      </w:r>
      <w:r w:rsidR="00F3175B">
        <w:t xml:space="preserve">Phone </w:t>
      </w:r>
      <w:r w:rsidR="00F900DE">
        <w:t>R</w:t>
      </w:r>
      <w:r w:rsidR="00717646">
        <w:t>egister</w:t>
      </w:r>
    </w:p>
    <w:p w14:paraId="5E0B3815" w14:textId="39F0FE65" w:rsidR="005823C0" w:rsidRDefault="005823C0" w:rsidP="009475AE">
      <w:pPr>
        <w:pStyle w:val="ListParagraph"/>
        <w:numPr>
          <w:ilvl w:val="0"/>
          <w:numId w:val="24"/>
        </w:numPr>
        <w:spacing w:before="0" w:after="120" w:line="276" w:lineRule="auto"/>
      </w:pPr>
      <w:bookmarkStart w:id="12" w:name="_Toc406491056"/>
      <w:bookmarkStart w:id="13" w:name="_Toc406497265"/>
      <w:r>
        <w:t xml:space="preserve">fault rectification and </w:t>
      </w:r>
      <w:r w:rsidR="00BF222B">
        <w:t>a</w:t>
      </w:r>
      <w:r w:rsidRPr="009750DC">
        <w:t xml:space="preserve">ssurance </w:t>
      </w:r>
      <w:r>
        <w:t xml:space="preserve">processes (to </w:t>
      </w:r>
      <w:r w:rsidRPr="003234FB">
        <w:rPr>
          <w:rFonts w:asciiTheme="minorHAnsi" w:hAnsiTheme="minorHAnsi"/>
        </w:rPr>
        <w:t>the</w:t>
      </w:r>
      <w:r>
        <w:t xml:space="preserve"> extent this is associated </w:t>
      </w:r>
      <w:r w:rsidR="008F6BB5">
        <w:t xml:space="preserve">with </w:t>
      </w:r>
      <w:r w:rsidR="00D33FFE">
        <w:t xml:space="preserve">nbn’s </w:t>
      </w:r>
      <w:r>
        <w:t>aspects of the network and service delivery).</w:t>
      </w:r>
    </w:p>
    <w:p w14:paraId="3E5E2205" w14:textId="77777777" w:rsidR="00F1701A" w:rsidRDefault="00F1701A" w:rsidP="009475AE">
      <w:pPr>
        <w:pStyle w:val="Heading2"/>
        <w:numPr>
          <w:ilvl w:val="0"/>
          <w:numId w:val="0"/>
        </w:numPr>
        <w:spacing w:line="276" w:lineRule="auto"/>
        <w:ind w:left="1049" w:hanging="907"/>
      </w:pPr>
      <w:bookmarkStart w:id="14" w:name="_Toc422237712"/>
      <w:r>
        <w:t>Role of retail service providers (RSPs)</w:t>
      </w:r>
      <w:bookmarkEnd w:id="12"/>
      <w:bookmarkEnd w:id="13"/>
      <w:bookmarkEnd w:id="14"/>
      <w:r>
        <w:t xml:space="preserve"> </w:t>
      </w:r>
    </w:p>
    <w:p w14:paraId="034E630E" w14:textId="6093B2AE" w:rsidR="00F738A7" w:rsidRPr="000C2467" w:rsidRDefault="00F738A7" w:rsidP="009475AE">
      <w:pPr>
        <w:pStyle w:val="BodyText"/>
        <w:numPr>
          <w:ilvl w:val="0"/>
          <w:numId w:val="24"/>
        </w:numPr>
        <w:spacing w:before="0" w:after="120" w:line="276" w:lineRule="auto"/>
        <w:rPr>
          <w:rFonts w:asciiTheme="minorHAnsi" w:eastAsia="Calibri" w:hAnsiTheme="minorHAnsi" w:cs="Times New Roman"/>
        </w:rPr>
      </w:pPr>
      <w:r>
        <w:rPr>
          <w:rFonts w:asciiTheme="minorHAnsi" w:eastAsia="Calibri" w:hAnsiTheme="minorHAnsi" w:cs="Times New Roman"/>
        </w:rPr>
        <w:t xml:space="preserve">working with </w:t>
      </w:r>
      <w:r w:rsidR="00285437">
        <w:rPr>
          <w:rFonts w:asciiTheme="minorHAnsi" w:eastAsia="Calibri" w:hAnsiTheme="minorHAnsi" w:cs="Times New Roman"/>
        </w:rPr>
        <w:t>end user</w:t>
      </w:r>
      <w:r>
        <w:rPr>
          <w:rFonts w:asciiTheme="minorHAnsi" w:eastAsia="Calibri" w:hAnsiTheme="minorHAnsi" w:cs="Times New Roman"/>
        </w:rPr>
        <w:t xml:space="preserve">s to identify all </w:t>
      </w:r>
      <w:r w:rsidR="00D95F8A">
        <w:rPr>
          <w:rFonts w:asciiTheme="minorHAnsi" w:eastAsia="Calibri" w:hAnsiTheme="minorHAnsi" w:cs="Times New Roman"/>
        </w:rPr>
        <w:t xml:space="preserve">telecommunications </w:t>
      </w:r>
      <w:r>
        <w:rPr>
          <w:rFonts w:asciiTheme="minorHAnsi" w:eastAsia="Calibri" w:hAnsiTheme="minorHAnsi" w:cs="Times New Roman"/>
        </w:rPr>
        <w:t xml:space="preserve">services </w:t>
      </w:r>
      <w:r w:rsidR="00712984">
        <w:rPr>
          <w:rFonts w:asciiTheme="minorHAnsi" w:eastAsia="Calibri" w:hAnsiTheme="minorHAnsi" w:cs="Times New Roman"/>
        </w:rPr>
        <w:t xml:space="preserve">at the </w:t>
      </w:r>
      <w:r w:rsidR="00A6401A">
        <w:rPr>
          <w:rFonts w:asciiTheme="minorHAnsi" w:eastAsia="Calibri" w:hAnsiTheme="minorHAnsi" w:cs="Times New Roman"/>
        </w:rPr>
        <w:t xml:space="preserve">customer’s </w:t>
      </w:r>
      <w:r w:rsidR="00712984">
        <w:rPr>
          <w:rFonts w:asciiTheme="minorHAnsi" w:eastAsia="Calibri" w:hAnsiTheme="minorHAnsi" w:cs="Times New Roman"/>
        </w:rPr>
        <w:t xml:space="preserve">premises to be migrated </w:t>
      </w:r>
    </w:p>
    <w:p w14:paraId="0C2F8ADA" w14:textId="74BB0A7A" w:rsidR="00FE7E5B" w:rsidRPr="0073292D" w:rsidRDefault="00F1701A" w:rsidP="00D95F8A">
      <w:pPr>
        <w:pStyle w:val="BodyText"/>
        <w:numPr>
          <w:ilvl w:val="0"/>
          <w:numId w:val="24"/>
        </w:numPr>
        <w:spacing w:before="0" w:after="120" w:line="276" w:lineRule="auto"/>
        <w:rPr>
          <w:rFonts w:asciiTheme="minorHAnsi" w:eastAsia="Calibri" w:hAnsiTheme="minorHAnsi" w:cs="Times New Roman"/>
        </w:rPr>
      </w:pPr>
      <w:r w:rsidRPr="0027111B">
        <w:t>developing</w:t>
      </w:r>
      <w:r w:rsidRPr="009F1D90">
        <w:rPr>
          <w:rFonts w:asciiTheme="minorHAnsi" w:eastAsia="Calibri" w:hAnsiTheme="minorHAnsi" w:cs="Times New Roman"/>
        </w:rPr>
        <w:t xml:space="preserve"> retail products and service</w:t>
      </w:r>
      <w:r w:rsidR="00F738A7">
        <w:rPr>
          <w:rFonts w:asciiTheme="minorHAnsi" w:eastAsia="Calibri" w:hAnsiTheme="minorHAnsi" w:cs="Times New Roman"/>
        </w:rPr>
        <w:t xml:space="preserve">s </w:t>
      </w:r>
      <w:r w:rsidR="00080DB3">
        <w:rPr>
          <w:rFonts w:asciiTheme="minorHAnsi" w:eastAsia="Calibri" w:hAnsiTheme="minorHAnsi" w:cs="Times New Roman"/>
        </w:rPr>
        <w:t>(</w:t>
      </w:r>
      <w:r w:rsidR="00F900DE">
        <w:rPr>
          <w:rFonts w:asciiTheme="minorHAnsi" w:eastAsia="Calibri" w:hAnsiTheme="minorHAnsi" w:cs="Times New Roman"/>
        </w:rPr>
        <w:t xml:space="preserve">over the </w:t>
      </w:r>
      <w:r w:rsidR="00E51130">
        <w:rPr>
          <w:rFonts w:asciiTheme="minorHAnsi" w:eastAsia="Calibri" w:hAnsiTheme="minorHAnsi" w:cs="Times New Roman"/>
        </w:rPr>
        <w:t>national broadband network</w:t>
      </w:r>
      <w:r w:rsidR="00D33FFE">
        <w:rPr>
          <w:rFonts w:asciiTheme="minorHAnsi" w:eastAsia="Calibri" w:hAnsiTheme="minorHAnsi" w:cs="Times New Roman"/>
        </w:rPr>
        <w:t xml:space="preserve"> </w:t>
      </w:r>
      <w:r w:rsidR="00080DB3">
        <w:rPr>
          <w:rFonts w:asciiTheme="minorHAnsi" w:eastAsia="Calibri" w:hAnsiTheme="minorHAnsi" w:cs="Times New Roman"/>
        </w:rPr>
        <w:t>or other</w:t>
      </w:r>
      <w:r w:rsidR="00F900DE">
        <w:rPr>
          <w:rFonts w:asciiTheme="minorHAnsi" w:eastAsia="Calibri" w:hAnsiTheme="minorHAnsi" w:cs="Times New Roman"/>
        </w:rPr>
        <w:t xml:space="preserve"> networks</w:t>
      </w:r>
      <w:r w:rsidR="00080DB3">
        <w:rPr>
          <w:rFonts w:asciiTheme="minorHAnsi" w:eastAsia="Calibri" w:hAnsiTheme="minorHAnsi" w:cs="Times New Roman"/>
        </w:rPr>
        <w:t xml:space="preserve">) </w:t>
      </w:r>
      <w:r w:rsidR="00F738A7">
        <w:rPr>
          <w:rFonts w:asciiTheme="minorHAnsi" w:eastAsia="Calibri" w:hAnsiTheme="minorHAnsi" w:cs="Times New Roman"/>
        </w:rPr>
        <w:t>so th</w:t>
      </w:r>
      <w:r w:rsidR="00712984">
        <w:rPr>
          <w:rFonts w:asciiTheme="minorHAnsi" w:eastAsia="Calibri" w:hAnsiTheme="minorHAnsi" w:cs="Times New Roman"/>
        </w:rPr>
        <w:t>at end users</w:t>
      </w:r>
      <w:r w:rsidR="00F738A7">
        <w:rPr>
          <w:rFonts w:asciiTheme="minorHAnsi" w:eastAsia="Calibri" w:hAnsiTheme="minorHAnsi" w:cs="Times New Roman"/>
        </w:rPr>
        <w:t xml:space="preserve"> can migrate </w:t>
      </w:r>
      <w:r w:rsidR="00D95F8A" w:rsidRPr="00D95F8A">
        <w:rPr>
          <w:rFonts w:asciiTheme="minorHAnsi" w:eastAsia="Calibri" w:hAnsiTheme="minorHAnsi" w:cs="Times New Roman"/>
        </w:rPr>
        <w:t>early in the migration window</w:t>
      </w:r>
    </w:p>
    <w:p w14:paraId="45B5E966" w14:textId="40FE2E55" w:rsidR="00F1701A" w:rsidRPr="009F1D90" w:rsidRDefault="00F1701A" w:rsidP="009475AE">
      <w:pPr>
        <w:pStyle w:val="BodyText"/>
        <w:numPr>
          <w:ilvl w:val="0"/>
          <w:numId w:val="24"/>
        </w:numPr>
        <w:spacing w:before="0" w:after="120" w:line="276" w:lineRule="auto"/>
        <w:rPr>
          <w:rFonts w:asciiTheme="minorHAnsi" w:eastAsia="Calibri" w:hAnsiTheme="minorHAnsi" w:cs="Times New Roman"/>
          <w:b/>
        </w:rPr>
      </w:pPr>
      <w:r w:rsidRPr="009F1D90">
        <w:rPr>
          <w:rFonts w:asciiTheme="minorHAnsi" w:eastAsia="Calibri" w:hAnsiTheme="minorHAnsi" w:cs="Times New Roman"/>
        </w:rPr>
        <w:t xml:space="preserve">informing their </w:t>
      </w:r>
      <w:r w:rsidR="00285437">
        <w:rPr>
          <w:rFonts w:asciiTheme="minorHAnsi" w:eastAsia="Calibri" w:hAnsiTheme="minorHAnsi" w:cs="Times New Roman"/>
        </w:rPr>
        <w:t>end user</w:t>
      </w:r>
      <w:r w:rsidR="00285437" w:rsidRPr="009F1D90">
        <w:rPr>
          <w:rFonts w:asciiTheme="minorHAnsi" w:eastAsia="Calibri" w:hAnsiTheme="minorHAnsi" w:cs="Times New Roman"/>
        </w:rPr>
        <w:t xml:space="preserve">s </w:t>
      </w:r>
      <w:r w:rsidRPr="009F1D90">
        <w:rPr>
          <w:rFonts w:asciiTheme="minorHAnsi" w:eastAsia="Calibri" w:hAnsiTheme="minorHAnsi" w:cs="Times New Roman"/>
        </w:rPr>
        <w:t xml:space="preserve">about the impact, or likely impact, of migration </w:t>
      </w:r>
      <w:r>
        <w:rPr>
          <w:rFonts w:asciiTheme="minorHAnsi" w:eastAsia="Calibri" w:hAnsiTheme="minorHAnsi" w:cs="Times New Roman"/>
        </w:rPr>
        <w:t xml:space="preserve">and disconnection </w:t>
      </w:r>
      <w:r w:rsidRPr="009F1D90">
        <w:rPr>
          <w:rFonts w:asciiTheme="minorHAnsi" w:eastAsia="Calibri" w:hAnsiTheme="minorHAnsi" w:cs="Times New Roman"/>
        </w:rPr>
        <w:t>o</w:t>
      </w:r>
      <w:r w:rsidR="00A6401A">
        <w:rPr>
          <w:rFonts w:asciiTheme="minorHAnsi" w:eastAsia="Calibri" w:hAnsiTheme="minorHAnsi" w:cs="Times New Roman"/>
        </w:rPr>
        <w:t>f</w:t>
      </w:r>
      <w:r w:rsidRPr="009F1D90">
        <w:rPr>
          <w:rFonts w:asciiTheme="minorHAnsi" w:eastAsia="Calibri" w:hAnsiTheme="minorHAnsi" w:cs="Times New Roman"/>
        </w:rPr>
        <w:t xml:space="preserve"> their services and </w:t>
      </w:r>
      <w:r w:rsidRPr="0027111B">
        <w:t>premises</w:t>
      </w:r>
      <w:r w:rsidRPr="009F1D90">
        <w:rPr>
          <w:rFonts w:asciiTheme="minorHAnsi" w:eastAsia="Calibri" w:hAnsiTheme="minorHAnsi" w:cs="Times New Roman"/>
        </w:rPr>
        <w:t xml:space="preserve"> (whether the RSP intends to offer </w:t>
      </w:r>
      <w:r w:rsidR="00D33FFE">
        <w:rPr>
          <w:rFonts w:asciiTheme="minorHAnsi" w:eastAsia="Calibri" w:hAnsiTheme="minorHAnsi" w:cs="Times New Roman"/>
        </w:rPr>
        <w:t>n</w:t>
      </w:r>
      <w:r w:rsidR="009547EB">
        <w:rPr>
          <w:rFonts w:asciiTheme="minorHAnsi" w:eastAsia="Calibri" w:hAnsiTheme="minorHAnsi" w:cs="Times New Roman"/>
        </w:rPr>
        <w:t>ational broadband</w:t>
      </w:r>
      <w:r w:rsidR="00D33FFE">
        <w:rPr>
          <w:rFonts w:asciiTheme="minorHAnsi" w:eastAsia="Calibri" w:hAnsiTheme="minorHAnsi" w:cs="Times New Roman"/>
        </w:rPr>
        <w:t xml:space="preserve"> </w:t>
      </w:r>
      <w:r w:rsidR="00361F79">
        <w:rPr>
          <w:rFonts w:asciiTheme="minorHAnsi" w:eastAsia="Calibri" w:hAnsiTheme="minorHAnsi" w:cs="Times New Roman"/>
        </w:rPr>
        <w:t xml:space="preserve">network </w:t>
      </w:r>
      <w:r w:rsidRPr="009F1D90">
        <w:rPr>
          <w:rFonts w:asciiTheme="minorHAnsi" w:eastAsia="Calibri" w:hAnsiTheme="minorHAnsi" w:cs="Times New Roman"/>
        </w:rPr>
        <w:t>service</w:t>
      </w:r>
      <w:r w:rsidR="006E606D">
        <w:rPr>
          <w:rFonts w:asciiTheme="minorHAnsi" w:eastAsia="Calibri" w:hAnsiTheme="minorHAnsi" w:cs="Times New Roman"/>
        </w:rPr>
        <w:t>s</w:t>
      </w:r>
      <w:r w:rsidRPr="009F1D90">
        <w:rPr>
          <w:rFonts w:asciiTheme="minorHAnsi" w:eastAsia="Calibri" w:hAnsiTheme="minorHAnsi" w:cs="Times New Roman"/>
        </w:rPr>
        <w:t xml:space="preserve"> or not)</w:t>
      </w:r>
      <w:r>
        <w:rPr>
          <w:rFonts w:asciiTheme="minorHAnsi" w:eastAsia="Calibri" w:hAnsiTheme="minorHAnsi" w:cs="Times New Roman"/>
        </w:rPr>
        <w:t xml:space="preserve"> and required solutions</w:t>
      </w:r>
    </w:p>
    <w:p w14:paraId="6EC7B9F4" w14:textId="7193402C" w:rsidR="00F1701A" w:rsidRPr="009F1D90" w:rsidRDefault="00F1701A" w:rsidP="009475AE">
      <w:pPr>
        <w:pStyle w:val="BodyText"/>
        <w:numPr>
          <w:ilvl w:val="0"/>
          <w:numId w:val="24"/>
        </w:numPr>
        <w:spacing w:before="0" w:after="120" w:line="276" w:lineRule="auto"/>
        <w:rPr>
          <w:rFonts w:asciiTheme="minorHAnsi" w:eastAsia="Calibri" w:hAnsiTheme="minorHAnsi" w:cs="Times New Roman"/>
        </w:rPr>
      </w:pPr>
      <w:r w:rsidRPr="009F1D90">
        <w:rPr>
          <w:rFonts w:asciiTheme="minorHAnsi" w:eastAsia="Calibri" w:hAnsiTheme="minorHAnsi" w:cs="Times New Roman"/>
        </w:rPr>
        <w:t xml:space="preserve">educating their </w:t>
      </w:r>
      <w:r w:rsidR="00285437">
        <w:rPr>
          <w:rFonts w:asciiTheme="minorHAnsi" w:eastAsia="Calibri" w:hAnsiTheme="minorHAnsi" w:cs="Times New Roman"/>
        </w:rPr>
        <w:t>end user</w:t>
      </w:r>
      <w:r w:rsidR="00285437" w:rsidRPr="009F1D90">
        <w:rPr>
          <w:rFonts w:asciiTheme="minorHAnsi" w:eastAsia="Calibri" w:hAnsiTheme="minorHAnsi" w:cs="Times New Roman"/>
        </w:rPr>
        <w:t xml:space="preserve">s </w:t>
      </w:r>
      <w:r w:rsidR="00C6592D">
        <w:rPr>
          <w:rFonts w:asciiTheme="minorHAnsi" w:eastAsia="Calibri" w:hAnsiTheme="minorHAnsi" w:cs="Times New Roman"/>
        </w:rPr>
        <w:t xml:space="preserve">and </w:t>
      </w:r>
      <w:r w:rsidR="00385BAD">
        <w:rPr>
          <w:rFonts w:asciiTheme="minorHAnsi" w:eastAsia="Calibri" w:hAnsiTheme="minorHAnsi" w:cs="Times New Roman"/>
        </w:rPr>
        <w:t>application service provider</w:t>
      </w:r>
      <w:r w:rsidR="00C6592D">
        <w:rPr>
          <w:rFonts w:asciiTheme="minorHAnsi" w:eastAsia="Calibri" w:hAnsiTheme="minorHAnsi" w:cs="Times New Roman"/>
        </w:rPr>
        <w:t xml:space="preserve">s </w:t>
      </w:r>
      <w:r w:rsidR="00FE7E5B">
        <w:rPr>
          <w:rFonts w:asciiTheme="minorHAnsi" w:eastAsia="Calibri" w:hAnsiTheme="minorHAnsi" w:cs="Times New Roman"/>
        </w:rPr>
        <w:t>about</w:t>
      </w:r>
      <w:r w:rsidR="00B14812">
        <w:rPr>
          <w:rFonts w:asciiTheme="minorHAnsi" w:eastAsia="Calibri" w:hAnsiTheme="minorHAnsi" w:cs="Times New Roman"/>
        </w:rPr>
        <w:t xml:space="preserve"> </w:t>
      </w:r>
      <w:r w:rsidRPr="009F1D90">
        <w:rPr>
          <w:rFonts w:asciiTheme="minorHAnsi" w:eastAsia="Calibri" w:hAnsiTheme="minorHAnsi" w:cs="Times New Roman"/>
        </w:rPr>
        <w:t xml:space="preserve">product options </w:t>
      </w:r>
      <w:r>
        <w:rPr>
          <w:rFonts w:asciiTheme="minorHAnsi" w:eastAsia="Calibri" w:hAnsiTheme="minorHAnsi" w:cs="Times New Roman"/>
        </w:rPr>
        <w:t xml:space="preserve">they offer </w:t>
      </w:r>
      <w:r w:rsidRPr="009F1D90">
        <w:rPr>
          <w:rFonts w:asciiTheme="minorHAnsi" w:eastAsia="Calibri" w:hAnsiTheme="minorHAnsi" w:cs="Times New Roman"/>
        </w:rPr>
        <w:t xml:space="preserve">as an alternative to the services being </w:t>
      </w:r>
      <w:r w:rsidRPr="0027111B">
        <w:t>disconnected</w:t>
      </w:r>
    </w:p>
    <w:p w14:paraId="7F35C5EA" w14:textId="5B22F826" w:rsidR="00F1701A" w:rsidRDefault="00F1701A" w:rsidP="009475AE">
      <w:pPr>
        <w:pStyle w:val="BodyText"/>
        <w:numPr>
          <w:ilvl w:val="0"/>
          <w:numId w:val="24"/>
        </w:numPr>
        <w:spacing w:before="0" w:after="120" w:line="276" w:lineRule="auto"/>
        <w:rPr>
          <w:rFonts w:asciiTheme="minorHAnsi" w:eastAsia="Calibri" w:hAnsiTheme="minorHAnsi" w:cs="Times New Roman"/>
        </w:rPr>
      </w:pPr>
      <w:r w:rsidRPr="009D4181">
        <w:t>informing</w:t>
      </w:r>
      <w:r w:rsidRPr="009D4181">
        <w:rPr>
          <w:rFonts w:asciiTheme="minorHAnsi" w:eastAsia="Calibri" w:hAnsiTheme="minorHAnsi" w:cs="Times New Roman"/>
        </w:rPr>
        <w:t xml:space="preserve"> end users of </w:t>
      </w:r>
      <w:r w:rsidR="00E1288A">
        <w:rPr>
          <w:rFonts w:asciiTheme="minorHAnsi" w:eastAsia="Calibri" w:hAnsiTheme="minorHAnsi" w:cs="Times New Roman"/>
        </w:rPr>
        <w:t xml:space="preserve">progress and </w:t>
      </w:r>
      <w:r w:rsidR="00B14812">
        <w:rPr>
          <w:rFonts w:asciiTheme="minorHAnsi" w:eastAsia="Calibri" w:hAnsiTheme="minorHAnsi" w:cs="Times New Roman"/>
        </w:rPr>
        <w:t xml:space="preserve">issues or </w:t>
      </w:r>
      <w:r w:rsidRPr="009D4181">
        <w:rPr>
          <w:rFonts w:asciiTheme="minorHAnsi" w:eastAsia="Calibri" w:hAnsiTheme="minorHAnsi" w:cs="Times New Roman"/>
        </w:rPr>
        <w:t xml:space="preserve">delays relating to their </w:t>
      </w:r>
      <w:r w:rsidR="007328A6">
        <w:rPr>
          <w:rFonts w:asciiTheme="minorHAnsi" w:eastAsia="Calibri" w:hAnsiTheme="minorHAnsi" w:cs="Times New Roman"/>
        </w:rPr>
        <w:t>national broadband network</w:t>
      </w:r>
      <w:r w:rsidRPr="009D4181">
        <w:rPr>
          <w:rFonts w:asciiTheme="minorHAnsi" w:eastAsia="Calibri" w:hAnsiTheme="minorHAnsi" w:cs="Times New Roman"/>
        </w:rPr>
        <w:t xml:space="preserve"> connection</w:t>
      </w:r>
      <w:r w:rsidR="00DB5533">
        <w:rPr>
          <w:rFonts w:asciiTheme="minorHAnsi" w:eastAsia="Calibri" w:hAnsiTheme="minorHAnsi" w:cs="Times New Roman"/>
        </w:rPr>
        <w:t>,</w:t>
      </w:r>
      <w:r w:rsidR="00E1288A">
        <w:rPr>
          <w:rFonts w:asciiTheme="minorHAnsi" w:eastAsia="Calibri" w:hAnsiTheme="minorHAnsi" w:cs="Times New Roman"/>
        </w:rPr>
        <w:t xml:space="preserve"> including advice on the installation experience, how to prepare for the install and placement of the network termination device</w:t>
      </w:r>
    </w:p>
    <w:p w14:paraId="6714755B" w14:textId="3613D3EF" w:rsidR="00F900DE" w:rsidRDefault="00F900DE" w:rsidP="00F900DE">
      <w:pPr>
        <w:pStyle w:val="BodyText"/>
        <w:numPr>
          <w:ilvl w:val="0"/>
          <w:numId w:val="24"/>
        </w:numPr>
        <w:spacing w:before="0" w:after="120" w:line="276" w:lineRule="auto"/>
      </w:pPr>
      <w:r>
        <w:t>if required for the products they are supplying, undertaking any installatio</w:t>
      </w:r>
      <w:r w:rsidR="00282D79">
        <w:t xml:space="preserve">n/or advising the customer to organise the </w:t>
      </w:r>
      <w:r>
        <w:t>upgrading of wiring or end user premises equipment associated with migration of their own end users (or end users’ premises)</w:t>
      </w:r>
      <w:r w:rsidRPr="00FE7E5B">
        <w:t xml:space="preserve"> </w:t>
      </w:r>
    </w:p>
    <w:p w14:paraId="1623CE84" w14:textId="530F4C70" w:rsidR="005F2682" w:rsidRDefault="00FE7E5B" w:rsidP="00DB5533">
      <w:pPr>
        <w:pStyle w:val="BodyText"/>
        <w:numPr>
          <w:ilvl w:val="0"/>
          <w:numId w:val="24"/>
        </w:numPr>
        <w:spacing w:before="0" w:after="120" w:line="276" w:lineRule="auto"/>
        <w:rPr>
          <w:rFonts w:asciiTheme="minorHAnsi" w:eastAsia="Calibri" w:hAnsiTheme="minorHAnsi" w:cs="Times New Roman"/>
        </w:rPr>
      </w:pPr>
      <w:r w:rsidRPr="009F1D90">
        <w:rPr>
          <w:rFonts w:asciiTheme="minorHAnsi" w:eastAsia="Calibri" w:hAnsiTheme="minorHAnsi" w:cs="Times New Roman"/>
        </w:rPr>
        <w:t>disconnect</w:t>
      </w:r>
      <w:r w:rsidR="0073292D">
        <w:rPr>
          <w:rFonts w:asciiTheme="minorHAnsi" w:eastAsia="Calibri" w:hAnsiTheme="minorHAnsi" w:cs="Times New Roman"/>
        </w:rPr>
        <w:t>ing</w:t>
      </w:r>
      <w:r w:rsidRPr="009F1D90">
        <w:rPr>
          <w:rFonts w:asciiTheme="minorHAnsi" w:eastAsia="Calibri" w:hAnsiTheme="minorHAnsi" w:cs="Times New Roman"/>
        </w:rPr>
        <w:t xml:space="preserve"> existin</w:t>
      </w:r>
      <w:r>
        <w:rPr>
          <w:rFonts w:asciiTheme="minorHAnsi" w:eastAsia="Calibri" w:hAnsiTheme="minorHAnsi" w:cs="Times New Roman"/>
        </w:rPr>
        <w:t xml:space="preserve">g copper based services as per the </w:t>
      </w:r>
      <w:r w:rsidRPr="00CE69F9">
        <w:rPr>
          <w:rFonts w:asciiTheme="minorHAnsi" w:hAnsiTheme="minorHAnsi"/>
        </w:rPr>
        <w:t>business as usual</w:t>
      </w:r>
      <w:r>
        <w:rPr>
          <w:rFonts w:asciiTheme="minorHAnsi" w:eastAsia="Calibri" w:hAnsiTheme="minorHAnsi" w:cs="Times New Roman"/>
        </w:rPr>
        <w:t xml:space="preserve"> </w:t>
      </w:r>
      <w:r w:rsidRPr="009F1D90">
        <w:rPr>
          <w:rFonts w:asciiTheme="minorHAnsi" w:eastAsia="Calibri" w:hAnsiTheme="minorHAnsi" w:cs="Times New Roman"/>
        </w:rPr>
        <w:t>process</w:t>
      </w:r>
      <w:r>
        <w:rPr>
          <w:rFonts w:asciiTheme="minorHAnsi" w:eastAsia="Calibri" w:hAnsiTheme="minorHAnsi" w:cs="Times New Roman"/>
        </w:rPr>
        <w:t xml:space="preserve">es once </w:t>
      </w:r>
      <w:r w:rsidR="00DB5533">
        <w:rPr>
          <w:rFonts w:asciiTheme="minorHAnsi" w:eastAsia="Calibri" w:hAnsiTheme="minorHAnsi" w:cs="Times New Roman"/>
        </w:rPr>
        <w:t>an end user</w:t>
      </w:r>
      <w:r w:rsidR="00361F79">
        <w:rPr>
          <w:rFonts w:asciiTheme="minorHAnsi" w:eastAsia="Calibri" w:hAnsiTheme="minorHAnsi" w:cs="Times New Roman"/>
        </w:rPr>
        <w:t>’</w:t>
      </w:r>
      <w:r w:rsidR="00DB5533">
        <w:rPr>
          <w:rFonts w:asciiTheme="minorHAnsi" w:eastAsia="Calibri" w:hAnsiTheme="minorHAnsi" w:cs="Times New Roman"/>
        </w:rPr>
        <w:t xml:space="preserve">s </w:t>
      </w:r>
      <w:r>
        <w:rPr>
          <w:rFonts w:asciiTheme="minorHAnsi" w:eastAsia="Calibri" w:hAnsiTheme="minorHAnsi" w:cs="Times New Roman"/>
        </w:rPr>
        <w:t>services have been migrated</w:t>
      </w:r>
      <w:r w:rsidR="00DB5533" w:rsidRPr="00DB5533">
        <w:t xml:space="preserve"> </w:t>
      </w:r>
      <w:r w:rsidR="00DB5533">
        <w:t xml:space="preserve">to the </w:t>
      </w:r>
      <w:r w:rsidR="00DB5533" w:rsidRPr="00DB5533">
        <w:rPr>
          <w:rFonts w:asciiTheme="minorHAnsi" w:eastAsia="Calibri" w:hAnsiTheme="minorHAnsi" w:cs="Times New Roman"/>
        </w:rPr>
        <w:t>national broadband network</w:t>
      </w:r>
      <w:r w:rsidR="00E51130">
        <w:rPr>
          <w:rFonts w:asciiTheme="minorHAnsi" w:eastAsia="Calibri" w:hAnsiTheme="minorHAnsi" w:cs="Times New Roman"/>
        </w:rPr>
        <w:t>,</w:t>
      </w:r>
      <w:r w:rsidR="00DB5533" w:rsidRPr="00DB5533">
        <w:rPr>
          <w:rFonts w:asciiTheme="minorHAnsi" w:eastAsia="Calibri" w:hAnsiTheme="minorHAnsi" w:cs="Times New Roman"/>
        </w:rPr>
        <w:t xml:space="preserve"> </w:t>
      </w:r>
      <w:r w:rsidR="00DB5533">
        <w:rPr>
          <w:rFonts w:asciiTheme="minorHAnsi" w:eastAsia="Calibri" w:hAnsiTheme="minorHAnsi" w:cs="Times New Roman"/>
        </w:rPr>
        <w:t>and confirmed as working;</w:t>
      </w:r>
      <w:r w:rsidR="00C6592D">
        <w:rPr>
          <w:rFonts w:asciiTheme="minorHAnsi" w:eastAsia="Calibri" w:hAnsiTheme="minorHAnsi" w:cs="Times New Roman"/>
        </w:rPr>
        <w:t xml:space="preserve"> or the en</w:t>
      </w:r>
      <w:r w:rsidR="007328A6">
        <w:rPr>
          <w:rFonts w:asciiTheme="minorHAnsi" w:eastAsia="Calibri" w:hAnsiTheme="minorHAnsi" w:cs="Times New Roman"/>
        </w:rPr>
        <w:t xml:space="preserve">d user has confirmed they will </w:t>
      </w:r>
      <w:r w:rsidR="00C6592D">
        <w:rPr>
          <w:rFonts w:asciiTheme="minorHAnsi" w:eastAsia="Calibri" w:hAnsiTheme="minorHAnsi" w:cs="Times New Roman"/>
        </w:rPr>
        <w:t>be transi</w:t>
      </w:r>
      <w:r w:rsidR="00496889">
        <w:rPr>
          <w:rFonts w:asciiTheme="minorHAnsi" w:eastAsia="Calibri" w:hAnsiTheme="minorHAnsi" w:cs="Times New Roman"/>
        </w:rPr>
        <w:t xml:space="preserve">tioning their services to </w:t>
      </w:r>
      <w:r w:rsidR="00D33FFE">
        <w:rPr>
          <w:rFonts w:asciiTheme="minorHAnsi" w:eastAsia="Calibri" w:hAnsiTheme="minorHAnsi" w:cs="Times New Roman"/>
        </w:rPr>
        <w:t xml:space="preserve">an </w:t>
      </w:r>
      <w:r w:rsidR="007328A6">
        <w:rPr>
          <w:rFonts w:asciiTheme="minorHAnsi" w:eastAsia="Calibri" w:hAnsiTheme="minorHAnsi" w:cs="Times New Roman"/>
        </w:rPr>
        <w:t>alternative network (e.g. mobile)</w:t>
      </w:r>
    </w:p>
    <w:p w14:paraId="51A8BCD0" w14:textId="65950A75" w:rsidR="00FE7E5B" w:rsidRPr="00E60D80" w:rsidDel="00AB3F2E" w:rsidRDefault="00F1701A" w:rsidP="009475AE">
      <w:pPr>
        <w:pStyle w:val="BodyText"/>
        <w:numPr>
          <w:ilvl w:val="0"/>
          <w:numId w:val="24"/>
        </w:numPr>
        <w:spacing w:before="0" w:after="120" w:line="276" w:lineRule="auto"/>
        <w:rPr>
          <w:rFonts w:asciiTheme="minorHAnsi" w:eastAsia="Calibri" w:hAnsiTheme="minorHAnsi" w:cs="Times New Roman"/>
        </w:rPr>
      </w:pPr>
      <w:r w:rsidRPr="009D4181">
        <w:rPr>
          <w:rFonts w:asciiTheme="minorHAnsi" w:eastAsia="Calibri" w:hAnsiTheme="minorHAnsi" w:cs="Times New Roman"/>
        </w:rPr>
        <w:t>any billin</w:t>
      </w:r>
      <w:r w:rsidR="002E4575">
        <w:rPr>
          <w:rFonts w:asciiTheme="minorHAnsi" w:eastAsia="Calibri" w:hAnsiTheme="minorHAnsi" w:cs="Times New Roman"/>
        </w:rPr>
        <w:t xml:space="preserve">g, account management or other </w:t>
      </w:r>
      <w:r w:rsidRPr="009D4181">
        <w:rPr>
          <w:rFonts w:asciiTheme="minorHAnsi" w:eastAsia="Calibri" w:hAnsiTheme="minorHAnsi" w:cs="Times New Roman"/>
        </w:rPr>
        <w:t>relationship issues associated with their own end users</w:t>
      </w:r>
    </w:p>
    <w:p w14:paraId="742A1575" w14:textId="29B60C64" w:rsidR="005823C0" w:rsidRDefault="0000333F" w:rsidP="009475AE">
      <w:pPr>
        <w:pStyle w:val="BodyText"/>
        <w:numPr>
          <w:ilvl w:val="0"/>
          <w:numId w:val="24"/>
        </w:numPr>
        <w:spacing w:before="0" w:after="120" w:line="276" w:lineRule="auto"/>
        <w:rPr>
          <w:rFonts w:asciiTheme="minorHAnsi" w:eastAsia="Calibri" w:hAnsiTheme="minorHAnsi" w:cs="Times New Roman"/>
        </w:rPr>
      </w:pPr>
      <w:r w:rsidRPr="00CD4287">
        <w:rPr>
          <w:rFonts w:asciiTheme="minorHAnsi" w:eastAsia="Calibri" w:hAnsiTheme="minorHAnsi" w:cs="Times New Roman"/>
        </w:rPr>
        <w:t>working with</w:t>
      </w:r>
      <w:r w:rsidRPr="0000333F">
        <w:rPr>
          <w:rFonts w:asciiTheme="minorHAnsi" w:eastAsia="Calibri" w:hAnsiTheme="minorHAnsi" w:cs="Times New Roman"/>
        </w:rPr>
        <w:t xml:space="preserve"> </w:t>
      </w:r>
      <w:r w:rsidR="0076262F">
        <w:rPr>
          <w:rFonts w:asciiTheme="minorHAnsi" w:eastAsia="Calibri" w:hAnsiTheme="minorHAnsi" w:cs="Times New Roman"/>
        </w:rPr>
        <w:t>n</w:t>
      </w:r>
      <w:r w:rsidR="00601030">
        <w:rPr>
          <w:rFonts w:asciiTheme="minorHAnsi" w:eastAsia="Calibri" w:hAnsiTheme="minorHAnsi" w:cs="Times New Roman"/>
        </w:rPr>
        <w:t>bn</w:t>
      </w:r>
      <w:r w:rsidRPr="0000333F">
        <w:rPr>
          <w:rFonts w:asciiTheme="minorHAnsi" w:eastAsia="Calibri" w:hAnsiTheme="minorHAnsi" w:cs="Times New Roman"/>
        </w:rPr>
        <w:t xml:space="preserve"> and other industry stakeholders to </w:t>
      </w:r>
      <w:r w:rsidR="00CD4287">
        <w:rPr>
          <w:rFonts w:asciiTheme="minorHAnsi" w:eastAsia="Calibri" w:hAnsiTheme="minorHAnsi" w:cs="Times New Roman"/>
        </w:rPr>
        <w:t>migrate</w:t>
      </w:r>
      <w:r w:rsidR="005823C0">
        <w:rPr>
          <w:rFonts w:asciiTheme="minorHAnsi" w:eastAsia="Calibri" w:hAnsiTheme="minorHAnsi" w:cs="Times New Roman"/>
        </w:rPr>
        <w:t xml:space="preserve"> end users, including </w:t>
      </w:r>
      <w:r w:rsidR="00CD4287">
        <w:rPr>
          <w:rFonts w:asciiTheme="minorHAnsi" w:eastAsia="Calibri" w:hAnsiTheme="minorHAnsi" w:cs="Times New Roman"/>
        </w:rPr>
        <w:t xml:space="preserve">activities to </w:t>
      </w:r>
      <w:r w:rsidR="005823C0">
        <w:rPr>
          <w:rFonts w:asciiTheme="minorHAnsi" w:eastAsia="Calibri" w:hAnsiTheme="minorHAnsi" w:cs="Times New Roman"/>
        </w:rPr>
        <w:t>support</w:t>
      </w:r>
      <w:r w:rsidR="00CD4287">
        <w:rPr>
          <w:rFonts w:asciiTheme="minorHAnsi" w:eastAsia="Calibri" w:hAnsiTheme="minorHAnsi" w:cs="Times New Roman"/>
        </w:rPr>
        <w:t xml:space="preserve"> </w:t>
      </w:r>
      <w:r w:rsidR="005823C0">
        <w:rPr>
          <w:rFonts w:asciiTheme="minorHAnsi" w:eastAsia="Calibri" w:hAnsiTheme="minorHAnsi" w:cs="Times New Roman"/>
        </w:rPr>
        <w:t>continuity of service</w:t>
      </w:r>
    </w:p>
    <w:p w14:paraId="63304392" w14:textId="35796F79" w:rsidR="005823C0" w:rsidRPr="0000333F" w:rsidRDefault="00F1701A" w:rsidP="009475AE">
      <w:pPr>
        <w:pStyle w:val="BodyText"/>
        <w:numPr>
          <w:ilvl w:val="0"/>
          <w:numId w:val="24"/>
        </w:numPr>
        <w:spacing w:before="0" w:after="120" w:line="276" w:lineRule="auto"/>
        <w:rPr>
          <w:rFonts w:asciiTheme="minorHAnsi" w:eastAsia="Calibri" w:hAnsiTheme="minorHAnsi" w:cs="Times New Roman"/>
        </w:rPr>
      </w:pPr>
      <w:r w:rsidRPr="0000333F">
        <w:rPr>
          <w:rFonts w:asciiTheme="minorHAnsi" w:eastAsia="Calibri" w:hAnsiTheme="minorHAnsi" w:cs="Times New Roman"/>
        </w:rPr>
        <w:t xml:space="preserve">fault rectification </w:t>
      </w:r>
      <w:r w:rsidR="00DB6EB7" w:rsidRPr="0000333F">
        <w:rPr>
          <w:rFonts w:asciiTheme="minorHAnsi" w:eastAsia="Calibri" w:hAnsiTheme="minorHAnsi" w:cs="Times New Roman"/>
        </w:rPr>
        <w:t xml:space="preserve">and </w:t>
      </w:r>
      <w:r w:rsidR="00BF222B">
        <w:rPr>
          <w:rFonts w:asciiTheme="minorHAnsi" w:eastAsia="Calibri" w:hAnsiTheme="minorHAnsi" w:cs="Times New Roman"/>
        </w:rPr>
        <w:t>a</w:t>
      </w:r>
      <w:r w:rsidR="005823C0" w:rsidRPr="0000333F">
        <w:rPr>
          <w:rFonts w:asciiTheme="minorHAnsi" w:eastAsia="Calibri" w:hAnsiTheme="minorHAnsi" w:cs="Times New Roman"/>
        </w:rPr>
        <w:t xml:space="preserve">ssurance processes </w:t>
      </w:r>
      <w:r w:rsidRPr="0000333F">
        <w:rPr>
          <w:rFonts w:asciiTheme="minorHAnsi" w:eastAsia="Calibri" w:hAnsiTheme="minorHAnsi" w:cs="Times New Roman"/>
        </w:rPr>
        <w:t>(to the extent this is associated with RSP aspects of th</w:t>
      </w:r>
      <w:r w:rsidR="00086C44" w:rsidRPr="0000333F">
        <w:rPr>
          <w:rFonts w:asciiTheme="minorHAnsi" w:eastAsia="Calibri" w:hAnsiTheme="minorHAnsi" w:cs="Times New Roman"/>
        </w:rPr>
        <w:t>e network and service delivery)</w:t>
      </w:r>
    </w:p>
    <w:p w14:paraId="3C2E9140" w14:textId="2433942B" w:rsidR="009B2EF1" w:rsidRPr="005823C0" w:rsidRDefault="00BC0CA4" w:rsidP="009475AE">
      <w:pPr>
        <w:pStyle w:val="ListParagraph"/>
        <w:numPr>
          <w:ilvl w:val="0"/>
          <w:numId w:val="27"/>
        </w:numPr>
        <w:spacing w:line="276" w:lineRule="auto"/>
        <w:rPr>
          <w:rFonts w:asciiTheme="minorHAnsi" w:eastAsia="Calibri" w:hAnsiTheme="minorHAnsi" w:cs="Times New Roman"/>
        </w:rPr>
      </w:pPr>
      <w:r w:rsidRPr="005823C0">
        <w:rPr>
          <w:rFonts w:asciiTheme="minorHAnsi" w:eastAsia="Calibri" w:hAnsiTheme="minorHAnsi" w:cs="Times New Roman"/>
        </w:rPr>
        <w:t xml:space="preserve">communicating with end users </w:t>
      </w:r>
      <w:r w:rsidR="00BF222B">
        <w:rPr>
          <w:rFonts w:asciiTheme="minorHAnsi" w:eastAsia="Calibri" w:hAnsiTheme="minorHAnsi" w:cs="Times New Roman"/>
        </w:rPr>
        <w:t xml:space="preserve">about </w:t>
      </w:r>
      <w:r w:rsidRPr="005823C0">
        <w:rPr>
          <w:rFonts w:asciiTheme="minorHAnsi" w:eastAsia="Calibri" w:hAnsiTheme="minorHAnsi" w:cs="Times New Roman"/>
        </w:rPr>
        <w:t>how cease sale may impact the future availability of retail services</w:t>
      </w:r>
      <w:r w:rsidR="0000333F" w:rsidRPr="0000333F">
        <w:t xml:space="preserve"> </w:t>
      </w:r>
      <w:r w:rsidR="0000333F" w:rsidRPr="0000333F">
        <w:rPr>
          <w:rFonts w:asciiTheme="minorHAnsi" w:eastAsia="Calibri" w:hAnsiTheme="minorHAnsi" w:cs="Times New Roman"/>
        </w:rPr>
        <w:t>over legacy networks</w:t>
      </w:r>
      <w:r w:rsidR="00080DB3" w:rsidRPr="005823C0">
        <w:rPr>
          <w:rFonts w:asciiTheme="minorHAnsi" w:eastAsia="Calibri" w:hAnsiTheme="minorHAnsi" w:cs="Times New Roman"/>
        </w:rPr>
        <w:t>.</w:t>
      </w:r>
      <w:bookmarkStart w:id="15" w:name="_Toc406491057"/>
      <w:bookmarkStart w:id="16" w:name="_Toc406497266"/>
    </w:p>
    <w:p w14:paraId="78DCFFF3" w14:textId="61872967" w:rsidR="00F1701A" w:rsidRDefault="00F1701A" w:rsidP="009475AE">
      <w:pPr>
        <w:pStyle w:val="Heading2"/>
        <w:numPr>
          <w:ilvl w:val="0"/>
          <w:numId w:val="0"/>
        </w:numPr>
        <w:spacing w:line="276" w:lineRule="auto"/>
      </w:pPr>
      <w:bookmarkStart w:id="17" w:name="_Toc422237713"/>
      <w:r>
        <w:t>Role of a</w:t>
      </w:r>
      <w:r w:rsidRPr="00D235FE">
        <w:t xml:space="preserve">pplication </w:t>
      </w:r>
      <w:r>
        <w:t>s</w:t>
      </w:r>
      <w:r w:rsidRPr="00D235FE">
        <w:t xml:space="preserve">ervice </w:t>
      </w:r>
      <w:r>
        <w:t>p</w:t>
      </w:r>
      <w:r w:rsidRPr="00D235FE">
        <w:t>roviders</w:t>
      </w:r>
      <w:bookmarkEnd w:id="15"/>
      <w:bookmarkEnd w:id="16"/>
      <w:bookmarkEnd w:id="17"/>
    </w:p>
    <w:p w14:paraId="51541738" w14:textId="0BB6692F" w:rsidR="00F1701A" w:rsidRDefault="00F1701A" w:rsidP="009475AE">
      <w:pPr>
        <w:pStyle w:val="BodyText"/>
        <w:spacing w:before="0" w:after="120" w:line="276" w:lineRule="auto"/>
      </w:pPr>
      <w:r w:rsidRPr="00F714FA">
        <w:t xml:space="preserve">(see also section </w:t>
      </w:r>
      <w:r w:rsidR="0029143A">
        <w:t>2.2</w:t>
      </w:r>
      <w:r w:rsidRPr="00F714FA">
        <w:t>)</w:t>
      </w:r>
    </w:p>
    <w:p w14:paraId="0B471D99" w14:textId="359B511C" w:rsidR="00E51130" w:rsidRDefault="00E51130" w:rsidP="00E51130">
      <w:pPr>
        <w:pStyle w:val="ListParagraph"/>
        <w:numPr>
          <w:ilvl w:val="0"/>
          <w:numId w:val="24"/>
        </w:numPr>
      </w:pPr>
      <w:r w:rsidRPr="00E51130">
        <w:t>having products available, or sourcing products, for the migration of their services off the copper network</w:t>
      </w:r>
    </w:p>
    <w:p w14:paraId="577722FE" w14:textId="77777777" w:rsidR="00E51130" w:rsidRPr="00E51130" w:rsidRDefault="00E51130" w:rsidP="00E51130">
      <w:pPr>
        <w:pStyle w:val="ListParagraph"/>
        <w:ind w:left="340"/>
      </w:pPr>
    </w:p>
    <w:p w14:paraId="3297AC30" w14:textId="463FCA7B" w:rsidR="00080DB3" w:rsidRPr="00CD4287" w:rsidRDefault="00904B7B" w:rsidP="009475AE">
      <w:pPr>
        <w:pStyle w:val="BodyText"/>
        <w:numPr>
          <w:ilvl w:val="0"/>
          <w:numId w:val="24"/>
        </w:numPr>
        <w:spacing w:before="0" w:after="120" w:line="276" w:lineRule="auto"/>
        <w:rPr>
          <w:rFonts w:asciiTheme="minorHAnsi" w:eastAsia="Calibri" w:hAnsiTheme="minorHAnsi" w:cs="Times New Roman"/>
        </w:rPr>
      </w:pPr>
      <w:r>
        <w:t>taking the lead</w:t>
      </w:r>
      <w:r w:rsidR="00F1701A">
        <w:t xml:space="preserve"> in safely migrating</w:t>
      </w:r>
      <w:r w:rsidR="00BC0CA4">
        <w:t xml:space="preserve"> </w:t>
      </w:r>
      <w:r w:rsidR="00496889">
        <w:t xml:space="preserve">over-the-top services </w:t>
      </w:r>
      <w:r w:rsidR="00BC0CA4">
        <w:t>off the copper</w:t>
      </w:r>
      <w:r w:rsidR="00DB5533">
        <w:t xml:space="preserve"> network</w:t>
      </w:r>
      <w:r w:rsidR="00CD4287">
        <w:t>,</w:t>
      </w:r>
      <w:r w:rsidR="00CD4287" w:rsidRPr="00CD4287">
        <w:t xml:space="preserve"> including activities to support continuity of service</w:t>
      </w:r>
      <w:r w:rsidR="00CD4287">
        <w:t xml:space="preserve">, and </w:t>
      </w:r>
      <w:r w:rsidR="00CD4287" w:rsidRPr="00935104">
        <w:rPr>
          <w:rFonts w:asciiTheme="minorHAnsi" w:eastAsia="Calibri" w:hAnsiTheme="minorHAnsi" w:cs="Times New Roman"/>
        </w:rPr>
        <w:t>working with</w:t>
      </w:r>
      <w:r w:rsidR="00CD4287" w:rsidRPr="0000333F">
        <w:rPr>
          <w:rFonts w:asciiTheme="minorHAnsi" w:eastAsia="Calibri" w:hAnsiTheme="minorHAnsi" w:cs="Times New Roman"/>
        </w:rPr>
        <w:t xml:space="preserve"> </w:t>
      </w:r>
      <w:r w:rsidR="0076262F">
        <w:rPr>
          <w:rFonts w:asciiTheme="minorHAnsi" w:eastAsia="Calibri" w:hAnsiTheme="minorHAnsi" w:cs="Times New Roman"/>
        </w:rPr>
        <w:t>n</w:t>
      </w:r>
      <w:r w:rsidR="00601030">
        <w:rPr>
          <w:rFonts w:asciiTheme="minorHAnsi" w:eastAsia="Calibri" w:hAnsiTheme="minorHAnsi" w:cs="Times New Roman"/>
        </w:rPr>
        <w:t>bn</w:t>
      </w:r>
      <w:r w:rsidR="00CD4287" w:rsidRPr="0000333F">
        <w:rPr>
          <w:rFonts w:asciiTheme="minorHAnsi" w:eastAsia="Calibri" w:hAnsiTheme="minorHAnsi" w:cs="Times New Roman"/>
        </w:rPr>
        <w:t xml:space="preserve"> and other industry stakeholders to </w:t>
      </w:r>
      <w:r w:rsidR="00CD4287">
        <w:rPr>
          <w:rFonts w:asciiTheme="minorHAnsi" w:eastAsia="Calibri" w:hAnsiTheme="minorHAnsi" w:cs="Times New Roman"/>
        </w:rPr>
        <w:t>achieve this</w:t>
      </w:r>
    </w:p>
    <w:p w14:paraId="220BA89F" w14:textId="1E98C0BA" w:rsidR="00F1701A" w:rsidRPr="00084536" w:rsidRDefault="00F1701A" w:rsidP="009475AE">
      <w:pPr>
        <w:pStyle w:val="BodyText"/>
        <w:numPr>
          <w:ilvl w:val="0"/>
          <w:numId w:val="24"/>
        </w:numPr>
        <w:spacing w:before="0" w:after="120" w:line="276" w:lineRule="auto"/>
      </w:pPr>
      <w:r w:rsidRPr="00764F96">
        <w:t>prov</w:t>
      </w:r>
      <w:r w:rsidR="00086C44">
        <w:t>iding continuity of service for</w:t>
      </w:r>
      <w:r w:rsidRPr="00764F96">
        <w:t xml:space="preserve"> </w:t>
      </w:r>
      <w:r w:rsidR="00086C44">
        <w:t>their own end users</w:t>
      </w:r>
      <w:r w:rsidR="00BD5B62">
        <w:t>’</w:t>
      </w:r>
      <w:r>
        <w:t xml:space="preserve"> services </w:t>
      </w:r>
      <w:r w:rsidRPr="00084536">
        <w:t xml:space="preserve">during </w:t>
      </w:r>
      <w:r w:rsidR="00080DB3">
        <w:t xml:space="preserve">and after </w:t>
      </w:r>
      <w:r w:rsidRPr="00084536">
        <w:t>the migration window</w:t>
      </w:r>
      <w:r>
        <w:t xml:space="preserve">, </w:t>
      </w:r>
      <w:r w:rsidRPr="008526F0">
        <w:t xml:space="preserve">whether that is to a service </w:t>
      </w:r>
      <w:r w:rsidR="00D33FFE">
        <w:t>based o</w:t>
      </w:r>
      <w:r w:rsidR="00F900DE">
        <w:t>ver</w:t>
      </w:r>
      <w:r w:rsidR="00BD5B62">
        <w:t xml:space="preserve"> the</w:t>
      </w:r>
      <w:r w:rsidR="00F900DE">
        <w:t xml:space="preserve"> national broadband</w:t>
      </w:r>
      <w:r w:rsidR="00D33FFE">
        <w:t xml:space="preserve"> network</w:t>
      </w:r>
      <w:r w:rsidRPr="008526F0">
        <w:t>, or a ser</w:t>
      </w:r>
      <w:r>
        <w:t xml:space="preserve">vice provided over </w:t>
      </w:r>
      <w:r w:rsidR="0050368C">
        <w:t xml:space="preserve">a </w:t>
      </w:r>
      <w:r>
        <w:t>different network (e.g. 3G</w:t>
      </w:r>
      <w:r w:rsidR="0043474E">
        <w:t>/4G</w:t>
      </w:r>
      <w:r>
        <w:t>)</w:t>
      </w:r>
    </w:p>
    <w:p w14:paraId="3450971B" w14:textId="6690FDF5" w:rsidR="00F1701A" w:rsidRDefault="00F1701A" w:rsidP="009475AE">
      <w:pPr>
        <w:pStyle w:val="BodyText"/>
        <w:numPr>
          <w:ilvl w:val="0"/>
          <w:numId w:val="24"/>
        </w:numPr>
        <w:spacing w:before="0" w:after="120" w:line="276" w:lineRule="auto"/>
      </w:pPr>
      <w:r>
        <w:t>informing their own end users about the impact, or likely impact, of migration on their services and premises</w:t>
      </w:r>
      <w:r w:rsidR="00BC0CA4">
        <w:t xml:space="preserve">, recognising that coordination between RSPs and </w:t>
      </w:r>
      <w:r w:rsidR="00385BAD">
        <w:t>application service provider</w:t>
      </w:r>
      <w:r w:rsidR="00BC0CA4">
        <w:t>s is critical</w:t>
      </w:r>
    </w:p>
    <w:p w14:paraId="12C1BB42" w14:textId="71CE6D39" w:rsidR="00F1701A" w:rsidRDefault="00F1701A" w:rsidP="009475AE">
      <w:pPr>
        <w:pStyle w:val="BodyText"/>
        <w:numPr>
          <w:ilvl w:val="0"/>
          <w:numId w:val="24"/>
        </w:numPr>
        <w:spacing w:before="0" w:after="120" w:line="276" w:lineRule="auto"/>
      </w:pPr>
      <w:r>
        <w:t xml:space="preserve">undertaking any installation or upgrading of wiring or </w:t>
      </w:r>
      <w:r w:rsidR="00DB5533">
        <w:t>customer</w:t>
      </w:r>
      <w:r w:rsidR="0090206B">
        <w:t xml:space="preserve"> </w:t>
      </w:r>
      <w:r>
        <w:t>premises equipment associated with migration of their own end users (or end user</w:t>
      </w:r>
      <w:r w:rsidR="00086C44">
        <w:t>s</w:t>
      </w:r>
      <w:r w:rsidR="00BF222B">
        <w:t>’</w:t>
      </w:r>
      <w:r>
        <w:t xml:space="preserve"> premises)</w:t>
      </w:r>
      <w:r w:rsidR="00FE7E5B" w:rsidRPr="00FE7E5B">
        <w:t xml:space="preserve"> </w:t>
      </w:r>
    </w:p>
    <w:p w14:paraId="2D397B4A" w14:textId="0B581CFA" w:rsidR="00F1701A" w:rsidRDefault="00F1701A" w:rsidP="009475AE">
      <w:pPr>
        <w:pStyle w:val="BodyText"/>
        <w:numPr>
          <w:ilvl w:val="0"/>
          <w:numId w:val="24"/>
        </w:numPr>
        <w:spacing w:before="0" w:after="120" w:line="276" w:lineRule="auto"/>
      </w:pPr>
      <w:r>
        <w:t>any billing, account management or other relationship issues associated with their own end users</w:t>
      </w:r>
    </w:p>
    <w:p w14:paraId="113B9516" w14:textId="331FF918" w:rsidR="00F1701A" w:rsidRPr="004B3451" w:rsidRDefault="00BC0CA4" w:rsidP="009475AE">
      <w:pPr>
        <w:pStyle w:val="BodyText"/>
        <w:numPr>
          <w:ilvl w:val="0"/>
          <w:numId w:val="24"/>
        </w:numPr>
        <w:spacing w:before="0" w:after="120" w:line="276" w:lineRule="auto"/>
      </w:pPr>
      <w:r>
        <w:t xml:space="preserve">playing a primary role in migrating </w:t>
      </w:r>
      <w:r w:rsidR="00BF222B">
        <w:t xml:space="preserve">the </w:t>
      </w:r>
      <w:r>
        <w:t>end user services</w:t>
      </w:r>
      <w:r w:rsidR="00496889">
        <w:t xml:space="preserve"> they supply</w:t>
      </w:r>
      <w:r>
        <w:t xml:space="preserve">, and </w:t>
      </w:r>
      <w:r w:rsidR="00F1701A">
        <w:t xml:space="preserve">working with </w:t>
      </w:r>
      <w:r w:rsidR="0076262F">
        <w:t>n</w:t>
      </w:r>
      <w:r w:rsidR="00601030">
        <w:t>bn</w:t>
      </w:r>
      <w:r w:rsidR="00F1701A">
        <w:t xml:space="preserve">, RSPs and other industry stakeholders to </w:t>
      </w:r>
      <w:r>
        <w:t>achieve this</w:t>
      </w:r>
      <w:r w:rsidR="00F1701A">
        <w:t>.</w:t>
      </w:r>
    </w:p>
    <w:p w14:paraId="35D3203E" w14:textId="4AB02A2A" w:rsidR="00F1701A" w:rsidRDefault="00F1701A" w:rsidP="009475AE">
      <w:pPr>
        <w:pStyle w:val="Heading2"/>
        <w:numPr>
          <w:ilvl w:val="0"/>
          <w:numId w:val="0"/>
        </w:numPr>
        <w:spacing w:line="276" w:lineRule="auto"/>
        <w:ind w:left="1049" w:hanging="907"/>
      </w:pPr>
      <w:bookmarkStart w:id="18" w:name="_Toc406491058"/>
      <w:bookmarkStart w:id="19" w:name="_Toc406497267"/>
      <w:bookmarkStart w:id="20" w:name="_Toc422237714"/>
      <w:r w:rsidRPr="00D235FE">
        <w:t xml:space="preserve">Role of </w:t>
      </w:r>
      <w:bookmarkEnd w:id="18"/>
      <w:bookmarkEnd w:id="19"/>
      <w:r w:rsidR="00285437">
        <w:t>end user</w:t>
      </w:r>
      <w:r w:rsidR="00285437" w:rsidRPr="00D235FE">
        <w:t>s</w:t>
      </w:r>
      <w:bookmarkEnd w:id="20"/>
    </w:p>
    <w:p w14:paraId="7F88CDA6" w14:textId="6829EBDE" w:rsidR="00F1701A" w:rsidRDefault="00F1701A" w:rsidP="009475AE">
      <w:pPr>
        <w:pStyle w:val="BodyText"/>
        <w:numPr>
          <w:ilvl w:val="0"/>
          <w:numId w:val="37"/>
        </w:numPr>
        <w:spacing w:before="0" w:after="120" w:line="276" w:lineRule="auto"/>
        <w:rPr>
          <w:rFonts w:asciiTheme="minorHAnsi" w:hAnsiTheme="minorHAnsi" w:cs="Times New Roman"/>
        </w:rPr>
      </w:pPr>
      <w:r w:rsidRPr="00190FB7">
        <w:rPr>
          <w:rFonts w:asciiTheme="minorHAnsi" w:eastAsia="Calibri" w:hAnsiTheme="minorHAnsi" w:cs="Times New Roman"/>
        </w:rPr>
        <w:t xml:space="preserve">informing themselves of the </w:t>
      </w:r>
      <w:r w:rsidR="00D33FFE">
        <w:rPr>
          <w:rFonts w:asciiTheme="minorHAnsi" w:eastAsia="Calibri" w:hAnsiTheme="minorHAnsi" w:cs="Times New Roman"/>
        </w:rPr>
        <w:t xml:space="preserve">need for </w:t>
      </w:r>
      <w:r w:rsidRPr="00190FB7">
        <w:rPr>
          <w:rFonts w:asciiTheme="minorHAnsi" w:eastAsia="Calibri" w:hAnsiTheme="minorHAnsi" w:cs="Times New Roman"/>
        </w:rPr>
        <w:t xml:space="preserve">migration </w:t>
      </w:r>
      <w:r>
        <w:rPr>
          <w:rFonts w:asciiTheme="minorHAnsi" w:eastAsia="Calibri" w:hAnsiTheme="minorHAnsi" w:cs="Times New Roman"/>
        </w:rPr>
        <w:t>by reviewing</w:t>
      </w:r>
      <w:r w:rsidRPr="0027111B">
        <w:rPr>
          <w:rFonts w:asciiTheme="minorHAnsi" w:hAnsiTheme="minorHAnsi" w:cs="Times New Roman"/>
        </w:rPr>
        <w:t xml:space="preserve"> </w:t>
      </w:r>
      <w:r w:rsidR="007328A6">
        <w:rPr>
          <w:rFonts w:asciiTheme="minorHAnsi" w:hAnsiTheme="minorHAnsi" w:cs="Times New Roman"/>
        </w:rPr>
        <w:t xml:space="preserve">national broadband network </w:t>
      </w:r>
      <w:r w:rsidRPr="0027111B">
        <w:rPr>
          <w:rFonts w:asciiTheme="minorHAnsi" w:hAnsiTheme="minorHAnsi" w:cs="Times New Roman"/>
        </w:rPr>
        <w:t>related communications material</w:t>
      </w:r>
      <w:r>
        <w:rPr>
          <w:rFonts w:asciiTheme="minorHAnsi" w:hAnsiTheme="minorHAnsi" w:cs="Times New Roman"/>
        </w:rPr>
        <w:t xml:space="preserve"> </w:t>
      </w:r>
      <w:r w:rsidR="00086C44">
        <w:rPr>
          <w:rFonts w:asciiTheme="minorHAnsi" w:hAnsiTheme="minorHAnsi" w:cs="Times New Roman"/>
        </w:rPr>
        <w:t xml:space="preserve">provided by </w:t>
      </w:r>
      <w:r w:rsidR="0076262F">
        <w:rPr>
          <w:rFonts w:asciiTheme="minorHAnsi" w:hAnsiTheme="minorHAnsi" w:cs="Times New Roman"/>
        </w:rPr>
        <w:t>n</w:t>
      </w:r>
      <w:r w:rsidR="00601030">
        <w:rPr>
          <w:rFonts w:asciiTheme="minorHAnsi" w:hAnsiTheme="minorHAnsi" w:cs="Times New Roman"/>
        </w:rPr>
        <w:t>bn</w:t>
      </w:r>
      <w:r w:rsidR="00FE7E5B">
        <w:rPr>
          <w:rFonts w:asciiTheme="minorHAnsi" w:hAnsiTheme="minorHAnsi" w:cs="Times New Roman"/>
        </w:rPr>
        <w:t>, RSPs</w:t>
      </w:r>
      <w:r w:rsidR="00086C44">
        <w:rPr>
          <w:rFonts w:asciiTheme="minorHAnsi" w:hAnsiTheme="minorHAnsi" w:cs="Times New Roman"/>
        </w:rPr>
        <w:t>,</w:t>
      </w:r>
      <w:r w:rsidR="00FE7E5B">
        <w:rPr>
          <w:rFonts w:asciiTheme="minorHAnsi" w:hAnsiTheme="minorHAnsi" w:cs="Times New Roman"/>
        </w:rPr>
        <w:t xml:space="preserve"> </w:t>
      </w:r>
      <w:r w:rsidR="00385BAD">
        <w:rPr>
          <w:rFonts w:asciiTheme="minorHAnsi" w:hAnsiTheme="minorHAnsi" w:cs="Times New Roman"/>
        </w:rPr>
        <w:t>application service provider</w:t>
      </w:r>
      <w:r w:rsidR="00FE7E5B">
        <w:rPr>
          <w:rFonts w:asciiTheme="minorHAnsi" w:hAnsiTheme="minorHAnsi" w:cs="Times New Roman"/>
        </w:rPr>
        <w:t>s</w:t>
      </w:r>
      <w:r w:rsidR="0050368C">
        <w:rPr>
          <w:rFonts w:asciiTheme="minorHAnsi" w:hAnsiTheme="minorHAnsi" w:cs="Times New Roman"/>
        </w:rPr>
        <w:t xml:space="preserve"> </w:t>
      </w:r>
      <w:r w:rsidR="00086C44">
        <w:rPr>
          <w:rFonts w:asciiTheme="minorHAnsi" w:hAnsiTheme="minorHAnsi" w:cs="Times New Roman"/>
        </w:rPr>
        <w:t>and other organisations</w:t>
      </w:r>
    </w:p>
    <w:p w14:paraId="17344B76" w14:textId="77777777" w:rsidR="0000333F" w:rsidRDefault="00F1701A" w:rsidP="009475AE">
      <w:pPr>
        <w:pStyle w:val="BodyText"/>
        <w:numPr>
          <w:ilvl w:val="0"/>
          <w:numId w:val="37"/>
        </w:numPr>
        <w:spacing w:before="0" w:after="120" w:line="276" w:lineRule="auto"/>
        <w:rPr>
          <w:rFonts w:asciiTheme="minorHAnsi" w:hAnsiTheme="minorHAnsi" w:cs="Times New Roman"/>
        </w:rPr>
      </w:pPr>
      <w:r w:rsidRPr="0000333F">
        <w:rPr>
          <w:rFonts w:asciiTheme="minorHAnsi" w:eastAsia="Calibri" w:hAnsiTheme="minorHAnsi" w:cs="Times New Roman"/>
        </w:rPr>
        <w:t xml:space="preserve">identifying equipment needed to migrate and initiating action with </w:t>
      </w:r>
      <w:r w:rsidR="00496889" w:rsidRPr="0000333F">
        <w:rPr>
          <w:rFonts w:asciiTheme="minorHAnsi" w:eastAsia="Calibri" w:hAnsiTheme="minorHAnsi" w:cs="Times New Roman"/>
        </w:rPr>
        <w:t xml:space="preserve">RSPs and </w:t>
      </w:r>
      <w:r w:rsidR="00385BAD" w:rsidRPr="0000333F">
        <w:rPr>
          <w:rFonts w:asciiTheme="minorHAnsi" w:eastAsia="Calibri" w:hAnsiTheme="minorHAnsi" w:cs="Times New Roman"/>
        </w:rPr>
        <w:t>application service provider</w:t>
      </w:r>
      <w:r w:rsidRPr="0000333F">
        <w:rPr>
          <w:rFonts w:asciiTheme="minorHAnsi" w:eastAsia="Calibri" w:hAnsiTheme="minorHAnsi" w:cs="Times New Roman"/>
        </w:rPr>
        <w:t>s to ensure a timely transition of service</w:t>
      </w:r>
      <w:r>
        <w:rPr>
          <w:rFonts w:asciiTheme="minorHAnsi" w:eastAsia="Calibri" w:hAnsiTheme="minorHAnsi" w:cs="Times New Roman"/>
        </w:rPr>
        <w:t>s</w:t>
      </w:r>
    </w:p>
    <w:p w14:paraId="41D7EC01" w14:textId="293A7BF4" w:rsidR="0000333F" w:rsidRDefault="0000333F" w:rsidP="00A707FC">
      <w:pPr>
        <w:pStyle w:val="BodyText"/>
        <w:numPr>
          <w:ilvl w:val="0"/>
          <w:numId w:val="37"/>
        </w:numPr>
        <w:spacing w:before="0" w:after="120" w:line="276" w:lineRule="auto"/>
        <w:rPr>
          <w:rFonts w:asciiTheme="minorHAnsi" w:hAnsiTheme="minorHAnsi" w:cs="Times New Roman"/>
        </w:rPr>
      </w:pPr>
      <w:r w:rsidRPr="0000333F">
        <w:rPr>
          <w:rFonts w:asciiTheme="minorHAnsi" w:hAnsiTheme="minorHAnsi" w:cs="Times New Roman"/>
        </w:rPr>
        <w:t xml:space="preserve">ensuring </w:t>
      </w:r>
      <w:r w:rsidR="00A707FC" w:rsidRPr="00A707FC">
        <w:rPr>
          <w:rFonts w:asciiTheme="minorHAnsi" w:hAnsiTheme="minorHAnsi" w:cs="Times New Roman"/>
        </w:rPr>
        <w:t>they register services</w:t>
      </w:r>
      <w:r w:rsidR="00A707FC">
        <w:rPr>
          <w:rFonts w:asciiTheme="minorHAnsi" w:hAnsiTheme="minorHAnsi" w:cs="Times New Roman"/>
        </w:rPr>
        <w:t xml:space="preserve">, </w:t>
      </w:r>
      <w:r w:rsidRPr="0000333F">
        <w:rPr>
          <w:rFonts w:asciiTheme="minorHAnsi" w:hAnsiTheme="minorHAnsi" w:cs="Times New Roman"/>
        </w:rPr>
        <w:t xml:space="preserve">where registers are in place </w:t>
      </w:r>
      <w:r w:rsidR="00A707FC">
        <w:rPr>
          <w:rFonts w:asciiTheme="minorHAnsi" w:hAnsiTheme="minorHAnsi" w:cs="Times New Roman"/>
        </w:rPr>
        <w:t>for the identification of</w:t>
      </w:r>
      <w:r w:rsidR="00E96C2C">
        <w:rPr>
          <w:rFonts w:asciiTheme="minorHAnsi" w:hAnsiTheme="minorHAnsi" w:cs="Times New Roman"/>
        </w:rPr>
        <w:t xml:space="preserve"> </w:t>
      </w:r>
      <w:r w:rsidRPr="0000333F">
        <w:rPr>
          <w:rFonts w:asciiTheme="minorHAnsi" w:hAnsiTheme="minorHAnsi" w:cs="Times New Roman"/>
        </w:rPr>
        <w:t>particular type</w:t>
      </w:r>
      <w:r w:rsidR="00A707FC">
        <w:rPr>
          <w:rFonts w:asciiTheme="minorHAnsi" w:hAnsiTheme="minorHAnsi" w:cs="Times New Roman"/>
        </w:rPr>
        <w:t>s</w:t>
      </w:r>
      <w:r w:rsidRPr="0000333F">
        <w:rPr>
          <w:rFonts w:asciiTheme="minorHAnsi" w:hAnsiTheme="minorHAnsi" w:cs="Times New Roman"/>
        </w:rPr>
        <w:t xml:space="preserve"> of over</w:t>
      </w:r>
      <w:r w:rsidR="00BF222B">
        <w:rPr>
          <w:rFonts w:asciiTheme="minorHAnsi" w:hAnsiTheme="minorHAnsi" w:cs="Times New Roman"/>
        </w:rPr>
        <w:t>-</w:t>
      </w:r>
      <w:r w:rsidRPr="0000333F">
        <w:rPr>
          <w:rFonts w:asciiTheme="minorHAnsi" w:hAnsiTheme="minorHAnsi" w:cs="Times New Roman"/>
        </w:rPr>
        <w:t>the</w:t>
      </w:r>
      <w:r w:rsidR="00BF222B">
        <w:rPr>
          <w:rFonts w:asciiTheme="minorHAnsi" w:hAnsiTheme="minorHAnsi" w:cs="Times New Roman"/>
        </w:rPr>
        <w:t>-</w:t>
      </w:r>
      <w:r w:rsidRPr="0000333F">
        <w:rPr>
          <w:rFonts w:asciiTheme="minorHAnsi" w:hAnsiTheme="minorHAnsi" w:cs="Times New Roman"/>
        </w:rPr>
        <w:t>top services</w:t>
      </w:r>
    </w:p>
    <w:p w14:paraId="2DADAD7D" w14:textId="20075233" w:rsidR="00F1701A" w:rsidRPr="0000333F" w:rsidRDefault="00F1701A" w:rsidP="009475AE">
      <w:pPr>
        <w:pStyle w:val="BodyText"/>
        <w:numPr>
          <w:ilvl w:val="0"/>
          <w:numId w:val="37"/>
        </w:numPr>
        <w:spacing w:before="0" w:after="120" w:line="276" w:lineRule="auto"/>
        <w:rPr>
          <w:rFonts w:asciiTheme="minorHAnsi" w:hAnsiTheme="minorHAnsi" w:cs="Times New Roman"/>
        </w:rPr>
      </w:pPr>
      <w:r w:rsidRPr="0000333F">
        <w:rPr>
          <w:rFonts w:asciiTheme="minorHAnsi" w:hAnsiTheme="minorHAnsi" w:cs="Times New Roman"/>
        </w:rPr>
        <w:t xml:space="preserve">placing an order </w:t>
      </w:r>
      <w:r w:rsidR="00FE7E5B" w:rsidRPr="0000333F">
        <w:rPr>
          <w:rFonts w:asciiTheme="minorHAnsi" w:hAnsiTheme="minorHAnsi" w:cs="Times New Roman"/>
        </w:rPr>
        <w:t xml:space="preserve">with their preferred RSP </w:t>
      </w:r>
      <w:r w:rsidRPr="0000333F">
        <w:rPr>
          <w:rFonts w:asciiTheme="minorHAnsi" w:hAnsiTheme="minorHAnsi" w:cs="Times New Roman"/>
        </w:rPr>
        <w:t xml:space="preserve">when </w:t>
      </w:r>
      <w:r w:rsidR="007328A6">
        <w:rPr>
          <w:rFonts w:asciiTheme="minorHAnsi" w:hAnsiTheme="minorHAnsi" w:cs="Times New Roman"/>
        </w:rPr>
        <w:t xml:space="preserve">national broadband network </w:t>
      </w:r>
      <w:r w:rsidRPr="0000333F">
        <w:rPr>
          <w:rFonts w:asciiTheme="minorHAnsi" w:hAnsiTheme="minorHAnsi" w:cs="Times New Roman"/>
        </w:rPr>
        <w:t>services become available</w:t>
      </w:r>
      <w:r w:rsidR="00FE7E5B" w:rsidRPr="0000333F">
        <w:rPr>
          <w:rFonts w:asciiTheme="minorHAnsi" w:hAnsiTheme="minorHAnsi" w:cs="Times New Roman"/>
        </w:rPr>
        <w:t xml:space="preserve">, </w:t>
      </w:r>
      <w:r w:rsidRPr="0000333F">
        <w:rPr>
          <w:rFonts w:asciiTheme="minorHAnsi" w:hAnsiTheme="minorHAnsi" w:cs="Times New Roman"/>
        </w:rPr>
        <w:t>early in the migration window</w:t>
      </w:r>
    </w:p>
    <w:p w14:paraId="7AE5524C" w14:textId="271399C7" w:rsidR="00F1701A" w:rsidRPr="00040A8B" w:rsidRDefault="00F1701A" w:rsidP="009475AE">
      <w:pPr>
        <w:pStyle w:val="BodyText"/>
        <w:numPr>
          <w:ilvl w:val="0"/>
          <w:numId w:val="37"/>
        </w:numPr>
        <w:spacing w:before="0" w:after="120" w:line="276" w:lineRule="auto"/>
        <w:rPr>
          <w:rFonts w:ascii="Times New Roman" w:hAnsi="Times New Roman" w:cs="Times New Roman"/>
          <w:sz w:val="24"/>
          <w:szCs w:val="24"/>
        </w:rPr>
      </w:pPr>
      <w:r w:rsidRPr="00F714FA">
        <w:rPr>
          <w:rFonts w:asciiTheme="minorHAnsi" w:eastAsia="Calibri" w:hAnsiTheme="minorHAnsi" w:cs="Times New Roman"/>
        </w:rPr>
        <w:t>attending</w:t>
      </w:r>
      <w:r w:rsidRPr="0027111B">
        <w:rPr>
          <w:rFonts w:asciiTheme="minorHAnsi" w:hAnsiTheme="minorHAnsi" w:cs="Times New Roman"/>
        </w:rPr>
        <w:t xml:space="preserve"> sched</w:t>
      </w:r>
      <w:r>
        <w:rPr>
          <w:rFonts w:asciiTheme="minorHAnsi" w:hAnsiTheme="minorHAnsi" w:cs="Times New Roman"/>
        </w:rPr>
        <w:t xml:space="preserve">uled </w:t>
      </w:r>
      <w:r w:rsidR="0076262F">
        <w:rPr>
          <w:rFonts w:asciiTheme="minorHAnsi" w:hAnsiTheme="minorHAnsi" w:cs="Times New Roman"/>
        </w:rPr>
        <w:t>n</w:t>
      </w:r>
      <w:r w:rsidR="00601030">
        <w:rPr>
          <w:rFonts w:asciiTheme="minorHAnsi" w:hAnsiTheme="minorHAnsi" w:cs="Times New Roman"/>
        </w:rPr>
        <w:t>bn</w:t>
      </w:r>
      <w:r w:rsidR="00FB69F8">
        <w:rPr>
          <w:rFonts w:asciiTheme="minorHAnsi" w:hAnsiTheme="minorHAnsi" w:cs="Times New Roman"/>
        </w:rPr>
        <w:t xml:space="preserve">, </w:t>
      </w:r>
      <w:r>
        <w:rPr>
          <w:rFonts w:asciiTheme="minorHAnsi" w:hAnsiTheme="minorHAnsi" w:cs="Times New Roman"/>
        </w:rPr>
        <w:t xml:space="preserve">RSP </w:t>
      </w:r>
      <w:r w:rsidR="00FB69F8">
        <w:rPr>
          <w:rFonts w:asciiTheme="minorHAnsi" w:hAnsiTheme="minorHAnsi" w:cs="Times New Roman"/>
        </w:rPr>
        <w:t xml:space="preserve">and </w:t>
      </w:r>
      <w:r w:rsidR="00385BAD">
        <w:rPr>
          <w:rFonts w:asciiTheme="minorHAnsi" w:hAnsiTheme="minorHAnsi" w:cs="Times New Roman"/>
        </w:rPr>
        <w:t>application service provider</w:t>
      </w:r>
      <w:r w:rsidR="00FB69F8">
        <w:rPr>
          <w:rFonts w:asciiTheme="minorHAnsi" w:hAnsiTheme="minorHAnsi" w:cs="Times New Roman"/>
        </w:rPr>
        <w:t xml:space="preserve"> </w:t>
      </w:r>
      <w:r>
        <w:rPr>
          <w:rFonts w:asciiTheme="minorHAnsi" w:hAnsiTheme="minorHAnsi" w:cs="Times New Roman"/>
        </w:rPr>
        <w:t>appointments</w:t>
      </w:r>
    </w:p>
    <w:p w14:paraId="4F5BC830" w14:textId="3E49C2B7" w:rsidR="0073292D" w:rsidRPr="00040A8B" w:rsidRDefault="0073292D" w:rsidP="009475AE">
      <w:pPr>
        <w:pStyle w:val="BodyText"/>
        <w:numPr>
          <w:ilvl w:val="0"/>
          <w:numId w:val="37"/>
        </w:numPr>
        <w:spacing w:before="0" w:after="120" w:line="276" w:lineRule="auto"/>
        <w:rPr>
          <w:rFonts w:asciiTheme="minorHAnsi" w:hAnsiTheme="minorHAnsi" w:cs="Times New Roman"/>
        </w:rPr>
      </w:pPr>
      <w:r>
        <w:rPr>
          <w:rFonts w:asciiTheme="minorHAnsi" w:hAnsiTheme="minorHAnsi" w:cs="Times New Roman"/>
        </w:rPr>
        <w:t xml:space="preserve">where the end user is changing </w:t>
      </w:r>
      <w:r w:rsidR="00EE7024">
        <w:rPr>
          <w:rFonts w:asciiTheme="minorHAnsi" w:hAnsiTheme="minorHAnsi" w:cs="Times New Roman"/>
        </w:rPr>
        <w:t xml:space="preserve">to another </w:t>
      </w:r>
      <w:r>
        <w:rPr>
          <w:rFonts w:asciiTheme="minorHAnsi" w:hAnsiTheme="minorHAnsi" w:cs="Times New Roman"/>
        </w:rPr>
        <w:t>RSP</w:t>
      </w:r>
      <w:r w:rsidRPr="006906F8">
        <w:rPr>
          <w:rFonts w:asciiTheme="minorHAnsi" w:hAnsiTheme="minorHAnsi" w:cs="Times New Roman"/>
        </w:rPr>
        <w:t>, placing cancellation ord</w:t>
      </w:r>
      <w:r>
        <w:rPr>
          <w:rFonts w:asciiTheme="minorHAnsi" w:hAnsiTheme="minorHAnsi" w:cs="Times New Roman"/>
        </w:rPr>
        <w:t>ers with their existing RSP</w:t>
      </w:r>
      <w:r w:rsidRPr="006906F8">
        <w:rPr>
          <w:rFonts w:asciiTheme="minorHAnsi" w:hAnsiTheme="minorHAnsi" w:cs="Times New Roman"/>
        </w:rPr>
        <w:t xml:space="preserve"> </w:t>
      </w:r>
    </w:p>
    <w:p w14:paraId="72E9B7DB" w14:textId="77777777" w:rsidR="003C1597" w:rsidRPr="003C1597" w:rsidRDefault="00F1701A" w:rsidP="009475AE">
      <w:pPr>
        <w:pStyle w:val="ListParagraph"/>
        <w:numPr>
          <w:ilvl w:val="0"/>
          <w:numId w:val="37"/>
        </w:numPr>
        <w:spacing w:before="0" w:after="200" w:line="276" w:lineRule="auto"/>
        <w:rPr>
          <w:rFonts w:ascii="Times New Roman" w:hAnsi="Times New Roman" w:cs="Times New Roman"/>
          <w:sz w:val="24"/>
          <w:szCs w:val="24"/>
        </w:rPr>
      </w:pPr>
      <w:r>
        <w:rPr>
          <w:rFonts w:asciiTheme="minorHAnsi" w:hAnsiTheme="minorHAnsi" w:cs="Times New Roman"/>
        </w:rPr>
        <w:t xml:space="preserve">arranging and covering </w:t>
      </w:r>
      <w:r w:rsidRPr="00FF6157">
        <w:rPr>
          <w:rFonts w:asciiTheme="minorHAnsi" w:hAnsiTheme="minorHAnsi" w:cs="Times New Roman"/>
        </w:rPr>
        <w:t xml:space="preserve">costs associated with any additional upgrading of wiring or </w:t>
      </w:r>
      <w:r w:rsidR="0090206B">
        <w:rPr>
          <w:rFonts w:asciiTheme="minorHAnsi" w:hAnsiTheme="minorHAnsi" w:cs="Times New Roman"/>
        </w:rPr>
        <w:t>end user</w:t>
      </w:r>
      <w:r w:rsidR="0090206B" w:rsidRPr="00FF6157">
        <w:rPr>
          <w:rFonts w:asciiTheme="minorHAnsi" w:hAnsiTheme="minorHAnsi" w:cs="Times New Roman"/>
        </w:rPr>
        <w:t xml:space="preserve"> </w:t>
      </w:r>
      <w:r w:rsidRPr="00FF6157">
        <w:rPr>
          <w:rFonts w:asciiTheme="minorHAnsi" w:hAnsiTheme="minorHAnsi" w:cs="Times New Roman"/>
        </w:rPr>
        <w:t>premises equipment that may be required.</w:t>
      </w:r>
      <w:bookmarkStart w:id="21" w:name="_Toc406491059"/>
      <w:bookmarkStart w:id="22" w:name="_Toc406497268"/>
    </w:p>
    <w:p w14:paraId="66E92F6F" w14:textId="77777777" w:rsidR="003C1597" w:rsidRDefault="003C1597" w:rsidP="009475AE">
      <w:pPr>
        <w:pStyle w:val="Heading2"/>
        <w:numPr>
          <w:ilvl w:val="0"/>
          <w:numId w:val="0"/>
        </w:numPr>
        <w:spacing w:line="276" w:lineRule="auto"/>
      </w:pPr>
      <w:bookmarkStart w:id="23" w:name="_Toc422237715"/>
      <w:r w:rsidRPr="00D235FE">
        <w:t xml:space="preserve">Role of Telstra </w:t>
      </w:r>
      <w:r>
        <w:t>(as disconnecting network provider)</w:t>
      </w:r>
      <w:bookmarkEnd w:id="23"/>
    </w:p>
    <w:p w14:paraId="1ACDB168" w14:textId="653D9C91" w:rsidR="003C1597" w:rsidRDefault="003C1597" w:rsidP="009475AE">
      <w:pPr>
        <w:pStyle w:val="BodyText"/>
        <w:numPr>
          <w:ilvl w:val="0"/>
          <w:numId w:val="28"/>
        </w:numPr>
        <w:spacing w:before="0" w:after="120" w:line="276" w:lineRule="auto"/>
      </w:pPr>
      <w:r w:rsidRPr="003E6D88">
        <w:t>making available</w:t>
      </w:r>
      <w:r>
        <w:t xml:space="preserve"> </w:t>
      </w:r>
      <w:r w:rsidRPr="003E6D88">
        <w:t>to</w:t>
      </w:r>
      <w:r>
        <w:t xml:space="preserve"> wholesale customers information </w:t>
      </w:r>
      <w:r w:rsidRPr="003E6D88">
        <w:t xml:space="preserve">which is directly related to </w:t>
      </w:r>
      <w:r>
        <w:t xml:space="preserve">the </w:t>
      </w:r>
      <w:r w:rsidRPr="003E6D88">
        <w:t xml:space="preserve">disconnection of </w:t>
      </w:r>
      <w:r>
        <w:t xml:space="preserve">their </w:t>
      </w:r>
      <w:r w:rsidRPr="003E6D88">
        <w:t>services or networks</w:t>
      </w:r>
      <w:r w:rsidRPr="00CE5470">
        <w:t xml:space="preserve"> </w:t>
      </w:r>
      <w:r>
        <w:t xml:space="preserve">as a consequence of the </w:t>
      </w:r>
      <w:r w:rsidR="00D33FFE">
        <w:t>migration</w:t>
      </w:r>
    </w:p>
    <w:p w14:paraId="601BB4D3" w14:textId="77777777" w:rsidR="003C1597" w:rsidRDefault="003C1597" w:rsidP="009475AE">
      <w:pPr>
        <w:pStyle w:val="BodyText"/>
        <w:numPr>
          <w:ilvl w:val="0"/>
          <w:numId w:val="28"/>
        </w:numPr>
        <w:spacing w:before="0" w:after="120" w:line="276" w:lineRule="auto"/>
      </w:pPr>
      <w:r>
        <w:t>reconnecting a copper service when a disconnection has occurred in error (based on current business as usual processes)</w:t>
      </w:r>
    </w:p>
    <w:p w14:paraId="21F4FEE3" w14:textId="767036E8" w:rsidR="003C1597" w:rsidRPr="00AC43F2" w:rsidRDefault="003C1597" w:rsidP="009475AE">
      <w:pPr>
        <w:pStyle w:val="BodyText"/>
        <w:numPr>
          <w:ilvl w:val="0"/>
          <w:numId w:val="28"/>
        </w:numPr>
        <w:spacing w:before="0" w:after="120" w:line="276" w:lineRule="auto"/>
      </w:pPr>
      <w:r w:rsidRPr="00523700">
        <w:t xml:space="preserve">disconnecting copper and </w:t>
      </w:r>
      <w:r w:rsidR="002A2975">
        <w:t xml:space="preserve">HFC </w:t>
      </w:r>
      <w:r w:rsidRPr="00523700">
        <w:t>services at the end of the migration window</w:t>
      </w:r>
      <w:r>
        <w:t>.</w:t>
      </w:r>
    </w:p>
    <w:p w14:paraId="4EE30416" w14:textId="77777777" w:rsidR="003C1597" w:rsidRDefault="003C1597" w:rsidP="009475AE">
      <w:pPr>
        <w:pStyle w:val="Heading2"/>
        <w:numPr>
          <w:ilvl w:val="0"/>
          <w:numId w:val="0"/>
        </w:numPr>
        <w:spacing w:line="276" w:lineRule="auto"/>
        <w:ind w:left="1049" w:hanging="907"/>
      </w:pPr>
      <w:bookmarkStart w:id="24" w:name="_Toc409708205"/>
      <w:bookmarkStart w:id="25" w:name="_Toc409708207"/>
      <w:bookmarkStart w:id="26" w:name="_Toc406491061"/>
      <w:bookmarkStart w:id="27" w:name="_Toc406497270"/>
      <w:bookmarkStart w:id="28" w:name="_Toc422237716"/>
      <w:bookmarkEnd w:id="24"/>
      <w:bookmarkEnd w:id="25"/>
      <w:r>
        <w:t>Role of the cabling industry</w:t>
      </w:r>
      <w:bookmarkEnd w:id="26"/>
      <w:bookmarkEnd w:id="27"/>
      <w:bookmarkEnd w:id="28"/>
    </w:p>
    <w:p w14:paraId="76208D9D" w14:textId="77777777" w:rsidR="003C1597" w:rsidRPr="003458F2" w:rsidRDefault="003C1597" w:rsidP="009475AE">
      <w:pPr>
        <w:pStyle w:val="BodyText"/>
        <w:numPr>
          <w:ilvl w:val="0"/>
          <w:numId w:val="37"/>
        </w:numPr>
        <w:spacing w:before="0" w:after="120" w:line="276" w:lineRule="auto"/>
        <w:rPr>
          <w:rFonts w:asciiTheme="minorHAnsi" w:eastAsia="Calibri" w:hAnsiTheme="minorHAnsi" w:cs="Times New Roman"/>
        </w:rPr>
      </w:pPr>
      <w:r w:rsidRPr="00254512">
        <w:rPr>
          <w:rFonts w:asciiTheme="minorHAnsi" w:eastAsia="Calibri" w:hAnsiTheme="minorHAnsi" w:cs="Times New Roman"/>
        </w:rPr>
        <w:t>p</w:t>
      </w:r>
      <w:r w:rsidRPr="003458F2">
        <w:rPr>
          <w:rFonts w:asciiTheme="minorHAnsi" w:eastAsia="Calibri" w:hAnsiTheme="minorHAnsi" w:cs="Times New Roman"/>
        </w:rPr>
        <w:t>roviding information and services to assist end users in addressing in-home wiring</w:t>
      </w:r>
    </w:p>
    <w:p w14:paraId="59E5C721" w14:textId="77777777" w:rsidR="003C1597" w:rsidRPr="003458F2" w:rsidRDefault="003C1597" w:rsidP="009475AE">
      <w:pPr>
        <w:pStyle w:val="BodyText"/>
        <w:numPr>
          <w:ilvl w:val="0"/>
          <w:numId w:val="37"/>
        </w:numPr>
        <w:spacing w:before="0" w:after="120" w:line="276" w:lineRule="auto"/>
        <w:rPr>
          <w:rFonts w:asciiTheme="minorHAnsi" w:eastAsia="Calibri" w:hAnsiTheme="minorHAnsi" w:cs="Times New Roman"/>
        </w:rPr>
      </w:pPr>
      <w:r w:rsidRPr="003458F2">
        <w:rPr>
          <w:rFonts w:asciiTheme="minorHAnsi" w:eastAsia="Calibri" w:hAnsiTheme="minorHAnsi" w:cs="Times New Roman"/>
        </w:rPr>
        <w:t>ensuring members are updated with the latest information regarding wiring codes.</w:t>
      </w:r>
    </w:p>
    <w:p w14:paraId="5F152A02" w14:textId="77777777" w:rsidR="003C1597" w:rsidRDefault="003C1597" w:rsidP="009475AE">
      <w:pPr>
        <w:pStyle w:val="BodyText"/>
        <w:spacing w:line="276" w:lineRule="auto"/>
        <w:ind w:left="360"/>
        <w:rPr>
          <w:rFonts w:asciiTheme="minorHAnsi" w:hAnsiTheme="minorHAnsi"/>
        </w:rPr>
      </w:pPr>
    </w:p>
    <w:p w14:paraId="58CE8355" w14:textId="0B3F2FFE" w:rsidR="001C16FB" w:rsidRPr="003C1597" w:rsidRDefault="00BE3241" w:rsidP="009475AE">
      <w:pPr>
        <w:pStyle w:val="ListParagraph"/>
        <w:numPr>
          <w:ilvl w:val="0"/>
          <w:numId w:val="37"/>
        </w:numPr>
        <w:spacing w:before="0" w:after="200" w:line="276" w:lineRule="auto"/>
        <w:rPr>
          <w:rFonts w:ascii="Times New Roman" w:hAnsi="Times New Roman" w:cs="Times New Roman"/>
          <w:sz w:val="24"/>
          <w:szCs w:val="24"/>
        </w:rPr>
      </w:pPr>
      <w:r>
        <w:br w:type="page"/>
      </w:r>
      <w:bookmarkEnd w:id="21"/>
      <w:bookmarkEnd w:id="22"/>
    </w:p>
    <w:p w14:paraId="5B904E92" w14:textId="2189814C" w:rsidR="001C16FB" w:rsidRDefault="001C16FB" w:rsidP="009475AE">
      <w:pPr>
        <w:pStyle w:val="Heading1"/>
        <w:numPr>
          <w:ilvl w:val="0"/>
          <w:numId w:val="0"/>
        </w:numPr>
        <w:spacing w:line="276" w:lineRule="auto"/>
        <w:ind w:left="907" w:hanging="907"/>
      </w:pPr>
      <w:bookmarkStart w:id="29" w:name="_Toc406491062"/>
      <w:bookmarkStart w:id="30" w:name="_Toc406497271"/>
      <w:bookmarkStart w:id="31" w:name="_Toc422237717"/>
      <w:r>
        <w:t>I</w:t>
      </w:r>
      <w:r w:rsidRPr="00E16C05">
        <w:t>nformation sharing</w:t>
      </w:r>
      <w:r>
        <w:t xml:space="preserve"> and data stability</w:t>
      </w:r>
      <w:bookmarkEnd w:id="29"/>
      <w:bookmarkEnd w:id="30"/>
      <w:bookmarkEnd w:id="31"/>
    </w:p>
    <w:p w14:paraId="4A232AE1" w14:textId="45F5F056" w:rsidR="001C16FB" w:rsidRDefault="001C16FB" w:rsidP="009475AE">
      <w:pPr>
        <w:pStyle w:val="BodyText"/>
        <w:spacing w:line="276" w:lineRule="auto"/>
      </w:pPr>
      <w:r>
        <w:t xml:space="preserve">The sharing of data and information </w:t>
      </w:r>
      <w:r w:rsidRPr="00143CFF">
        <w:t xml:space="preserve">between key industry players (RSPs, </w:t>
      </w:r>
      <w:r w:rsidR="00385BAD">
        <w:t>application service provider</w:t>
      </w:r>
      <w:r w:rsidRPr="00143CFF">
        <w:t>s, Telstra Wholesale</w:t>
      </w:r>
      <w:r w:rsidR="004E0E5C">
        <w:t xml:space="preserve"> </w:t>
      </w:r>
      <w:r w:rsidRPr="00143CFF">
        <w:t xml:space="preserve">and </w:t>
      </w:r>
      <w:r w:rsidR="0076262F">
        <w:t>n</w:t>
      </w:r>
      <w:r w:rsidR="00601030">
        <w:t>bn</w:t>
      </w:r>
      <w:r w:rsidRPr="00143CFF">
        <w:t>)</w:t>
      </w:r>
      <w:r>
        <w:t xml:space="preserve"> while respect</w:t>
      </w:r>
      <w:r w:rsidR="00496889">
        <w:t>ing confidentiality and privacy</w:t>
      </w:r>
      <w:r w:rsidRPr="001C4284">
        <w:t xml:space="preserve"> will facilitate the early migration of end users and </w:t>
      </w:r>
      <w:r>
        <w:t xml:space="preserve">ensure </w:t>
      </w:r>
      <w:r w:rsidRPr="001C4284">
        <w:t>service continuity</w:t>
      </w:r>
      <w:r>
        <w:t xml:space="preserve"> </w:t>
      </w:r>
      <w:r w:rsidR="00086C44">
        <w:t>i</w:t>
      </w:r>
      <w:r>
        <w:t xml:space="preserve">s prioritised. </w:t>
      </w:r>
    </w:p>
    <w:p w14:paraId="705431C3" w14:textId="11247FEA" w:rsidR="0073292D" w:rsidRDefault="00A6401A" w:rsidP="009475AE">
      <w:pPr>
        <w:spacing w:line="276" w:lineRule="auto"/>
      </w:pPr>
      <w:r>
        <w:t>Service providers require</w:t>
      </w:r>
      <w:r w:rsidR="0073292D">
        <w:t xml:space="preserve"> certainty of the footprint that is subject to disconnection so that they can </w:t>
      </w:r>
      <w:r w:rsidR="00A707FC">
        <w:t>in turn provide</w:t>
      </w:r>
      <w:r w:rsidR="0073292D">
        <w:t xml:space="preserve"> clear and accurate information</w:t>
      </w:r>
      <w:r w:rsidR="004E0E5C">
        <w:t xml:space="preserve"> to their</w:t>
      </w:r>
      <w:r w:rsidR="0073292D">
        <w:t xml:space="preserve"> end users </w:t>
      </w:r>
      <w:r w:rsidR="004E0E5C">
        <w:t xml:space="preserve">about </w:t>
      </w:r>
      <w:r w:rsidR="0073292D">
        <w:t>the timeframe and the actions they need to take to migrate.</w:t>
      </w:r>
    </w:p>
    <w:p w14:paraId="4230CC89" w14:textId="20B207DC" w:rsidR="001C16FB" w:rsidRDefault="00317F36" w:rsidP="009475AE">
      <w:pPr>
        <w:pStyle w:val="BodyText"/>
        <w:spacing w:line="276" w:lineRule="auto"/>
      </w:pPr>
      <w:r>
        <w:t>T</w:t>
      </w:r>
      <w:r w:rsidR="001C16FB" w:rsidRPr="00AE5A44">
        <w:t>he flow of</w:t>
      </w:r>
      <w:r w:rsidR="001C16FB">
        <w:t xml:space="preserve"> </w:t>
      </w:r>
      <w:r w:rsidR="001C16FB" w:rsidRPr="00AE5A44">
        <w:t>information</w:t>
      </w:r>
      <w:r w:rsidR="001C16FB">
        <w:t xml:space="preserve"> </w:t>
      </w:r>
      <w:r w:rsidR="001C16FB" w:rsidRPr="00AE5A44">
        <w:t xml:space="preserve">between all parties </w:t>
      </w:r>
      <w:r>
        <w:t xml:space="preserve">should </w:t>
      </w:r>
      <w:r w:rsidR="0023229B">
        <w:t>be</w:t>
      </w:r>
      <w:r>
        <w:t>,</w:t>
      </w:r>
      <w:r w:rsidR="001C16FB">
        <w:t xml:space="preserve"> where possible</w:t>
      </w:r>
      <w:r>
        <w:t>,</w:t>
      </w:r>
      <w:r w:rsidR="001C16FB" w:rsidRPr="00AE5A44">
        <w:t xml:space="preserve"> all inclusive and allow for transparency of migration issues that are identified.</w:t>
      </w:r>
    </w:p>
    <w:p w14:paraId="5A9BA912" w14:textId="21E48E4C" w:rsidR="00666A7F" w:rsidRDefault="00666A7F" w:rsidP="009475AE">
      <w:pPr>
        <w:pStyle w:val="BodyText"/>
        <w:spacing w:before="0" w:after="0" w:line="276" w:lineRule="auto"/>
      </w:pPr>
      <w:r>
        <w:t>Key data flows include:</w:t>
      </w:r>
    </w:p>
    <w:p w14:paraId="5708DC4F" w14:textId="4A2B1016" w:rsidR="00DB6EB7" w:rsidRPr="00461CBD" w:rsidRDefault="00DB6EB7" w:rsidP="009475AE">
      <w:pPr>
        <w:pStyle w:val="BodyText"/>
        <w:numPr>
          <w:ilvl w:val="0"/>
          <w:numId w:val="29"/>
        </w:numPr>
        <w:spacing w:before="0" w:after="0" w:line="276" w:lineRule="auto"/>
      </w:pPr>
      <w:r>
        <w:rPr>
          <w:lang w:val="en-US"/>
        </w:rPr>
        <w:t>t</w:t>
      </w:r>
      <w:r w:rsidRPr="00AB27D3">
        <w:rPr>
          <w:lang w:val="en-US"/>
        </w:rPr>
        <w:t>he</w:t>
      </w:r>
      <w:r>
        <w:t xml:space="preserve"> Historical Footprint List</w:t>
      </w:r>
      <w:r w:rsidR="00A707FC">
        <w:t xml:space="preserve"> (HFL)</w:t>
      </w:r>
      <w:r>
        <w:t xml:space="preserve"> which details</w:t>
      </w:r>
      <w:r w:rsidRPr="00E958A8">
        <w:t xml:space="preserve"> </w:t>
      </w:r>
      <w:r>
        <w:t xml:space="preserve">premises that can be served by </w:t>
      </w:r>
      <w:r w:rsidR="0076262F">
        <w:t>n</w:t>
      </w:r>
      <w:r w:rsidR="00601030">
        <w:t>bn</w:t>
      </w:r>
      <w:r>
        <w:t>’s access technologies</w:t>
      </w:r>
      <w:r w:rsidRPr="00E958A8">
        <w:t xml:space="preserve">, including the address information </w:t>
      </w:r>
      <w:r>
        <w:t>and the service class for each p</w:t>
      </w:r>
      <w:r w:rsidRPr="00E958A8">
        <w:t xml:space="preserve">remises </w:t>
      </w:r>
      <w:r w:rsidRPr="00461CBD">
        <w:t>included in that list</w:t>
      </w:r>
    </w:p>
    <w:p w14:paraId="09F8AFCC" w14:textId="4D6C4445" w:rsidR="00DB6EB7" w:rsidRPr="00461CBD" w:rsidRDefault="00DB6EB7" w:rsidP="00A707FC">
      <w:pPr>
        <w:pStyle w:val="BodyText"/>
        <w:numPr>
          <w:ilvl w:val="0"/>
          <w:numId w:val="29"/>
        </w:numPr>
        <w:spacing w:before="0" w:after="0" w:line="276" w:lineRule="auto"/>
      </w:pPr>
      <w:r w:rsidRPr="00461CBD">
        <w:rPr>
          <w:lang w:val="en-US"/>
        </w:rPr>
        <w:t>the</w:t>
      </w:r>
      <w:r w:rsidRPr="00461CBD">
        <w:t xml:space="preserve"> </w:t>
      </w:r>
      <w:r>
        <w:t xml:space="preserve">Fixed </w:t>
      </w:r>
      <w:r w:rsidR="00653B8E">
        <w:t>l</w:t>
      </w:r>
      <w:r>
        <w:t>ine Footprint List (FFL)</w:t>
      </w:r>
      <w:r w:rsidRPr="00461CBD">
        <w:t xml:space="preserve"> which contains any </w:t>
      </w:r>
      <w:r w:rsidR="00BF222B">
        <w:t>p</w:t>
      </w:r>
      <w:r w:rsidRPr="00461CBD">
        <w:t xml:space="preserve">remises </w:t>
      </w:r>
      <w:r w:rsidR="00B64287">
        <w:t>that</w:t>
      </w:r>
      <w:r w:rsidRPr="00635919">
        <w:t xml:space="preserve"> have been </w:t>
      </w:r>
      <w:r w:rsidR="00BF222B">
        <w:t>p</w:t>
      </w:r>
      <w:r w:rsidRPr="00461CBD">
        <w:t xml:space="preserve">assed </w:t>
      </w:r>
      <w:r w:rsidR="00A707FC" w:rsidRPr="00A707FC">
        <w:t xml:space="preserve">by nbn’s fixed line network </w:t>
      </w:r>
      <w:r w:rsidRPr="00461CBD">
        <w:t xml:space="preserve">(or </w:t>
      </w:r>
      <w:r w:rsidRPr="00635919">
        <w:t>which</w:t>
      </w:r>
      <w:r w:rsidR="00D33FFE">
        <w:t xml:space="preserve"> </w:t>
      </w:r>
      <w:r w:rsidR="0076262F">
        <w:t>n</w:t>
      </w:r>
      <w:r w:rsidR="00601030">
        <w:t>bn</w:t>
      </w:r>
      <w:r w:rsidR="0089371F">
        <w:t xml:space="preserve"> </w:t>
      </w:r>
      <w:r w:rsidRPr="00635919">
        <w:t>intends</w:t>
      </w:r>
      <w:r w:rsidRPr="00461CBD">
        <w:t xml:space="preserve"> to </w:t>
      </w:r>
      <w:r w:rsidR="00BF222B">
        <w:t>p</w:t>
      </w:r>
      <w:r w:rsidRPr="00635919">
        <w:t>ass</w:t>
      </w:r>
      <w:r w:rsidRPr="00461CBD">
        <w:t>) forms the basis of the final disconnection list</w:t>
      </w:r>
      <w:r>
        <w:t xml:space="preserve"> that is prepared by Telstra</w:t>
      </w:r>
    </w:p>
    <w:p w14:paraId="247CEA92" w14:textId="77777777" w:rsidR="00DB6EB7" w:rsidRDefault="00DB6EB7" w:rsidP="009475AE">
      <w:pPr>
        <w:pStyle w:val="BodyText"/>
        <w:numPr>
          <w:ilvl w:val="0"/>
          <w:numId w:val="29"/>
        </w:numPr>
        <w:spacing w:before="0" w:after="0" w:line="276" w:lineRule="auto"/>
      </w:pPr>
      <w:r>
        <w:t>the final</w:t>
      </w:r>
      <w:r w:rsidRPr="00080DB3">
        <w:t xml:space="preserve"> disconnection list</w:t>
      </w:r>
      <w:r>
        <w:t xml:space="preserve"> provided by Telstra to Telstra wholesale customers</w:t>
      </w:r>
    </w:p>
    <w:p w14:paraId="4442169D" w14:textId="5987A140" w:rsidR="00A6401A" w:rsidRDefault="00A6401A" w:rsidP="009475AE">
      <w:pPr>
        <w:pStyle w:val="BodyText"/>
        <w:numPr>
          <w:ilvl w:val="0"/>
          <w:numId w:val="29"/>
        </w:numPr>
        <w:spacing w:before="0" w:after="0" w:line="276" w:lineRule="auto"/>
      </w:pPr>
      <w:r w:rsidRPr="00A6401A">
        <w:t>end user service and location identification data</w:t>
      </w:r>
    </w:p>
    <w:p w14:paraId="4925E293" w14:textId="075AAF2C" w:rsidR="00080DB3" w:rsidRPr="00080DB3" w:rsidRDefault="00080DB3" w:rsidP="009475AE">
      <w:pPr>
        <w:pStyle w:val="BodyText"/>
        <w:numPr>
          <w:ilvl w:val="0"/>
          <w:numId w:val="29"/>
        </w:numPr>
        <w:spacing w:before="0" w:after="0" w:line="276" w:lineRule="auto"/>
      </w:pPr>
      <w:r>
        <w:t>o</w:t>
      </w:r>
      <w:r w:rsidRPr="00080DB3">
        <w:t xml:space="preserve">rder information flows between </w:t>
      </w:r>
      <w:r w:rsidR="00A6401A">
        <w:t xml:space="preserve">Telstra </w:t>
      </w:r>
      <w:r w:rsidR="00E51130">
        <w:t>and its customers</w:t>
      </w:r>
    </w:p>
    <w:p w14:paraId="4D71FB64" w14:textId="1BE20B3E" w:rsidR="00080DB3" w:rsidRPr="00080DB3" w:rsidRDefault="00080DB3" w:rsidP="009475AE">
      <w:pPr>
        <w:pStyle w:val="BodyText"/>
        <w:numPr>
          <w:ilvl w:val="0"/>
          <w:numId w:val="29"/>
        </w:numPr>
        <w:spacing w:before="0" w:after="0" w:line="276" w:lineRule="auto"/>
      </w:pPr>
      <w:r>
        <w:t>a</w:t>
      </w:r>
      <w:r w:rsidRPr="00080DB3">
        <w:t xml:space="preserve">ctive copper services information between Telstra Wholesale and </w:t>
      </w:r>
      <w:r w:rsidR="00A6401A">
        <w:t>Telstra Wholesale customers</w:t>
      </w:r>
    </w:p>
    <w:p w14:paraId="6668E73D" w14:textId="69DEF41E" w:rsidR="00A55A00" w:rsidRDefault="00080DB3" w:rsidP="009475AE">
      <w:pPr>
        <w:pStyle w:val="BodyText"/>
        <w:numPr>
          <w:ilvl w:val="0"/>
          <w:numId w:val="29"/>
        </w:numPr>
        <w:spacing w:before="0" w:after="0" w:line="276" w:lineRule="auto"/>
      </w:pPr>
      <w:r>
        <w:t>o</w:t>
      </w:r>
      <w:r w:rsidRPr="00080DB3">
        <w:t xml:space="preserve">rder information flows between RSPs and </w:t>
      </w:r>
      <w:r w:rsidR="0076262F">
        <w:t>n</w:t>
      </w:r>
      <w:r w:rsidR="00601030">
        <w:t>bn</w:t>
      </w:r>
      <w:r w:rsidRPr="00080DB3">
        <w:t xml:space="preserve"> (under the W</w:t>
      </w:r>
      <w:r w:rsidR="003458F2">
        <w:t xml:space="preserve">holesale </w:t>
      </w:r>
      <w:r w:rsidRPr="00080DB3">
        <w:t>B</w:t>
      </w:r>
      <w:r w:rsidR="003458F2">
        <w:t xml:space="preserve">roadband </w:t>
      </w:r>
      <w:r w:rsidRPr="00080DB3">
        <w:t>A</w:t>
      </w:r>
      <w:r w:rsidR="003458F2">
        <w:t>greement</w:t>
      </w:r>
      <w:r w:rsidRPr="00080DB3">
        <w:t>)</w:t>
      </w:r>
      <w:r>
        <w:t>.</w:t>
      </w:r>
    </w:p>
    <w:p w14:paraId="03FE9EB8" w14:textId="77777777" w:rsidR="00B5588E" w:rsidRDefault="00B5588E" w:rsidP="009475AE">
      <w:pPr>
        <w:pStyle w:val="BodyText"/>
        <w:spacing w:before="0" w:after="0" w:line="276" w:lineRule="auto"/>
        <w:rPr>
          <w:u w:val="single"/>
        </w:rPr>
      </w:pPr>
    </w:p>
    <w:p w14:paraId="1BF00E5B" w14:textId="5CCBD2D8" w:rsidR="001C16FB" w:rsidRDefault="001C16FB" w:rsidP="009475AE">
      <w:pPr>
        <w:pStyle w:val="BodyText"/>
        <w:spacing w:before="0" w:after="0" w:line="276" w:lineRule="auto"/>
      </w:pPr>
      <w:r>
        <w:rPr>
          <w:u w:val="single"/>
        </w:rPr>
        <w:t>New c</w:t>
      </w:r>
      <w:r w:rsidRPr="00A73C48">
        <w:rPr>
          <w:u w:val="single"/>
        </w:rPr>
        <w:t>ommitments to improve the flow of information include:</w:t>
      </w:r>
    </w:p>
    <w:p w14:paraId="4BD93C57" w14:textId="3ADD4226" w:rsidR="00BB0A1B" w:rsidRDefault="00BB0A1B" w:rsidP="009475AE">
      <w:pPr>
        <w:pStyle w:val="BodyText"/>
        <w:numPr>
          <w:ilvl w:val="0"/>
          <w:numId w:val="29"/>
        </w:numPr>
        <w:spacing w:before="0" w:after="0" w:line="276" w:lineRule="auto"/>
        <w:rPr>
          <w:lang w:val="en-US"/>
        </w:rPr>
      </w:pPr>
      <w:r w:rsidRPr="00BB0A1B">
        <w:rPr>
          <w:lang w:val="en-US"/>
        </w:rPr>
        <w:t xml:space="preserve">Pursuant to a new carrier </w:t>
      </w:r>
      <w:r w:rsidRPr="00C17B8A">
        <w:t>licence</w:t>
      </w:r>
      <w:r w:rsidRPr="00BB0A1B">
        <w:rPr>
          <w:lang w:val="en-US"/>
        </w:rPr>
        <w:t xml:space="preserve"> condition, Telstra will be required to provide </w:t>
      </w:r>
      <w:r w:rsidR="0076262F">
        <w:rPr>
          <w:lang w:val="en-US"/>
        </w:rPr>
        <w:t>n</w:t>
      </w:r>
      <w:r w:rsidR="00601030">
        <w:rPr>
          <w:lang w:val="en-US"/>
        </w:rPr>
        <w:t>bn</w:t>
      </w:r>
      <w:r w:rsidRPr="00BB0A1B">
        <w:rPr>
          <w:lang w:val="en-US"/>
        </w:rPr>
        <w:t xml:space="preserve"> with its location identification data for all active copper line services in </w:t>
      </w:r>
      <w:r w:rsidR="00D33FFE">
        <w:rPr>
          <w:lang w:val="en-US"/>
        </w:rPr>
        <w:t>nbn’s</w:t>
      </w:r>
      <w:r w:rsidRPr="00BB0A1B">
        <w:rPr>
          <w:lang w:val="en-US"/>
        </w:rPr>
        <w:t xml:space="preserve"> ready for service region</w:t>
      </w:r>
      <w:r w:rsidR="00D33FFE">
        <w:rPr>
          <w:lang w:val="en-US"/>
        </w:rPr>
        <w:t>s</w:t>
      </w:r>
      <w:r w:rsidRPr="00BB0A1B">
        <w:rPr>
          <w:lang w:val="en-US"/>
        </w:rPr>
        <w:t>, wh</w:t>
      </w:r>
      <w:r w:rsidR="00361F79">
        <w:rPr>
          <w:lang w:val="en-US"/>
        </w:rPr>
        <w:t>ere the wholesale customer has no</w:t>
      </w:r>
      <w:r w:rsidRPr="00BB0A1B">
        <w:rPr>
          <w:lang w:val="en-US"/>
        </w:rPr>
        <w:t>t consented to Telstra providing this information.</w:t>
      </w:r>
      <w:r w:rsidR="00DB6EB7">
        <w:rPr>
          <w:lang w:val="en-US"/>
        </w:rPr>
        <w:t xml:space="preserve"> </w:t>
      </w:r>
      <w:r w:rsidRPr="00BB0A1B">
        <w:rPr>
          <w:lang w:val="en-US"/>
        </w:rPr>
        <w:t xml:space="preserve">This information will assist </w:t>
      </w:r>
      <w:r w:rsidR="0076262F">
        <w:rPr>
          <w:lang w:val="en-US"/>
        </w:rPr>
        <w:t>n</w:t>
      </w:r>
      <w:r w:rsidR="00601030">
        <w:rPr>
          <w:lang w:val="en-US"/>
        </w:rPr>
        <w:t>bn</w:t>
      </w:r>
      <w:r w:rsidRPr="00BB0A1B">
        <w:rPr>
          <w:lang w:val="en-US"/>
        </w:rPr>
        <w:t xml:space="preserve"> with </w:t>
      </w:r>
      <w:r w:rsidR="004E0E5C" w:rsidRPr="00EA3B8C">
        <w:rPr>
          <w:lang w:val="en-US"/>
        </w:rPr>
        <w:t>managing the Medical Alarm and Fire Alarm and Lift Phone Registers, and</w:t>
      </w:r>
      <w:r w:rsidR="004E0E5C">
        <w:rPr>
          <w:lang w:val="en-US"/>
        </w:rPr>
        <w:t xml:space="preserve"> </w:t>
      </w:r>
      <w:r w:rsidRPr="00BB0A1B">
        <w:rPr>
          <w:lang w:val="en-US"/>
        </w:rPr>
        <w:t xml:space="preserve">advising end users to migrate </w:t>
      </w:r>
      <w:r w:rsidR="00E51130">
        <w:rPr>
          <w:lang w:val="en-US"/>
        </w:rPr>
        <w:t>prior</w:t>
      </w:r>
      <w:r w:rsidR="00DB6EB7">
        <w:rPr>
          <w:lang w:val="en-US"/>
        </w:rPr>
        <w:t xml:space="preserve"> to the Disconnection Date. </w:t>
      </w:r>
      <w:r w:rsidRPr="00BB0A1B">
        <w:rPr>
          <w:lang w:val="en-US"/>
        </w:rPr>
        <w:t>Telstra already provides this information in respect of its own retail customers.</w:t>
      </w:r>
    </w:p>
    <w:p w14:paraId="7B9067E2" w14:textId="53362548" w:rsidR="00B5588E" w:rsidRDefault="001C16FB" w:rsidP="00E51130">
      <w:pPr>
        <w:pStyle w:val="BodyText"/>
        <w:numPr>
          <w:ilvl w:val="0"/>
          <w:numId w:val="29"/>
        </w:numPr>
        <w:spacing w:line="276" w:lineRule="auto"/>
      </w:pPr>
      <w:r>
        <w:t>Provision</w:t>
      </w:r>
      <w:r w:rsidRPr="00570650">
        <w:t xml:space="preserve"> of information to </w:t>
      </w:r>
      <w:r w:rsidR="00A6401A" w:rsidRPr="00A6401A">
        <w:t>Telstra Wholesale customers</w:t>
      </w:r>
      <w:r>
        <w:t xml:space="preserve"> from Telstra </w:t>
      </w:r>
      <w:r w:rsidRPr="00523700">
        <w:t>on a best efforts basis</w:t>
      </w:r>
      <w:r w:rsidR="0000333F" w:rsidRPr="0000333F">
        <w:t xml:space="preserve"> at the ready for service date plus 10 business days </w:t>
      </w:r>
      <w:r w:rsidRPr="00523700">
        <w:t xml:space="preserve">regarding </w:t>
      </w:r>
      <w:r w:rsidR="004E0E5C">
        <w:t>which</w:t>
      </w:r>
      <w:r w:rsidRPr="00523700">
        <w:t xml:space="preserve"> premises </w:t>
      </w:r>
      <w:r w:rsidR="0000333F" w:rsidRPr="0000333F">
        <w:t xml:space="preserve">are in </w:t>
      </w:r>
      <w:r w:rsidR="00D33FFE">
        <w:t xml:space="preserve">nbn’s </w:t>
      </w:r>
      <w:r w:rsidR="0000333F" w:rsidRPr="0000333F">
        <w:t xml:space="preserve"> fixed line footprint and </w:t>
      </w:r>
      <w:r w:rsidR="0000333F">
        <w:t xml:space="preserve">therefore </w:t>
      </w:r>
      <w:r w:rsidR="0000333F" w:rsidRPr="0000333F">
        <w:t>subject to disconnection</w:t>
      </w:r>
      <w:r w:rsidRPr="00523700">
        <w:t xml:space="preserve">. This information will be updated monthly </w:t>
      </w:r>
      <w:r w:rsidR="00E51130" w:rsidRPr="00E51130">
        <w:t xml:space="preserve">(on a best efforts basis) </w:t>
      </w:r>
      <w:r w:rsidRPr="00523700">
        <w:t xml:space="preserve">from six months before </w:t>
      </w:r>
      <w:r w:rsidR="00EE7024">
        <w:t xml:space="preserve">the </w:t>
      </w:r>
      <w:r w:rsidR="007B544C">
        <w:t>D</w:t>
      </w:r>
      <w:r w:rsidRPr="00523700">
        <w:t>i</w:t>
      </w:r>
      <w:r w:rsidR="007B544C">
        <w:t>sconnection D</w:t>
      </w:r>
      <w:r w:rsidR="00666A7F">
        <w:t xml:space="preserve">ate so that </w:t>
      </w:r>
      <w:r w:rsidR="00A6401A" w:rsidRPr="00A6401A">
        <w:t>service providers</w:t>
      </w:r>
      <w:r w:rsidR="00666A7F">
        <w:t xml:space="preserve"> have clarity on which of their existing customers are su</w:t>
      </w:r>
      <w:r w:rsidR="00EE7024">
        <w:t xml:space="preserve">bject to disconnection and </w:t>
      </w:r>
      <w:r w:rsidR="00666A7F">
        <w:t>can then assist these customers to migrate and understand the implications of disconnection.</w:t>
      </w:r>
    </w:p>
    <w:p w14:paraId="73C5231D" w14:textId="0859E162" w:rsidR="006259A1" w:rsidRPr="001C16FB" w:rsidRDefault="004A5736" w:rsidP="004E0E5C">
      <w:pPr>
        <w:pStyle w:val="BodyText"/>
        <w:numPr>
          <w:ilvl w:val="0"/>
          <w:numId w:val="29"/>
        </w:numPr>
        <w:spacing w:line="276" w:lineRule="auto"/>
      </w:pPr>
      <w:r>
        <w:t>Provision of</w:t>
      </w:r>
      <w:r w:rsidR="00080DB3">
        <w:t xml:space="preserve"> service and</w:t>
      </w:r>
      <w:r>
        <w:t xml:space="preserve"> </w:t>
      </w:r>
      <w:r w:rsidR="00EE7024">
        <w:t>location i</w:t>
      </w:r>
      <w:r w:rsidR="002E4575">
        <w:t xml:space="preserve">dentification and other end user data </w:t>
      </w:r>
      <w:r w:rsidR="00666A7F">
        <w:t>from application service providers</w:t>
      </w:r>
      <w:r w:rsidRPr="004A5736">
        <w:t xml:space="preserve"> to</w:t>
      </w:r>
      <w:r w:rsidR="00080DB3">
        <w:t xml:space="preserve"> </w:t>
      </w:r>
      <w:r w:rsidR="0076262F">
        <w:t>n</w:t>
      </w:r>
      <w:r w:rsidR="00601030">
        <w:t>bn</w:t>
      </w:r>
      <w:r w:rsidR="00666A7F">
        <w:t xml:space="preserve"> </w:t>
      </w:r>
      <w:r w:rsidR="006259A1">
        <w:t xml:space="preserve">to </w:t>
      </w:r>
      <w:r w:rsidR="006259A1" w:rsidRPr="004A5736">
        <w:t>support</w:t>
      </w:r>
      <w:r w:rsidRPr="004A5736">
        <w:t xml:space="preserve"> </w:t>
      </w:r>
      <w:r w:rsidR="00666A7F">
        <w:t xml:space="preserve">the </w:t>
      </w:r>
      <w:r w:rsidRPr="004A5736">
        <w:t xml:space="preserve">migration </w:t>
      </w:r>
      <w:r w:rsidR="00666A7F">
        <w:t xml:space="preserve">of their customers. </w:t>
      </w:r>
      <w:r w:rsidR="00215AF7">
        <w:br w:type="page"/>
      </w:r>
    </w:p>
    <w:p w14:paraId="5CDD31E8" w14:textId="51BADB11" w:rsidR="001235DF" w:rsidRDefault="001235DF" w:rsidP="009475AE">
      <w:pPr>
        <w:pStyle w:val="Heading1"/>
        <w:numPr>
          <w:ilvl w:val="0"/>
          <w:numId w:val="39"/>
        </w:numPr>
        <w:spacing w:line="276" w:lineRule="auto"/>
      </w:pPr>
      <w:bookmarkStart w:id="32" w:name="_Toc406491063"/>
      <w:bookmarkStart w:id="33" w:name="_Toc406497272"/>
      <w:bookmarkStart w:id="34" w:name="_Toc422237718"/>
      <w:r>
        <w:t>Pillar 1 – Serviceability</w:t>
      </w:r>
      <w:bookmarkEnd w:id="32"/>
      <w:bookmarkEnd w:id="33"/>
      <w:bookmarkEnd w:id="34"/>
    </w:p>
    <w:p w14:paraId="63C76346" w14:textId="7EC5D1EC" w:rsidR="001235DF" w:rsidRPr="00836674" w:rsidRDefault="001235DF" w:rsidP="009475AE">
      <w:pPr>
        <w:spacing w:line="276" w:lineRule="auto"/>
        <w:rPr>
          <w:b/>
        </w:rPr>
      </w:pPr>
      <w:r w:rsidRPr="00836674">
        <w:rPr>
          <w:b/>
        </w:rPr>
        <w:t>The first pillar in the migrat</w:t>
      </w:r>
      <w:r w:rsidR="007328A6">
        <w:rPr>
          <w:b/>
        </w:rPr>
        <w:t xml:space="preserve">ion process is that there is a national broadband network </w:t>
      </w:r>
      <w:r w:rsidR="00BC0CA4">
        <w:rPr>
          <w:b/>
        </w:rPr>
        <w:t xml:space="preserve">service </w:t>
      </w:r>
      <w:r w:rsidRPr="00836674">
        <w:rPr>
          <w:b/>
        </w:rPr>
        <w:t>to migrate to</w:t>
      </w:r>
      <w:r w:rsidR="00E805D5">
        <w:rPr>
          <w:b/>
        </w:rPr>
        <w:t>.</w:t>
      </w:r>
      <w:r w:rsidRPr="00836674">
        <w:rPr>
          <w:b/>
        </w:rPr>
        <w:t xml:space="preserve"> </w:t>
      </w:r>
      <w:r w:rsidR="00E805D5">
        <w:rPr>
          <w:b/>
        </w:rPr>
        <w:t>T</w:t>
      </w:r>
      <w:r w:rsidRPr="00836674">
        <w:rPr>
          <w:b/>
        </w:rPr>
        <w:t xml:space="preserve">hat is, </w:t>
      </w:r>
      <w:r w:rsidR="004E0E5C">
        <w:rPr>
          <w:b/>
        </w:rPr>
        <w:t xml:space="preserve">the national broadband </w:t>
      </w:r>
      <w:r w:rsidR="00283763">
        <w:rPr>
          <w:b/>
        </w:rPr>
        <w:t>network</w:t>
      </w:r>
      <w:r w:rsidRPr="00836674">
        <w:rPr>
          <w:b/>
        </w:rPr>
        <w:t xml:space="preserve"> is available</w:t>
      </w:r>
      <w:r w:rsidR="00BC0CA4">
        <w:rPr>
          <w:b/>
        </w:rPr>
        <w:t xml:space="preserve"> at a specific premises</w:t>
      </w:r>
      <w:r w:rsidRPr="00836674">
        <w:rPr>
          <w:b/>
        </w:rPr>
        <w:t xml:space="preserve"> </w:t>
      </w:r>
      <w:r w:rsidR="00BB0A1B" w:rsidRPr="00BB0A1B">
        <w:rPr>
          <w:b/>
        </w:rPr>
        <w:t xml:space="preserve">post the </w:t>
      </w:r>
      <w:r w:rsidR="00711B3C">
        <w:rPr>
          <w:b/>
        </w:rPr>
        <w:t>r</w:t>
      </w:r>
      <w:r w:rsidR="00BB0A1B" w:rsidRPr="00BB0A1B">
        <w:rPr>
          <w:b/>
        </w:rPr>
        <w:t>e</w:t>
      </w:r>
      <w:r w:rsidR="00711B3C">
        <w:rPr>
          <w:b/>
        </w:rPr>
        <w:t>ady</w:t>
      </w:r>
      <w:r w:rsidR="00BB0A1B" w:rsidRPr="00BB0A1B">
        <w:rPr>
          <w:b/>
        </w:rPr>
        <w:t xml:space="preserve"> for </w:t>
      </w:r>
      <w:r w:rsidR="00711B3C">
        <w:rPr>
          <w:b/>
        </w:rPr>
        <w:t>s</w:t>
      </w:r>
      <w:r w:rsidR="00BB0A1B" w:rsidRPr="00BB0A1B">
        <w:rPr>
          <w:b/>
        </w:rPr>
        <w:t>ervice date</w:t>
      </w:r>
      <w:r w:rsidR="00BB0A1B">
        <w:rPr>
          <w:b/>
        </w:rPr>
        <w:t xml:space="preserve">, </w:t>
      </w:r>
      <w:r w:rsidRPr="00836674">
        <w:rPr>
          <w:b/>
        </w:rPr>
        <w:t xml:space="preserve">and </w:t>
      </w:r>
      <w:r>
        <w:rPr>
          <w:b/>
        </w:rPr>
        <w:t>an end user can place an</w:t>
      </w:r>
      <w:r w:rsidRPr="00836674">
        <w:rPr>
          <w:b/>
        </w:rPr>
        <w:t xml:space="preserve"> order </w:t>
      </w:r>
      <w:r w:rsidR="00BC0CA4">
        <w:rPr>
          <w:b/>
        </w:rPr>
        <w:t xml:space="preserve">with an RSP </w:t>
      </w:r>
      <w:r w:rsidRPr="00836674">
        <w:rPr>
          <w:b/>
        </w:rPr>
        <w:t xml:space="preserve">for </w:t>
      </w:r>
      <w:r w:rsidR="007328A6">
        <w:rPr>
          <w:b/>
        </w:rPr>
        <w:t>a</w:t>
      </w:r>
      <w:r w:rsidR="000D2C29">
        <w:rPr>
          <w:b/>
        </w:rPr>
        <w:t xml:space="preserve"> </w:t>
      </w:r>
      <w:r w:rsidR="007328A6">
        <w:rPr>
          <w:b/>
        </w:rPr>
        <w:t>national broadband network</w:t>
      </w:r>
      <w:r w:rsidR="00A70D30">
        <w:rPr>
          <w:b/>
        </w:rPr>
        <w:t xml:space="preserve"> </w:t>
      </w:r>
      <w:r w:rsidRPr="00836674">
        <w:rPr>
          <w:b/>
        </w:rPr>
        <w:t>service</w:t>
      </w:r>
      <w:r w:rsidR="0000333F" w:rsidRPr="0000333F">
        <w:t xml:space="preserve"> </w:t>
      </w:r>
      <w:r w:rsidR="0000333F" w:rsidRPr="0000333F">
        <w:rPr>
          <w:b/>
        </w:rPr>
        <w:t>and have the order completed</w:t>
      </w:r>
      <w:r w:rsidRPr="00836674">
        <w:rPr>
          <w:b/>
        </w:rPr>
        <w:t xml:space="preserve">. This is referred to as </w:t>
      </w:r>
      <w:r w:rsidRPr="009D4181">
        <w:rPr>
          <w:b/>
        </w:rPr>
        <w:t>serviceability</w:t>
      </w:r>
      <w:r w:rsidR="00A876F6">
        <w:t xml:space="preserve"> </w:t>
      </w:r>
      <w:r w:rsidR="00A876F6" w:rsidRPr="00A876F6">
        <w:rPr>
          <w:b/>
        </w:rPr>
        <w:t>and</w:t>
      </w:r>
      <w:r w:rsidR="009F6FF8">
        <w:rPr>
          <w:b/>
        </w:rPr>
        <w:t xml:space="preserve"> </w:t>
      </w:r>
      <w:r w:rsidR="00A876F6" w:rsidRPr="00A876F6">
        <w:rPr>
          <w:b/>
        </w:rPr>
        <w:t xml:space="preserve">is a critical component </w:t>
      </w:r>
      <w:r w:rsidR="009F6FF8">
        <w:rPr>
          <w:b/>
        </w:rPr>
        <w:t>in</w:t>
      </w:r>
      <w:r w:rsidR="00A876F6" w:rsidRPr="00A876F6">
        <w:rPr>
          <w:b/>
        </w:rPr>
        <w:t xml:space="preserve"> driving early migration of end users.</w:t>
      </w:r>
    </w:p>
    <w:p w14:paraId="7F8D5989" w14:textId="48C6813B" w:rsidR="008A6C4C" w:rsidRDefault="00283763" w:rsidP="009475AE">
      <w:pPr>
        <w:spacing w:line="276" w:lineRule="auto"/>
      </w:pPr>
      <w:r>
        <w:t>n</w:t>
      </w:r>
      <w:r w:rsidR="00601030">
        <w:t>bn</w:t>
      </w:r>
      <w:r>
        <w:t>’s</w:t>
      </w:r>
      <w:r w:rsidR="0071248F" w:rsidRPr="00E805D5">
        <w:t xml:space="preserve"> service class categories indicate whether or not </w:t>
      </w:r>
      <w:r w:rsidR="00BC0CA4">
        <w:t>a premises is serviceable</w:t>
      </w:r>
      <w:r w:rsidR="0071248F" w:rsidRPr="00E805D5">
        <w:t xml:space="preserve"> on </w:t>
      </w:r>
      <w:r>
        <w:t xml:space="preserve">nbn’s </w:t>
      </w:r>
      <w:r w:rsidR="0071248F" w:rsidRPr="00E805D5">
        <w:t>fibre</w:t>
      </w:r>
      <w:r w:rsidR="004A5B87">
        <w:t xml:space="preserve"> to the premises</w:t>
      </w:r>
      <w:r w:rsidR="0071248F" w:rsidRPr="00E805D5">
        <w:t xml:space="preserve"> network. RSPs cannot order a</w:t>
      </w:r>
      <w:r w:rsidR="00D9600B">
        <w:t xml:space="preserve"> wholesale</w:t>
      </w:r>
      <w:r w:rsidR="0071248F" w:rsidRPr="00E805D5">
        <w:t xml:space="preserve"> service</w:t>
      </w:r>
      <w:r w:rsidR="00C4729F" w:rsidRPr="00C4729F">
        <w:t xml:space="preserve"> </w:t>
      </w:r>
      <w:r>
        <w:t xml:space="preserve">from nbn </w:t>
      </w:r>
      <w:r w:rsidR="00C4729F">
        <w:t>where premises are classified a</w:t>
      </w:r>
      <w:r w:rsidR="00C4729F" w:rsidRPr="00E805D5">
        <w:t xml:space="preserve">t </w:t>
      </w:r>
      <w:r w:rsidR="00CF7242" w:rsidRPr="00CF7242">
        <w:t xml:space="preserve">service class </w:t>
      </w:r>
      <w:r w:rsidR="004F7F81" w:rsidRPr="00CF7242">
        <w:t>0</w:t>
      </w:r>
      <w:r w:rsidR="004F7F81">
        <w:t xml:space="preserve">. </w:t>
      </w:r>
    </w:p>
    <w:p w14:paraId="72F43CB1" w14:textId="66548723" w:rsidR="0071248F" w:rsidRDefault="00CF7242" w:rsidP="009475AE">
      <w:pPr>
        <w:spacing w:line="276" w:lineRule="auto"/>
      </w:pPr>
      <w:r w:rsidRPr="00913422">
        <w:t xml:space="preserve">At service class 1, service class 2 or service class 3 </w:t>
      </w:r>
      <w:r w:rsidR="00C4729F" w:rsidRPr="00913422">
        <w:t xml:space="preserve">an RSP can order </w:t>
      </w:r>
      <w:r w:rsidR="00283763">
        <w:t xml:space="preserve">nbn’s </w:t>
      </w:r>
      <w:r w:rsidR="00C4729F" w:rsidRPr="00913422">
        <w:t>wholesale service</w:t>
      </w:r>
      <w:r w:rsidR="00283763">
        <w:t>s</w:t>
      </w:r>
      <w:r w:rsidR="00C4729F" w:rsidRPr="00913422">
        <w:t xml:space="preserve">, with end users generally provided a prompt connection at either </w:t>
      </w:r>
      <w:r w:rsidR="00584D13" w:rsidRPr="00913422">
        <w:t xml:space="preserve">service class 2 or service class </w:t>
      </w:r>
      <w:r w:rsidR="00C4729F" w:rsidRPr="00913422">
        <w:t>3</w:t>
      </w:r>
      <w:r w:rsidR="00D9600B" w:rsidRPr="00913422">
        <w:t>.</w:t>
      </w:r>
      <w:r w:rsidR="0071248F" w:rsidRPr="00913422">
        <w:t xml:space="preserve"> </w:t>
      </w:r>
      <w:r w:rsidR="00D9600B" w:rsidRPr="00913422">
        <w:t xml:space="preserve">For those classified </w:t>
      </w:r>
      <w:r w:rsidR="00584D13" w:rsidRPr="00913422">
        <w:t>service class 1</w:t>
      </w:r>
      <w:r w:rsidR="00D9600B" w:rsidRPr="00913422">
        <w:t>, an RSP order</w:t>
      </w:r>
      <w:r w:rsidR="0071248F" w:rsidRPr="00913422">
        <w:t xml:space="preserve"> can be placed</w:t>
      </w:r>
      <w:r w:rsidR="00C4729F" w:rsidRPr="00913422">
        <w:t xml:space="preserve"> but lead times in completing a </w:t>
      </w:r>
      <w:r w:rsidR="000D2C29" w:rsidRPr="00913422">
        <w:t>connection will</w:t>
      </w:r>
      <w:r w:rsidR="00C4729F" w:rsidRPr="00913422">
        <w:t xml:space="preserve"> </w:t>
      </w:r>
      <w:r w:rsidR="00BF222B">
        <w:t xml:space="preserve">typically </w:t>
      </w:r>
      <w:r w:rsidR="00C4729F" w:rsidRPr="00913422">
        <w:t xml:space="preserve">be longer </w:t>
      </w:r>
      <w:r w:rsidR="0034777F" w:rsidRPr="00913422">
        <w:t xml:space="preserve">as additional work is </w:t>
      </w:r>
      <w:r w:rsidR="0071248F" w:rsidRPr="00913422">
        <w:t xml:space="preserve">required to get the connection to the </w:t>
      </w:r>
      <w:r w:rsidR="00C4729F" w:rsidRPr="00913422">
        <w:t>premises</w:t>
      </w:r>
      <w:r w:rsidR="0071248F" w:rsidRPr="00913422">
        <w:t>.</w:t>
      </w:r>
      <w:r w:rsidR="0071248F" w:rsidRPr="0071248F">
        <w:t xml:space="preserve"> </w:t>
      </w:r>
    </w:p>
    <w:p w14:paraId="71B8BCB7" w14:textId="34D824D6" w:rsidR="0071248F" w:rsidRDefault="00E51130" w:rsidP="009475AE">
      <w:pPr>
        <w:spacing w:line="276" w:lineRule="auto"/>
      </w:pPr>
      <w:r>
        <w:t>n</w:t>
      </w:r>
      <w:r w:rsidR="00601030">
        <w:t>bn</w:t>
      </w:r>
      <w:r>
        <w:t xml:space="preserve"> can</w:t>
      </w:r>
      <w:r w:rsidR="0071248F">
        <w:t xml:space="preserve"> declare</w:t>
      </w:r>
      <w:r w:rsidR="00EE7024">
        <w:t xml:space="preserve"> an area </w:t>
      </w:r>
      <w:r w:rsidR="0071248F" w:rsidRPr="009E67B9">
        <w:t>ready for service</w:t>
      </w:r>
      <w:r w:rsidR="0071248F">
        <w:t xml:space="preserve"> </w:t>
      </w:r>
      <w:r w:rsidR="0071248F" w:rsidRPr="009E67B9">
        <w:t xml:space="preserve">when </w:t>
      </w:r>
      <w:r w:rsidR="00080DB3">
        <w:t>at least</w:t>
      </w:r>
      <w:r w:rsidR="0071248F">
        <w:t xml:space="preserve"> 90 per cent of premises </w:t>
      </w:r>
      <w:r>
        <w:t>are</w:t>
      </w:r>
      <w:r w:rsidR="0071248F" w:rsidRPr="009E67B9">
        <w:t xml:space="preserve"> passed by its fibre network. </w:t>
      </w:r>
      <w:r w:rsidR="0071248F">
        <w:t>However</w:t>
      </w:r>
      <w:r w:rsidR="00215AF7">
        <w:t>,</w:t>
      </w:r>
      <w:r w:rsidR="0071248F">
        <w:t xml:space="preserve"> </w:t>
      </w:r>
      <w:r>
        <w:t xml:space="preserve">to date, </w:t>
      </w:r>
      <w:r w:rsidR="00C4729F">
        <w:t>a significant proportion</w:t>
      </w:r>
      <w:r w:rsidR="0071248F" w:rsidRPr="009E67B9">
        <w:t xml:space="preserve"> </w:t>
      </w:r>
      <w:r w:rsidR="00215AF7">
        <w:t xml:space="preserve">of </w:t>
      </w:r>
      <w:r w:rsidR="0071248F" w:rsidRPr="009E67B9">
        <w:t>the</w:t>
      </w:r>
      <w:r w:rsidR="00C4729F">
        <w:t>se</w:t>
      </w:r>
      <w:r w:rsidR="0071248F" w:rsidRPr="009E67B9">
        <w:t xml:space="preserve"> premises </w:t>
      </w:r>
      <w:r>
        <w:t>have been</w:t>
      </w:r>
      <w:r w:rsidR="008A6C4C">
        <w:t xml:space="preserve"> classified</w:t>
      </w:r>
      <w:r w:rsidR="0034777F">
        <w:t xml:space="preserve"> </w:t>
      </w:r>
      <w:r w:rsidR="00584D13">
        <w:t>service class</w:t>
      </w:r>
      <w:r w:rsidR="0071248F">
        <w:t xml:space="preserve"> 0 and </w:t>
      </w:r>
      <w:r w:rsidR="003465CA">
        <w:t xml:space="preserve">therefore </w:t>
      </w:r>
      <w:r w:rsidR="00283763">
        <w:t xml:space="preserve">RSPs </w:t>
      </w:r>
      <w:r w:rsidR="0071248F" w:rsidRPr="009E67B9">
        <w:t xml:space="preserve">could not order </w:t>
      </w:r>
      <w:r w:rsidR="00283763">
        <w:t xml:space="preserve">nbn’s </w:t>
      </w:r>
      <w:r w:rsidR="0071248F" w:rsidRPr="009E67B9">
        <w:t>service</w:t>
      </w:r>
      <w:r w:rsidR="00283763">
        <w:t>s</w:t>
      </w:r>
      <w:r w:rsidR="00D80623">
        <w:t>, which le</w:t>
      </w:r>
      <w:r w:rsidR="008A6C4C">
        <w:t>d</w:t>
      </w:r>
      <w:r w:rsidR="0071248F" w:rsidRPr="009E67B9">
        <w:t xml:space="preserve"> to </w:t>
      </w:r>
      <w:r w:rsidR="003465CA">
        <w:t>a number of</w:t>
      </w:r>
      <w:r w:rsidR="0071248F" w:rsidRPr="009E67B9">
        <w:t xml:space="preserve"> premises</w:t>
      </w:r>
      <w:r w:rsidR="003465CA">
        <w:t xml:space="preserve"> </w:t>
      </w:r>
      <w:r w:rsidR="008A6C4C">
        <w:t xml:space="preserve">being </w:t>
      </w:r>
      <w:r w:rsidR="00CF7242">
        <w:t>unable to</w:t>
      </w:r>
      <w:r w:rsidR="0071248F" w:rsidRPr="009E67B9">
        <w:t xml:space="preserve"> </w:t>
      </w:r>
      <w:r w:rsidR="003465CA">
        <w:t xml:space="preserve">migrate off the copper network </w:t>
      </w:r>
      <w:r w:rsidR="0071248F" w:rsidRPr="009E67B9">
        <w:t>late in the migration window.</w:t>
      </w:r>
      <w:r w:rsidR="0071248F" w:rsidRPr="00040E37">
        <w:t xml:space="preserve"> </w:t>
      </w:r>
    </w:p>
    <w:p w14:paraId="0104174A" w14:textId="14283E56" w:rsidR="00BB1457" w:rsidRDefault="003465CA" w:rsidP="009475AE">
      <w:pPr>
        <w:spacing w:line="276" w:lineRule="auto"/>
      </w:pPr>
      <w:r>
        <w:t>A</w:t>
      </w:r>
      <w:r w:rsidR="0071248F">
        <w:t xml:space="preserve">nother serviceability </w:t>
      </w:r>
      <w:r>
        <w:t xml:space="preserve">related </w:t>
      </w:r>
      <w:r w:rsidR="0071248F">
        <w:t xml:space="preserve">issue </w:t>
      </w:r>
      <w:r>
        <w:t>identified</w:t>
      </w:r>
      <w:r w:rsidR="00BB1457" w:rsidRPr="00C73956">
        <w:t xml:space="preserve"> in the rollout to date, is </w:t>
      </w:r>
      <w:r>
        <w:t>the incorrect classification</w:t>
      </w:r>
      <w:r w:rsidR="00CF7242">
        <w:t xml:space="preserve"> by </w:t>
      </w:r>
      <w:r w:rsidR="00913422">
        <w:br/>
      </w:r>
      <w:r w:rsidR="0076262F">
        <w:t>n</w:t>
      </w:r>
      <w:r w:rsidR="00601030">
        <w:t>bn</w:t>
      </w:r>
      <w:r w:rsidR="00CF7242">
        <w:t xml:space="preserve"> </w:t>
      </w:r>
      <w:r w:rsidR="0034777F">
        <w:t xml:space="preserve">of </w:t>
      </w:r>
      <w:r w:rsidR="0034777F" w:rsidRPr="00C73956">
        <w:t>a</w:t>
      </w:r>
      <w:r w:rsidR="0050368C">
        <w:t xml:space="preserve"> premises </w:t>
      </w:r>
      <w:r w:rsidR="00BB1457" w:rsidRPr="00C73956">
        <w:t xml:space="preserve">as serviceable. The error is </w:t>
      </w:r>
      <w:r>
        <w:t>typically identified</w:t>
      </w:r>
      <w:r w:rsidRPr="00C73956">
        <w:t xml:space="preserve"> </w:t>
      </w:r>
      <w:r w:rsidR="00BB1457" w:rsidRPr="00C73956">
        <w:t xml:space="preserve">when an order </w:t>
      </w:r>
      <w:r>
        <w:t>has been</w:t>
      </w:r>
      <w:r w:rsidR="00BB1457" w:rsidRPr="00C73956">
        <w:t xml:space="preserve"> placed </w:t>
      </w:r>
      <w:r w:rsidR="00B479A4">
        <w:t xml:space="preserve">by an RSP </w:t>
      </w:r>
      <w:r w:rsidR="00BB1457" w:rsidRPr="00C73956">
        <w:t xml:space="preserve">and it becomes apparent at the time of the installation that more </w:t>
      </w:r>
      <w:r>
        <w:t>construction</w:t>
      </w:r>
      <w:r w:rsidR="00BB1457" w:rsidRPr="00C73956">
        <w:t xml:space="preserve"> is required for a service to be </w:t>
      </w:r>
      <w:r>
        <w:t>connected and then activated</w:t>
      </w:r>
      <w:r w:rsidR="00BB1457" w:rsidRPr="00C73956">
        <w:t xml:space="preserve">. Currently the premises is ‘rolled back’ to service class </w:t>
      </w:r>
      <w:r w:rsidR="00FF28CE">
        <w:t>0</w:t>
      </w:r>
      <w:r w:rsidR="00BB1457" w:rsidRPr="00C73956">
        <w:t xml:space="preserve"> and the end </w:t>
      </w:r>
      <w:r w:rsidR="003738D7">
        <w:t>user</w:t>
      </w:r>
      <w:r>
        <w:t>’</w:t>
      </w:r>
      <w:r w:rsidR="003738D7">
        <w:t>s</w:t>
      </w:r>
      <w:r w:rsidR="00BB1457" w:rsidRPr="00C73956">
        <w:t xml:space="preserve"> order for </w:t>
      </w:r>
      <w:r w:rsidR="00375865">
        <w:t>a service over the national broadband network</w:t>
      </w:r>
      <w:r w:rsidR="00B479A4">
        <w:t xml:space="preserve"> </w:t>
      </w:r>
      <w:r w:rsidR="00BB1457" w:rsidRPr="00C73956">
        <w:t xml:space="preserve">is cancelled. </w:t>
      </w:r>
      <w:r>
        <w:t>R</w:t>
      </w:r>
      <w:r w:rsidR="00BB1457" w:rsidRPr="00C73956">
        <w:t xml:space="preserve">emediation work needs to occur to make the premises serviceable and </w:t>
      </w:r>
      <w:r>
        <w:t xml:space="preserve">once the premises is classified as </w:t>
      </w:r>
      <w:r w:rsidR="00584D13">
        <w:t xml:space="preserve">service class </w:t>
      </w:r>
      <w:r>
        <w:t>1 or higher,</w:t>
      </w:r>
      <w:r w:rsidR="00BB1457" w:rsidRPr="00C73956">
        <w:t xml:space="preserve"> the </w:t>
      </w:r>
      <w:r w:rsidR="003738D7">
        <w:t xml:space="preserve">end user </w:t>
      </w:r>
      <w:r w:rsidR="00BB1457" w:rsidRPr="00C73956">
        <w:t xml:space="preserve">can re-order </w:t>
      </w:r>
      <w:r w:rsidR="00375865" w:rsidRPr="00375865">
        <w:t>a service over</w:t>
      </w:r>
      <w:r w:rsidR="00375865">
        <w:t xml:space="preserve"> the national broadband network</w:t>
      </w:r>
      <w:r w:rsidR="00BB1457" w:rsidRPr="00C73956">
        <w:t xml:space="preserve">. </w:t>
      </w:r>
      <w:r>
        <w:t>While remediation works are underway, e</w:t>
      </w:r>
      <w:r w:rsidR="0090206B">
        <w:t>nd user</w:t>
      </w:r>
      <w:r w:rsidR="0090206B" w:rsidRPr="00C73956">
        <w:t xml:space="preserve">s </w:t>
      </w:r>
      <w:r w:rsidR="00BB1457" w:rsidRPr="00C73956">
        <w:t xml:space="preserve">who find themselves in this situation are able to place an order for a copper service </w:t>
      </w:r>
      <w:r w:rsidR="00BB0A1B" w:rsidRPr="00BB0A1B">
        <w:t xml:space="preserve">for the remainder of the migration window </w:t>
      </w:r>
      <w:r w:rsidR="00BB1457" w:rsidRPr="00C73956">
        <w:t xml:space="preserve">as cease sale does not apply to </w:t>
      </w:r>
      <w:r w:rsidR="00BC1F88" w:rsidRPr="00BC1F88">
        <w:t xml:space="preserve">service class 0 </w:t>
      </w:r>
      <w:r w:rsidR="00BB1457" w:rsidRPr="00C73956">
        <w:t>premises.</w:t>
      </w:r>
      <w:r w:rsidR="00BB1457">
        <w:t xml:space="preserve"> </w:t>
      </w:r>
    </w:p>
    <w:p w14:paraId="1536613C" w14:textId="77777777" w:rsidR="00B85888" w:rsidRDefault="00B85888" w:rsidP="009475AE">
      <w:pPr>
        <w:spacing w:before="0" w:line="276" w:lineRule="auto"/>
      </w:pPr>
    </w:p>
    <w:p w14:paraId="5B0E40BB" w14:textId="2986F0FA" w:rsidR="00630937" w:rsidRDefault="00630937" w:rsidP="009475AE">
      <w:pPr>
        <w:spacing w:before="0" w:line="276" w:lineRule="auto"/>
      </w:pPr>
      <w:r w:rsidRPr="00630937">
        <w:t xml:space="preserve">Recognising the importance of serviceability and having sole responsibility for ensuring premises are serviceable, </w:t>
      </w:r>
      <w:r w:rsidR="0076262F">
        <w:t>n</w:t>
      </w:r>
      <w:r w:rsidR="00601030">
        <w:t>bn</w:t>
      </w:r>
      <w:r w:rsidRPr="00630937">
        <w:t xml:space="preserve"> committed in 2014 to ensure fibre </w:t>
      </w:r>
      <w:r w:rsidR="00DB6EB7">
        <w:t xml:space="preserve">to the premises </w:t>
      </w:r>
      <w:r w:rsidRPr="00630937">
        <w:t>rollout regions have a higher level of serviceability</w:t>
      </w:r>
      <w:r>
        <w:t xml:space="preserve"> b</w:t>
      </w:r>
      <w:r w:rsidRPr="00630937">
        <w:t xml:space="preserve">efore a brownfields fibre </w:t>
      </w:r>
      <w:r w:rsidR="00DB6EB7">
        <w:t xml:space="preserve">to the premises </w:t>
      </w:r>
      <w:r w:rsidRPr="00630937">
        <w:t xml:space="preserve">rollout region is declared ready for service. </w:t>
      </w:r>
      <w:r w:rsidR="0076262F">
        <w:t>n</w:t>
      </w:r>
      <w:r w:rsidR="00601030">
        <w:t>bn</w:t>
      </w:r>
      <w:r w:rsidRPr="00630937">
        <w:t xml:space="preserve"> announced that in addition to passing 90 per cent of premises, it </w:t>
      </w:r>
      <w:r w:rsidR="0000333F">
        <w:t xml:space="preserve">intends that </w:t>
      </w:r>
      <w:r w:rsidRPr="00630937">
        <w:t xml:space="preserve">a high level of serviceable premises is available at </w:t>
      </w:r>
      <w:r w:rsidR="003458F2">
        <w:t>ready for service</w:t>
      </w:r>
      <w:r w:rsidRPr="00630937">
        <w:t xml:space="preserve"> by not only minimizing the number of service class 0</w:t>
      </w:r>
      <w:r w:rsidR="00BF222B">
        <w:t xml:space="preserve"> premise</w:t>
      </w:r>
      <w:r w:rsidRPr="00630937">
        <w:t xml:space="preserve">s but also delivering a minimum 30 – 50 per cent of premises at service class 2, with this percentage increasing progressively. A higher count of service class 2 premises at the start of the migration window </w:t>
      </w:r>
      <w:r w:rsidR="00E51130">
        <w:t>will lead</w:t>
      </w:r>
      <w:r w:rsidRPr="00630937">
        <w:t xml:space="preserve"> to more predictable outcomes for end users and RSPs. The latest indi</w:t>
      </w:r>
      <w:r w:rsidR="00E51130">
        <w:t>cations are that the company has</w:t>
      </w:r>
      <w:r w:rsidRPr="00630937">
        <w:t xml:space="preserve"> been releasing footp</w:t>
      </w:r>
      <w:r>
        <w:t>rint</w:t>
      </w:r>
      <w:r w:rsidR="00E65C2B">
        <w:t>s</w:t>
      </w:r>
      <w:r>
        <w:t xml:space="preserve"> containing </w:t>
      </w:r>
      <w:r w:rsidR="00C80B5C">
        <w:t>circa 50</w:t>
      </w:r>
      <w:r>
        <w:t xml:space="preserve"> per cent</w:t>
      </w:r>
      <w:r w:rsidRPr="00630937">
        <w:t xml:space="preserve"> service class 2 premises whil</w:t>
      </w:r>
      <w:r w:rsidR="00E65C2B">
        <w:t>st minimizing service class 0</w:t>
      </w:r>
      <w:r w:rsidR="004A5B87">
        <w:t xml:space="preserve"> premise</w:t>
      </w:r>
      <w:r w:rsidR="00E65C2B">
        <w:t>s</w:t>
      </w:r>
      <w:r w:rsidR="00C80B5C" w:rsidRPr="00C80B5C">
        <w:t xml:space="preserve"> well below historical trends</w:t>
      </w:r>
      <w:r w:rsidR="00E65C2B">
        <w:t>.</w:t>
      </w:r>
    </w:p>
    <w:p w14:paraId="0E91CEAB" w14:textId="77777777" w:rsidR="00BE3241" w:rsidRDefault="00BE3241" w:rsidP="009475AE">
      <w:pPr>
        <w:spacing w:after="120" w:line="276" w:lineRule="auto"/>
        <w:ind w:left="1021" w:hanging="1021"/>
        <w:rPr>
          <w:u w:val="single"/>
        </w:rPr>
      </w:pPr>
      <w:r>
        <w:rPr>
          <w:u w:val="single"/>
        </w:rPr>
        <w:br w:type="page"/>
      </w:r>
    </w:p>
    <w:p w14:paraId="2B8EE71E" w14:textId="267C6DEC" w:rsidR="00B85888" w:rsidRPr="00B85888" w:rsidRDefault="00B85888" w:rsidP="009475AE">
      <w:pPr>
        <w:spacing w:line="276" w:lineRule="auto"/>
        <w:rPr>
          <w:u w:val="single"/>
        </w:rPr>
      </w:pPr>
      <w:r>
        <w:rPr>
          <w:u w:val="single"/>
        </w:rPr>
        <w:t>New c</w:t>
      </w:r>
      <w:r w:rsidRPr="00CF397E">
        <w:rPr>
          <w:u w:val="single"/>
        </w:rPr>
        <w:t xml:space="preserve">ommitments </w:t>
      </w:r>
      <w:r>
        <w:rPr>
          <w:u w:val="single"/>
        </w:rPr>
        <w:t>to improve serviceability</w:t>
      </w:r>
    </w:p>
    <w:p w14:paraId="74CE4344" w14:textId="651FCA40" w:rsidR="00C73956" w:rsidRDefault="00630937" w:rsidP="009475AE">
      <w:pPr>
        <w:spacing w:before="0" w:line="276" w:lineRule="auto"/>
      </w:pPr>
      <w:r>
        <w:t>In addition to changes in thresholds in the upfront release of</w:t>
      </w:r>
      <w:r w:rsidR="008A6C4C">
        <w:t xml:space="preserve"> the</w:t>
      </w:r>
      <w:r>
        <w:t xml:space="preserve"> footprint, additional changes are being implemented:</w:t>
      </w:r>
    </w:p>
    <w:p w14:paraId="65FD93DD" w14:textId="77777777" w:rsidR="00EA3B8C" w:rsidRPr="00E87B41" w:rsidRDefault="00EA3B8C" w:rsidP="00EA3B8C">
      <w:pPr>
        <w:pStyle w:val="ListParagraph"/>
        <w:numPr>
          <w:ilvl w:val="0"/>
          <w:numId w:val="28"/>
        </w:numPr>
        <w:spacing w:line="276" w:lineRule="auto"/>
      </w:pPr>
      <w:r>
        <w:t>nbn</w:t>
      </w:r>
      <w:r w:rsidRPr="00E87B41">
        <w:t xml:space="preserve"> </w:t>
      </w:r>
      <w:r>
        <w:t xml:space="preserve">intends to </w:t>
      </w:r>
      <w:r w:rsidRPr="00E87B41">
        <w:t xml:space="preserve">provide higher levels of serviceable premises at ready for service. </w:t>
      </w:r>
      <w:r>
        <w:t>S</w:t>
      </w:r>
      <w:r w:rsidRPr="00E87B41">
        <w:t xml:space="preserve">ervice class 0 premises </w:t>
      </w:r>
      <w:r>
        <w:t>will be removed from a rollout region</w:t>
      </w:r>
      <w:r w:rsidRPr="00E87B41">
        <w:t xml:space="preserve"> </w:t>
      </w:r>
      <w:r>
        <w:t xml:space="preserve">and placed in a new Service Continuity Region </w:t>
      </w:r>
      <w:r w:rsidRPr="00E87B41">
        <w:t>six months out from the Disconnection Date</w:t>
      </w:r>
      <w:r>
        <w:t xml:space="preserve">. These premises will be given </w:t>
      </w:r>
      <w:r w:rsidRPr="00E87B41">
        <w:t>an additional 6 months before the managed disconnection process commences</w:t>
      </w:r>
      <w:r>
        <w:t>,</w:t>
      </w:r>
      <w:r w:rsidRPr="00E87B41">
        <w:t xml:space="preserve"> with a plan to address serviceability of those premises</w:t>
      </w:r>
      <w:r>
        <w:t>. This approach</w:t>
      </w:r>
      <w:r w:rsidRPr="00E87B41">
        <w:t xml:space="preserve"> enables the provision of consistent and clear messages to end users</w:t>
      </w:r>
      <w:r>
        <w:t xml:space="preserve"> and </w:t>
      </w:r>
      <w:r w:rsidRPr="00E87B41">
        <w:t xml:space="preserve">promotes the acceptance of orders ahead of the Disconnection Date. </w:t>
      </w:r>
    </w:p>
    <w:p w14:paraId="10B0F72E" w14:textId="77777777" w:rsidR="00EA3B8C" w:rsidRDefault="00EA3B8C" w:rsidP="00EA3B8C">
      <w:pPr>
        <w:pStyle w:val="ListParagraph"/>
        <w:spacing w:before="0" w:line="276" w:lineRule="auto"/>
        <w:ind w:left="340"/>
      </w:pPr>
    </w:p>
    <w:p w14:paraId="6E13ABEA" w14:textId="648CE0EE" w:rsidR="00BE3241" w:rsidRPr="00375865" w:rsidRDefault="00BE3241" w:rsidP="009475AE">
      <w:pPr>
        <w:pStyle w:val="ListParagraph"/>
        <w:numPr>
          <w:ilvl w:val="0"/>
          <w:numId w:val="28"/>
        </w:numPr>
        <w:spacing w:before="0" w:line="276" w:lineRule="auto"/>
      </w:pPr>
      <w:r w:rsidRPr="00375865">
        <w:t xml:space="preserve">For Premises in </w:t>
      </w:r>
      <w:r w:rsidR="00110EE2">
        <w:t xml:space="preserve">Service Continuity Regions, </w:t>
      </w:r>
      <w:r w:rsidR="00110EE2" w:rsidRPr="00375865">
        <w:t xml:space="preserve">nbn intends </w:t>
      </w:r>
      <w:r w:rsidR="0083573C">
        <w:t xml:space="preserve">to achieve </w:t>
      </w:r>
      <w:r w:rsidR="00110EE2" w:rsidRPr="00375865">
        <w:t>at least 90% serviceability of the Service Continuity Region by the Disconnection Date of the relevant Parent rollout region (the 90% target is measured against the aggregate total number of Premises in all the Service Continuity Regions with the same Disconnection Date)</w:t>
      </w:r>
      <w:r w:rsidR="00110EE2">
        <w:t xml:space="preserve">. This target will apply to </w:t>
      </w:r>
      <w:r w:rsidR="00082033" w:rsidRPr="00375865">
        <w:t>r</w:t>
      </w:r>
      <w:r w:rsidRPr="00375865">
        <w:t xml:space="preserve">ollout </w:t>
      </w:r>
      <w:r w:rsidR="00082033" w:rsidRPr="00375865">
        <w:t>r</w:t>
      </w:r>
      <w:r w:rsidRPr="00375865">
        <w:t xml:space="preserve">egions reaching their Disconnection Date after 1 July 2015. </w:t>
      </w:r>
      <w:r w:rsidR="0076262F" w:rsidRPr="00375865">
        <w:t>n</w:t>
      </w:r>
      <w:r w:rsidR="00601030" w:rsidRPr="00375865">
        <w:t>bn</w:t>
      </w:r>
      <w:r w:rsidRPr="00375865">
        <w:t xml:space="preserve"> will also have a plan to address the serviceability of the remaining premises </w:t>
      </w:r>
      <w:r w:rsidR="00110EE2">
        <w:t xml:space="preserve">in the Service Continuity Regions </w:t>
      </w:r>
      <w:r w:rsidR="0000333F" w:rsidRPr="00375865">
        <w:t xml:space="preserve">well </w:t>
      </w:r>
      <w:r w:rsidRPr="00375865">
        <w:t xml:space="preserve">in advance of the Disconnection </w:t>
      </w:r>
      <w:r w:rsidR="0000333F" w:rsidRPr="00375865">
        <w:t>D</w:t>
      </w:r>
      <w:r w:rsidRPr="00375865">
        <w:t xml:space="preserve">ate for those </w:t>
      </w:r>
      <w:r w:rsidR="00110EE2">
        <w:t>r</w:t>
      </w:r>
      <w:r w:rsidRPr="00375865">
        <w:t>egions.</w:t>
      </w:r>
    </w:p>
    <w:p w14:paraId="2527927B" w14:textId="77777777" w:rsidR="00BE3241" w:rsidRDefault="00BE3241" w:rsidP="009475AE">
      <w:pPr>
        <w:pStyle w:val="ListParagraph"/>
        <w:spacing w:before="0" w:line="276" w:lineRule="auto"/>
        <w:ind w:left="340"/>
      </w:pPr>
    </w:p>
    <w:p w14:paraId="35D3A0FC" w14:textId="56B8180C" w:rsidR="00DB6EB7" w:rsidRDefault="00BB1457" w:rsidP="009475AE">
      <w:pPr>
        <w:pStyle w:val="ListParagraph"/>
        <w:numPr>
          <w:ilvl w:val="0"/>
          <w:numId w:val="28"/>
        </w:numPr>
        <w:spacing w:before="0" w:line="276" w:lineRule="auto"/>
      </w:pPr>
      <w:r>
        <w:t xml:space="preserve">To address the issue of premises incorrectly classified as serviceable, </w:t>
      </w:r>
      <w:r w:rsidR="0076262F">
        <w:t>n</w:t>
      </w:r>
      <w:r w:rsidR="00601030">
        <w:t>bn</w:t>
      </w:r>
      <w:r>
        <w:t xml:space="preserve"> is improving </w:t>
      </w:r>
      <w:r w:rsidRPr="00C73956">
        <w:t>operational processes to confirm serviceability records are accurate</w:t>
      </w:r>
      <w:r w:rsidR="00E65C2B">
        <w:t>,</w:t>
      </w:r>
      <w:r w:rsidRPr="00C73956">
        <w:t xml:space="preserve"> thereby reducing the occurrence of this situation</w:t>
      </w:r>
      <w:r w:rsidR="00B479A4">
        <w:t xml:space="preserve">. In addition, </w:t>
      </w:r>
      <w:r w:rsidR="0076262F">
        <w:t>n</w:t>
      </w:r>
      <w:r w:rsidR="00601030">
        <w:t>bn</w:t>
      </w:r>
      <w:r w:rsidR="00B479A4">
        <w:t xml:space="preserve"> has agreed that in the six </w:t>
      </w:r>
      <w:r w:rsidR="007B544C">
        <w:t>month period leading up to the Disconnection D</w:t>
      </w:r>
      <w:r w:rsidR="00B479A4">
        <w:t>ate, there will be more certainty for RSPs and end users whose premises w</w:t>
      </w:r>
      <w:r w:rsidR="00E65C2B">
        <w:t>ill be subject to disconnection</w:t>
      </w:r>
      <w:r w:rsidR="007046B0">
        <w:t xml:space="preserve">. Where </w:t>
      </w:r>
      <w:r w:rsidR="00B479A4">
        <w:t>premises are found to have been incorrectly classified as servic</w:t>
      </w:r>
      <w:r w:rsidR="00E65C2B">
        <w:t>eable when in fact they are not</w:t>
      </w:r>
      <w:r w:rsidR="00BE3241">
        <w:t xml:space="preserve">, </w:t>
      </w:r>
      <w:r w:rsidR="0076262F">
        <w:t>n</w:t>
      </w:r>
      <w:r w:rsidR="00601030">
        <w:t>bn</w:t>
      </w:r>
      <w:r w:rsidR="00452BAC">
        <w:t xml:space="preserve"> </w:t>
      </w:r>
      <w:r w:rsidR="00452BAC" w:rsidRPr="00452BAC">
        <w:t xml:space="preserve">does not intend </w:t>
      </w:r>
      <w:r w:rsidR="00DB6EB7" w:rsidRPr="00DB6EB7">
        <w:t xml:space="preserve">to "roll back" </w:t>
      </w:r>
      <w:r w:rsidR="007046B0">
        <w:t>these premises</w:t>
      </w:r>
      <w:r w:rsidR="00B479A4">
        <w:t xml:space="preserve"> to an unserviceable status (“service class 0”). </w:t>
      </w:r>
      <w:r w:rsidR="008A6C4C">
        <w:t>Instead</w:t>
      </w:r>
      <w:r w:rsidR="0099743A">
        <w:t>,</w:t>
      </w:r>
      <w:r w:rsidR="008A6C4C">
        <w:t xml:space="preserve"> </w:t>
      </w:r>
      <w:r w:rsidR="0076262F">
        <w:t>n</w:t>
      </w:r>
      <w:r w:rsidR="00601030">
        <w:t>bn</w:t>
      </w:r>
      <w:r w:rsidR="008A6C4C">
        <w:t xml:space="preserve"> will </w:t>
      </w:r>
      <w:r w:rsidR="00B479A4">
        <w:t>use all reasonable endeavo</w:t>
      </w:r>
      <w:r w:rsidR="00E65C2B">
        <w:t>urs to make the premises serviceable</w:t>
      </w:r>
      <w:r w:rsidR="00B479A4">
        <w:t xml:space="preserve"> as quickly as possible, while the RSP’s order remains intact with </w:t>
      </w:r>
      <w:r w:rsidR="0076262F">
        <w:t>n</w:t>
      </w:r>
      <w:r w:rsidR="00601030">
        <w:t>bn</w:t>
      </w:r>
      <w:r w:rsidR="00B479A4">
        <w:t xml:space="preserve">. </w:t>
      </w:r>
    </w:p>
    <w:p w14:paraId="531DF223" w14:textId="618A9CB3" w:rsidR="00B479A4" w:rsidRDefault="00B479A4" w:rsidP="00313121">
      <w:pPr>
        <w:spacing w:line="276" w:lineRule="auto"/>
      </w:pPr>
      <w:r>
        <w:t>These actions will assist in promoting a smoo</w:t>
      </w:r>
      <w:r w:rsidR="007B544C">
        <w:t xml:space="preserve">th migration to </w:t>
      </w:r>
      <w:r w:rsidR="00375865">
        <w:t>the national broadband network</w:t>
      </w:r>
      <w:r w:rsidR="007B544C">
        <w:t xml:space="preserve"> for end </w:t>
      </w:r>
      <w:r>
        <w:t>users who take the necessary action to migrate in the lead-up to the Disconnection Date.</w:t>
      </w:r>
    </w:p>
    <w:p w14:paraId="2CA9B80C" w14:textId="43234509" w:rsidR="001235DF" w:rsidRPr="00B479A4" w:rsidRDefault="005173EF" w:rsidP="009475AE">
      <w:pPr>
        <w:spacing w:line="276" w:lineRule="auto"/>
        <w:rPr>
          <w:u w:val="single"/>
        </w:rPr>
      </w:pPr>
      <w:r w:rsidRPr="00B479A4">
        <w:rPr>
          <w:u w:val="single"/>
        </w:rPr>
        <w:t>M</w:t>
      </w:r>
      <w:r w:rsidR="001235DF" w:rsidRPr="00B479A4">
        <w:rPr>
          <w:u w:val="single"/>
        </w:rPr>
        <w:t>aintaining service continuity</w:t>
      </w:r>
    </w:p>
    <w:p w14:paraId="3FC1DAEF" w14:textId="130AFBC4" w:rsidR="00E51130" w:rsidRPr="00B479A4" w:rsidRDefault="00B479A4" w:rsidP="00313121">
      <w:pPr>
        <w:pStyle w:val="ListParagraph"/>
        <w:numPr>
          <w:ilvl w:val="0"/>
          <w:numId w:val="34"/>
        </w:numPr>
        <w:spacing w:line="276" w:lineRule="auto"/>
      </w:pPr>
      <w:r w:rsidRPr="00B479A4">
        <w:t xml:space="preserve">Premises that are not </w:t>
      </w:r>
      <w:r w:rsidR="00283763">
        <w:t xml:space="preserve">nbn </w:t>
      </w:r>
      <w:r w:rsidRPr="00B479A4">
        <w:t>serviceable are exempted from copper cease sale rules</w:t>
      </w:r>
      <w:r w:rsidR="00DB6EB7">
        <w:t xml:space="preserve"> </w:t>
      </w:r>
      <w:r w:rsidR="00DB6EB7" w:rsidRPr="00DB6EB7">
        <w:t>under Telstra</w:t>
      </w:r>
      <w:r w:rsidR="0000333F">
        <w:t>’s</w:t>
      </w:r>
      <w:r w:rsidR="00DB6EB7" w:rsidRPr="00DB6EB7">
        <w:t xml:space="preserve"> Migration Plan</w:t>
      </w:r>
      <w:r w:rsidRPr="00B479A4">
        <w:t>. This mean</w:t>
      </w:r>
      <w:r w:rsidR="00DB6EB7">
        <w:t xml:space="preserve">s end users whose premises are not </w:t>
      </w:r>
      <w:r w:rsidR="00283763">
        <w:t xml:space="preserve">nbn </w:t>
      </w:r>
      <w:r w:rsidR="00DB6EB7">
        <w:t>serviceable</w:t>
      </w:r>
      <w:r w:rsidRPr="00B479A4">
        <w:t xml:space="preserve"> can order a fixed line service that is delivered over the copper network </w:t>
      </w:r>
      <w:r w:rsidR="00BB0A1B" w:rsidRPr="00BB0A1B">
        <w:t>even after</w:t>
      </w:r>
      <w:r w:rsidRPr="00B479A4">
        <w:t xml:space="preserve"> cease sale has commenced.</w:t>
      </w:r>
      <w:r w:rsidR="008A6C4C">
        <w:t xml:space="preserve"> </w:t>
      </w:r>
      <w:r w:rsidR="00E51130" w:rsidRPr="00EA3B8C">
        <w:t>However,</w:t>
      </w:r>
      <w:r w:rsidR="00E51130">
        <w:t xml:space="preserve"> that Premises </w:t>
      </w:r>
      <w:r w:rsidR="00E51130" w:rsidRPr="00EA3B8C">
        <w:t xml:space="preserve">will be subject to disconnection from </w:t>
      </w:r>
      <w:r w:rsidR="00E51130">
        <w:t xml:space="preserve">the relevant </w:t>
      </w:r>
      <w:r w:rsidR="00E51130" w:rsidRPr="00EA3B8C">
        <w:t xml:space="preserve">Disconnection Date so customers will still be required to </w:t>
      </w:r>
      <w:r w:rsidR="00E51130">
        <w:t xml:space="preserve">migrate to an alternative service </w:t>
      </w:r>
      <w:r w:rsidR="00E51130" w:rsidRPr="00EA3B8C">
        <w:t xml:space="preserve">if they wish to maintain continuity of their fixed line services after that time. </w:t>
      </w:r>
    </w:p>
    <w:p w14:paraId="365E290C" w14:textId="72D41B88" w:rsidR="00A7303E" w:rsidRPr="001235DF" w:rsidRDefault="00106424" w:rsidP="009475AE">
      <w:pPr>
        <w:spacing w:after="120" w:line="276" w:lineRule="auto"/>
        <w:ind w:left="1021" w:hanging="1021"/>
      </w:pPr>
      <w:r>
        <w:br w:type="page"/>
      </w:r>
    </w:p>
    <w:p w14:paraId="62360628" w14:textId="77777777" w:rsidR="008166B9" w:rsidRDefault="001235DF" w:rsidP="009475AE">
      <w:pPr>
        <w:pStyle w:val="Heading1"/>
        <w:spacing w:line="276" w:lineRule="auto"/>
      </w:pPr>
      <w:bookmarkStart w:id="35" w:name="_Toc406491064"/>
      <w:bookmarkStart w:id="36" w:name="_Toc406497273"/>
      <w:bookmarkStart w:id="37" w:name="_Toc422237719"/>
      <w:r>
        <w:t>Pillar 2 – Product availability</w:t>
      </w:r>
      <w:bookmarkEnd w:id="35"/>
      <w:bookmarkEnd w:id="36"/>
      <w:bookmarkEnd w:id="37"/>
    </w:p>
    <w:p w14:paraId="30656502" w14:textId="35B7A31D" w:rsidR="008166B9" w:rsidRDefault="008166B9" w:rsidP="009475AE">
      <w:pPr>
        <w:pStyle w:val="Bodytext-Indent"/>
        <w:spacing w:line="276" w:lineRule="auto"/>
        <w:ind w:left="0"/>
        <w:rPr>
          <w:b/>
        </w:rPr>
      </w:pPr>
      <w:r w:rsidRPr="008166B9">
        <w:rPr>
          <w:b/>
        </w:rPr>
        <w:t xml:space="preserve">The second pillar in the migration process is that the required products are developed by </w:t>
      </w:r>
      <w:r>
        <w:rPr>
          <w:b/>
        </w:rPr>
        <w:br/>
      </w:r>
      <w:r w:rsidR="0076262F">
        <w:rPr>
          <w:b/>
        </w:rPr>
        <w:t>n</w:t>
      </w:r>
      <w:r w:rsidR="00601030">
        <w:rPr>
          <w:b/>
        </w:rPr>
        <w:t>bn</w:t>
      </w:r>
      <w:r w:rsidRPr="008166B9">
        <w:rPr>
          <w:b/>
        </w:rPr>
        <w:t xml:space="preserve">, RSPs and </w:t>
      </w:r>
      <w:r w:rsidR="00385BAD">
        <w:rPr>
          <w:b/>
        </w:rPr>
        <w:t>application service provider</w:t>
      </w:r>
      <w:r w:rsidRPr="008166B9">
        <w:rPr>
          <w:b/>
        </w:rPr>
        <w:t>s to enable services to be migrated</w:t>
      </w:r>
      <w:r w:rsidR="00E552B4" w:rsidRPr="00E552B4">
        <w:rPr>
          <w:b/>
        </w:rPr>
        <w:t xml:space="preserve"> </w:t>
      </w:r>
      <w:r w:rsidR="00E552B4">
        <w:rPr>
          <w:b/>
        </w:rPr>
        <w:t>early in the migration window</w:t>
      </w:r>
      <w:r w:rsidRPr="008166B9">
        <w:rPr>
          <w:b/>
        </w:rPr>
        <w:t>.</w:t>
      </w:r>
    </w:p>
    <w:p w14:paraId="5D712217" w14:textId="542390E2" w:rsidR="00DA32C5" w:rsidRDefault="0076262F" w:rsidP="009475AE">
      <w:pPr>
        <w:spacing w:after="240" w:line="276" w:lineRule="auto"/>
      </w:pPr>
      <w:r>
        <w:t>n</w:t>
      </w:r>
      <w:r w:rsidR="00601030">
        <w:t>bn</w:t>
      </w:r>
      <w:r w:rsidR="00DA32C5" w:rsidRPr="00DA32C5">
        <w:t xml:space="preserve"> </w:t>
      </w:r>
      <w:r w:rsidR="00651FA9">
        <w:t>provides</w:t>
      </w:r>
      <w:r w:rsidR="0034777F">
        <w:t xml:space="preserve"> </w:t>
      </w:r>
      <w:r w:rsidR="00DA32C5" w:rsidRPr="00DA32C5">
        <w:t xml:space="preserve">wholesale layer 2 services that RSPs can use as </w:t>
      </w:r>
      <w:r w:rsidR="00080DB3">
        <w:t>part of the network layer</w:t>
      </w:r>
      <w:r w:rsidR="00DA32C5" w:rsidRPr="00DA32C5">
        <w:t xml:space="preserve"> to create their own retail products and services</w:t>
      </w:r>
      <w:r w:rsidR="00110EE2">
        <w:t xml:space="preserve"> over the national broadband network</w:t>
      </w:r>
      <w:r w:rsidR="00DA32C5" w:rsidRPr="00DA32C5">
        <w:t xml:space="preserve"> which are capable of supporting the migration of existing copper based voice and broadband services.</w:t>
      </w:r>
      <w:r w:rsidR="0034777F">
        <w:t xml:space="preserve"> </w:t>
      </w:r>
      <w:r w:rsidR="00283763">
        <w:t>nbn</w:t>
      </w:r>
      <w:r w:rsidR="00080DB3">
        <w:t xml:space="preserve"> will make available the product technical specifications (including limitations) so RSPs can evaluate the suitability for their services to be migrated.</w:t>
      </w:r>
    </w:p>
    <w:p w14:paraId="56CEFA9C" w14:textId="29A2508C" w:rsidR="00DA32C5" w:rsidRDefault="00DA32C5" w:rsidP="009475AE">
      <w:pPr>
        <w:pStyle w:val="BodyText"/>
        <w:spacing w:line="276" w:lineRule="auto"/>
      </w:pPr>
      <w:r>
        <w:t>To drive early migration</w:t>
      </w:r>
      <w:r w:rsidR="00215AF7">
        <w:t>,</w:t>
      </w:r>
      <w:r>
        <w:t xml:space="preserve"> </w:t>
      </w:r>
      <w:r w:rsidR="0076262F">
        <w:t>n</w:t>
      </w:r>
      <w:r w:rsidR="00601030">
        <w:t>bn</w:t>
      </w:r>
      <w:r w:rsidR="0076262F">
        <w:t>,</w:t>
      </w:r>
      <w:r w:rsidR="00651FA9">
        <w:t xml:space="preserve"> </w:t>
      </w:r>
      <w:r>
        <w:t xml:space="preserve">RSPs </w:t>
      </w:r>
      <w:r w:rsidR="0000333F" w:rsidRPr="0000333F">
        <w:t xml:space="preserve">and application service providers all </w:t>
      </w:r>
      <w:r>
        <w:t xml:space="preserve">need to have </w:t>
      </w:r>
      <w:r w:rsidR="00651FA9">
        <w:t xml:space="preserve">suitable </w:t>
      </w:r>
      <w:r>
        <w:t xml:space="preserve">products for residential and business end users </w:t>
      </w:r>
      <w:r w:rsidR="00651FA9" w:rsidRPr="00651FA9">
        <w:t>(excluding special services)</w:t>
      </w:r>
      <w:r w:rsidR="002C7283" w:rsidRPr="002C7283">
        <w:t xml:space="preserve">, and associated processes, </w:t>
      </w:r>
      <w:r>
        <w:t xml:space="preserve">developed and available </w:t>
      </w:r>
      <w:r w:rsidR="002C7283">
        <w:t xml:space="preserve">well </w:t>
      </w:r>
      <w:r>
        <w:t>before an area is declared ready for service.</w:t>
      </w:r>
    </w:p>
    <w:p w14:paraId="6CFE3921" w14:textId="77777777" w:rsidR="00DA32C5" w:rsidRPr="00DA32C5" w:rsidRDefault="00DA32C5" w:rsidP="009475AE">
      <w:pPr>
        <w:pStyle w:val="Heading2"/>
        <w:spacing w:line="276" w:lineRule="auto"/>
      </w:pPr>
      <w:bookmarkStart w:id="38" w:name="_Toc406332581"/>
      <w:bookmarkStart w:id="39" w:name="_Toc422237720"/>
      <w:r w:rsidRPr="00DA32C5">
        <w:t>Broadband Services</w:t>
      </w:r>
      <w:bookmarkEnd w:id="38"/>
      <w:bookmarkEnd w:id="39"/>
    </w:p>
    <w:p w14:paraId="6FE2A64A" w14:textId="5FDA6133" w:rsidR="00DA32C5" w:rsidRPr="00DA32C5" w:rsidRDefault="00DA32C5" w:rsidP="009475AE">
      <w:pPr>
        <w:spacing w:after="240" w:line="276" w:lineRule="auto"/>
      </w:pPr>
      <w:r w:rsidRPr="00DA32C5">
        <w:t xml:space="preserve">The core </w:t>
      </w:r>
      <w:r w:rsidR="0076262F">
        <w:t>n</w:t>
      </w:r>
      <w:r w:rsidR="00601030">
        <w:t>bn</w:t>
      </w:r>
      <w:r w:rsidRPr="00DA32C5">
        <w:t xml:space="preserve"> wholesale service pr</w:t>
      </w:r>
      <w:r w:rsidR="0034777F">
        <w:t xml:space="preserve">ovided to RSPs is </w:t>
      </w:r>
      <w:r w:rsidR="0076262F">
        <w:t>n</w:t>
      </w:r>
      <w:r w:rsidR="00601030">
        <w:t>bn</w:t>
      </w:r>
      <w:r w:rsidR="00283763">
        <w:t>’s</w:t>
      </w:r>
      <w:r w:rsidR="0034777F">
        <w:t xml:space="preserve"> </w:t>
      </w:r>
      <w:r w:rsidR="0000333F">
        <w:t>Ethernet Bit</w:t>
      </w:r>
      <w:r w:rsidR="0050368C">
        <w:t xml:space="preserve">stream Service. </w:t>
      </w:r>
      <w:r w:rsidRPr="00DA32C5">
        <w:t xml:space="preserve">This is a wholesale layer 2 service which provides Ethernet based connectivity between </w:t>
      </w:r>
      <w:r w:rsidR="00110EE2">
        <w:t xml:space="preserve">the </w:t>
      </w:r>
      <w:r w:rsidR="0076262F">
        <w:t>n</w:t>
      </w:r>
      <w:r w:rsidR="00601030">
        <w:t>bn</w:t>
      </w:r>
      <w:r w:rsidRPr="00DA32C5">
        <w:t xml:space="preserve"> at the end user premises and </w:t>
      </w:r>
      <w:r w:rsidR="00E65C2B">
        <w:t>an</w:t>
      </w:r>
      <w:r w:rsidRPr="00DA32C5">
        <w:t xml:space="preserve"> RSP</w:t>
      </w:r>
      <w:r w:rsidR="00E65C2B">
        <w:t>’</w:t>
      </w:r>
      <w:r w:rsidRPr="00DA32C5">
        <w:t xml:space="preserve">s network interconnection at one of </w:t>
      </w:r>
      <w:r w:rsidR="0076262F">
        <w:t>n</w:t>
      </w:r>
      <w:r w:rsidR="00601030">
        <w:t>bn</w:t>
      </w:r>
      <w:r w:rsidRPr="00DA32C5">
        <w:t xml:space="preserve">’s 121 Points of Interconnect.   </w:t>
      </w:r>
    </w:p>
    <w:p w14:paraId="65125619" w14:textId="6F16EF41" w:rsidR="00DA32C5" w:rsidRPr="00DA32C5" w:rsidRDefault="00DA32C5" w:rsidP="009475AE">
      <w:pPr>
        <w:spacing w:after="240" w:line="276" w:lineRule="auto"/>
      </w:pPr>
      <w:r w:rsidRPr="00DA32C5">
        <w:t xml:space="preserve">The majority of RSPs who offer services </w:t>
      </w:r>
      <w:r w:rsidR="00110EE2">
        <w:t xml:space="preserve">over the nbn </w:t>
      </w:r>
      <w:r w:rsidRPr="00DA32C5">
        <w:t>use this connectivity to provide a high speed broadband service by combining their own layer 3 services (</w:t>
      </w:r>
      <w:r w:rsidR="000D2C29" w:rsidRPr="00DA32C5">
        <w:t>e.g.</w:t>
      </w:r>
      <w:r w:rsidR="00E65C2B">
        <w:t xml:space="preserve"> email accounts, i</w:t>
      </w:r>
      <w:r w:rsidRPr="00DA32C5">
        <w:t>nternet access etc</w:t>
      </w:r>
      <w:r w:rsidR="002A2975">
        <w:t>.</w:t>
      </w:r>
      <w:r w:rsidRPr="00DA32C5">
        <w:t>) to complete their retail offer.</w:t>
      </w:r>
    </w:p>
    <w:p w14:paraId="78514EE2" w14:textId="77777777" w:rsidR="00DA32C5" w:rsidRPr="00DA32C5" w:rsidRDefault="00DA32C5" w:rsidP="009475AE">
      <w:pPr>
        <w:pStyle w:val="Heading2"/>
        <w:spacing w:line="276" w:lineRule="auto"/>
      </w:pPr>
      <w:bookmarkStart w:id="40" w:name="_Toc406332582"/>
      <w:bookmarkStart w:id="41" w:name="_Toc422237721"/>
      <w:r w:rsidRPr="00DA32C5">
        <w:t>Voice Services</w:t>
      </w:r>
      <w:bookmarkEnd w:id="40"/>
      <w:bookmarkEnd w:id="41"/>
    </w:p>
    <w:p w14:paraId="624C265E" w14:textId="38833006" w:rsidR="00DA32C5" w:rsidRPr="00DA32C5" w:rsidRDefault="00DA32C5" w:rsidP="009475AE">
      <w:pPr>
        <w:spacing w:after="240" w:line="276" w:lineRule="auto"/>
      </w:pPr>
      <w:r w:rsidRPr="00DA32C5">
        <w:t xml:space="preserve">As part of </w:t>
      </w:r>
      <w:r w:rsidR="0076262F">
        <w:t>n</w:t>
      </w:r>
      <w:r w:rsidR="00601030">
        <w:t>bn</w:t>
      </w:r>
      <w:r w:rsidR="00DB6EB7">
        <w:t>’s</w:t>
      </w:r>
      <w:r w:rsidR="00073C11">
        <w:t xml:space="preserve"> Ethernet Bitstream Service</w:t>
      </w:r>
      <w:r w:rsidRPr="00DA32C5">
        <w:t xml:space="preserve"> offering</w:t>
      </w:r>
      <w:r w:rsidR="00DB6EB7" w:rsidRPr="00DB6EB7">
        <w:t xml:space="preserve"> for FTTP access technology</w:t>
      </w:r>
      <w:r w:rsidRPr="00DA32C5">
        <w:t xml:space="preserve">, </w:t>
      </w:r>
      <w:r w:rsidR="0076262F">
        <w:t>n</w:t>
      </w:r>
      <w:r w:rsidR="00601030">
        <w:t>bn</w:t>
      </w:r>
      <w:r w:rsidRPr="00DA32C5">
        <w:t xml:space="preserve"> provides additional </w:t>
      </w:r>
      <w:r w:rsidR="00073C11">
        <w:t>Ethernet Bitstream Service</w:t>
      </w:r>
      <w:r w:rsidRPr="00DA32C5">
        <w:t xml:space="preserve"> features to enable different quality of service options to be developed in R</w:t>
      </w:r>
      <w:r w:rsidR="0050368C">
        <w:t>SPs</w:t>
      </w:r>
      <w:r w:rsidR="00E65C2B">
        <w:t>’</w:t>
      </w:r>
      <w:r w:rsidR="0050368C">
        <w:t xml:space="preserve"> retail products</w:t>
      </w:r>
      <w:r w:rsidR="00B61527">
        <w:t xml:space="preserve"> over the nbn</w:t>
      </w:r>
      <w:r w:rsidR="0050368C">
        <w:t>. </w:t>
      </w:r>
      <w:r w:rsidRPr="00DA32C5">
        <w:t>These features are called traffic classes, and an example is the use of traffic class 1 to provide a priority traffic treatment for priority traffi</w:t>
      </w:r>
      <w:r w:rsidR="0050368C">
        <w:t>c, such as voice. </w:t>
      </w:r>
      <w:r w:rsidR="0034777F">
        <w:t>T</w:t>
      </w:r>
      <w:r w:rsidR="00182AD2">
        <w:t>raffic class 1</w:t>
      </w:r>
      <w:r w:rsidRPr="00DA32C5">
        <w:t xml:space="preserve"> is prioritised over other traffic classes, thus enabling a voice call to continue uninterrupted even if a large volume of broadband traffic is also being downloaded or uploaded at the same time.</w:t>
      </w:r>
    </w:p>
    <w:p w14:paraId="1E68BE24" w14:textId="279A58DC" w:rsidR="00DA32C5" w:rsidRPr="00DA32C5" w:rsidRDefault="00DB6EB7" w:rsidP="009475AE">
      <w:pPr>
        <w:spacing w:after="240" w:line="276" w:lineRule="auto"/>
      </w:pPr>
      <w:r>
        <w:t>Where</w:t>
      </w:r>
      <w:r w:rsidR="00DA32C5" w:rsidRPr="00DA32C5">
        <w:t xml:space="preserve"> </w:t>
      </w:r>
      <w:r w:rsidR="0076262F">
        <w:t>n</w:t>
      </w:r>
      <w:r w:rsidR="00601030">
        <w:t>bn</w:t>
      </w:r>
      <w:r w:rsidR="00DA32C5" w:rsidRPr="00DA32C5">
        <w:t xml:space="preserve"> </w:t>
      </w:r>
      <w:r>
        <w:t>determines to service a premises using FTTP access technology</w:t>
      </w:r>
      <w:r w:rsidR="00DA32C5" w:rsidRPr="00DA32C5">
        <w:t xml:space="preserve">, </w:t>
      </w:r>
      <w:r w:rsidR="0076262F">
        <w:t>n</w:t>
      </w:r>
      <w:r w:rsidR="00601030">
        <w:t>bn</w:t>
      </w:r>
      <w:r w:rsidR="00DA32C5" w:rsidRPr="00DA32C5">
        <w:t xml:space="preserve"> provides a Network Terminati</w:t>
      </w:r>
      <w:r w:rsidR="00073C11">
        <w:t>on</w:t>
      </w:r>
      <w:r w:rsidR="00DA32C5" w:rsidRPr="00DA32C5">
        <w:t xml:space="preserve"> Device</w:t>
      </w:r>
      <w:r w:rsidR="00080DB3">
        <w:t xml:space="preserve"> </w:t>
      </w:r>
      <w:r w:rsidR="00B61527">
        <w:t>which includes</w:t>
      </w:r>
      <w:r w:rsidR="00DA32C5" w:rsidRPr="00DA32C5">
        <w:t xml:space="preserve"> two UNI-V ports which have been provided to allow RSPs to offer a voice service without the need for additional </w:t>
      </w:r>
      <w:r w:rsidR="0034777F">
        <w:t>RSP equipment</w:t>
      </w:r>
      <w:r w:rsidR="00B61527">
        <w:t xml:space="preserve"> at the end user’s premises</w:t>
      </w:r>
      <w:r w:rsidR="0034777F">
        <w:t xml:space="preserve">. </w:t>
      </w:r>
      <w:r w:rsidR="00DA32C5" w:rsidRPr="00DA32C5">
        <w:t>These UNI-V ports do not provide a voice service on their own, as they need to be combined and configured with an RSP’s voice network equipment to provide voice services (</w:t>
      </w:r>
      <w:r w:rsidR="000D2C29" w:rsidRPr="00DA32C5">
        <w:t>e.g.</w:t>
      </w:r>
      <w:r w:rsidR="00DA32C5" w:rsidRPr="00DA32C5">
        <w:t xml:space="preserve"> dial tone, calling capability etc</w:t>
      </w:r>
      <w:r w:rsidR="002A2975">
        <w:t>.</w:t>
      </w:r>
      <w:r w:rsidR="00DA32C5" w:rsidRPr="00DA32C5">
        <w:t>).</w:t>
      </w:r>
    </w:p>
    <w:p w14:paraId="3315A2B1" w14:textId="2E7DC276" w:rsidR="002009B5" w:rsidRDefault="00DA32C5" w:rsidP="009475AE">
      <w:pPr>
        <w:spacing w:after="240" w:line="276" w:lineRule="auto"/>
      </w:pPr>
      <w:r w:rsidRPr="00DA32C5">
        <w:t xml:space="preserve">The features and quality of the </w:t>
      </w:r>
      <w:r w:rsidR="0050368C">
        <w:t>end-to-</w:t>
      </w:r>
      <w:r w:rsidRPr="00DA32C5">
        <w:t xml:space="preserve">end voice service are thus </w:t>
      </w:r>
      <w:r w:rsidR="001A62B3">
        <w:t>depende</w:t>
      </w:r>
      <w:r w:rsidRPr="00DA32C5">
        <w:t xml:space="preserve">nt on how the respective RSP has configured </w:t>
      </w:r>
      <w:r w:rsidR="00E65C2B">
        <w:t>its</w:t>
      </w:r>
      <w:r w:rsidRPr="00DA32C5">
        <w:t xml:space="preserve"> voice network equipment as part of </w:t>
      </w:r>
      <w:r w:rsidR="00E65C2B">
        <w:t xml:space="preserve">its </w:t>
      </w:r>
      <w:r w:rsidRPr="00DA32C5">
        <w:t>retail offer.</w:t>
      </w:r>
      <w:bookmarkStart w:id="42" w:name="_Toc406491066"/>
      <w:bookmarkStart w:id="43" w:name="_Toc406497275"/>
    </w:p>
    <w:p w14:paraId="4D075CBE" w14:textId="58E5B5CF" w:rsidR="00DA32C5" w:rsidRPr="00DA32C5" w:rsidRDefault="002009B5" w:rsidP="002009B5">
      <w:pPr>
        <w:spacing w:after="120"/>
        <w:ind w:left="1021" w:hanging="1021"/>
      </w:pPr>
      <w:r>
        <w:br w:type="page"/>
      </w:r>
    </w:p>
    <w:p w14:paraId="27F80EB8" w14:textId="42F797E1" w:rsidR="00BE6DC9" w:rsidRDefault="001235DF" w:rsidP="009475AE">
      <w:pPr>
        <w:pStyle w:val="Heading3"/>
        <w:spacing w:line="276" w:lineRule="auto"/>
      </w:pPr>
      <w:bookmarkStart w:id="44" w:name="_Toc422237722"/>
      <w:r>
        <w:t>Migration of over-the-top legacy services</w:t>
      </w:r>
      <w:bookmarkEnd w:id="42"/>
      <w:bookmarkEnd w:id="43"/>
      <w:bookmarkEnd w:id="44"/>
    </w:p>
    <w:p w14:paraId="59EAC313" w14:textId="0C8DD9C3" w:rsidR="00BE6DC9" w:rsidRDefault="001235DF" w:rsidP="009475AE">
      <w:pPr>
        <w:pStyle w:val="Bodytext-Indent"/>
        <w:spacing w:line="276" w:lineRule="auto"/>
        <w:ind w:left="0"/>
      </w:pPr>
      <w:r>
        <w:t>O</w:t>
      </w:r>
      <w:r w:rsidRPr="0080481E">
        <w:t xml:space="preserve">ver-the-top legacy services </w:t>
      </w:r>
      <w:r w:rsidRPr="000C043D">
        <w:t xml:space="preserve">or applications are </w:t>
      </w:r>
      <w:r w:rsidR="00DA32C5">
        <w:t xml:space="preserve">generally </w:t>
      </w:r>
      <w:r w:rsidRPr="000C043D">
        <w:t>provided</w:t>
      </w:r>
      <w:r w:rsidR="00256385">
        <w:t xml:space="preserve"> </w:t>
      </w:r>
      <w:r w:rsidR="00A81F1E">
        <w:t xml:space="preserve">by application service providers </w:t>
      </w:r>
      <w:r w:rsidR="0034777F">
        <w:t>using a voice service over the copper network</w:t>
      </w:r>
      <w:r>
        <w:t xml:space="preserve">. </w:t>
      </w:r>
      <w:r w:rsidR="00112DAB">
        <w:t>O</w:t>
      </w:r>
      <w:r w:rsidR="00112DAB" w:rsidRPr="0080481E">
        <w:t xml:space="preserve">ver-the-top </w:t>
      </w:r>
      <w:r w:rsidR="00112DAB">
        <w:t>l</w:t>
      </w:r>
      <w:r>
        <w:t xml:space="preserve">egacy services </w:t>
      </w:r>
      <w:r w:rsidRPr="000C043D">
        <w:t xml:space="preserve">include security, medical and fire alarms, lift phones and payment services (EFTPOS and ATMs). </w:t>
      </w:r>
      <w:r w:rsidR="006A0568" w:rsidRPr="006A0568">
        <w:t xml:space="preserve">The </w:t>
      </w:r>
      <w:r w:rsidR="00186F0C">
        <w:t xml:space="preserve">migration off the copper network and </w:t>
      </w:r>
      <w:r w:rsidR="006A0568" w:rsidRPr="006A0568">
        <w:t xml:space="preserve">move to the </w:t>
      </w:r>
      <w:r w:rsidR="00375865">
        <w:t>national broadband network</w:t>
      </w:r>
      <w:r w:rsidR="006A0568" w:rsidRPr="006A0568">
        <w:t xml:space="preserve"> represents the next evolution for the industry, involving changes to technical, cost and performance characteristics.</w:t>
      </w:r>
    </w:p>
    <w:p w14:paraId="1E404CC2" w14:textId="1A2C8902" w:rsidR="006A0568" w:rsidRDefault="00B1220E" w:rsidP="009475AE">
      <w:pPr>
        <w:spacing w:line="276" w:lineRule="auto"/>
        <w:rPr>
          <w:rFonts w:eastAsia="Calibri" w:cs="Times New Roman"/>
        </w:rPr>
      </w:pPr>
      <w:r w:rsidRPr="00B1220E">
        <w:t>As these services are supplied via the basic voice service, and not special services, they are s</w:t>
      </w:r>
      <w:r w:rsidR="0050368C">
        <w:t>ubject to the regular 18 month migration w</w:t>
      </w:r>
      <w:r w:rsidRPr="00B1220E">
        <w:t>indow.</w:t>
      </w:r>
      <w:r w:rsidR="006A0568">
        <w:rPr>
          <w:rFonts w:eastAsia="Calibri" w:cs="Times New Roman"/>
        </w:rPr>
        <w:t xml:space="preserve"> </w:t>
      </w:r>
    </w:p>
    <w:p w14:paraId="5FD2F523" w14:textId="07CAECBA" w:rsidR="0034777F" w:rsidRDefault="0034777F" w:rsidP="009475AE">
      <w:pPr>
        <w:spacing w:before="0" w:line="276" w:lineRule="auto"/>
        <w:rPr>
          <w:u w:val="single"/>
        </w:rPr>
      </w:pPr>
    </w:p>
    <w:p w14:paraId="51995281" w14:textId="2AB5296E" w:rsidR="006A0568" w:rsidRDefault="00DA32C5" w:rsidP="009475AE">
      <w:pPr>
        <w:spacing w:before="0" w:line="276" w:lineRule="auto"/>
        <w:rPr>
          <w:u w:val="single"/>
        </w:rPr>
      </w:pPr>
      <w:r>
        <w:rPr>
          <w:u w:val="single"/>
        </w:rPr>
        <w:t xml:space="preserve">The role of </w:t>
      </w:r>
      <w:r w:rsidR="00073C11">
        <w:rPr>
          <w:u w:val="single"/>
        </w:rPr>
        <w:t>application service provider</w:t>
      </w:r>
      <w:r>
        <w:rPr>
          <w:u w:val="single"/>
        </w:rPr>
        <w:t>s</w:t>
      </w:r>
    </w:p>
    <w:p w14:paraId="6C408EA4" w14:textId="7A7CA0B5" w:rsidR="001235DF" w:rsidRDefault="001235DF" w:rsidP="009475AE">
      <w:pPr>
        <w:spacing w:before="0" w:line="276" w:lineRule="auto"/>
        <w:rPr>
          <w:bCs/>
        </w:rPr>
      </w:pPr>
      <w:r>
        <w:rPr>
          <w:bCs/>
        </w:rPr>
        <w:t xml:space="preserve">Given </w:t>
      </w:r>
      <w:r w:rsidR="006B2A50">
        <w:rPr>
          <w:bCs/>
        </w:rPr>
        <w:t xml:space="preserve">the </w:t>
      </w:r>
      <w:r w:rsidR="00653B8E">
        <w:rPr>
          <w:bCs/>
        </w:rPr>
        <w:t xml:space="preserve">migration </w:t>
      </w:r>
      <w:r w:rsidR="006B2A50">
        <w:rPr>
          <w:bCs/>
        </w:rPr>
        <w:t xml:space="preserve">to </w:t>
      </w:r>
      <w:r w:rsidR="00375865">
        <w:rPr>
          <w:bCs/>
        </w:rPr>
        <w:t>the national broadband network</w:t>
      </w:r>
      <w:r w:rsidR="00653B8E">
        <w:rPr>
          <w:bCs/>
        </w:rPr>
        <w:t xml:space="preserve"> </w:t>
      </w:r>
      <w:r w:rsidR="00D17D6D">
        <w:rPr>
          <w:bCs/>
        </w:rPr>
        <w:t>will see voice services predominantly delivered over voice</w:t>
      </w:r>
      <w:r w:rsidR="00082033">
        <w:rPr>
          <w:bCs/>
        </w:rPr>
        <w:t xml:space="preserve"> </w:t>
      </w:r>
      <w:r w:rsidR="00D17D6D">
        <w:rPr>
          <w:bCs/>
        </w:rPr>
        <w:t>over</w:t>
      </w:r>
      <w:r w:rsidR="00082033">
        <w:rPr>
          <w:bCs/>
        </w:rPr>
        <w:t xml:space="preserve"> </w:t>
      </w:r>
      <w:r w:rsidR="00D17D6D">
        <w:rPr>
          <w:bCs/>
        </w:rPr>
        <w:t>IP technology</w:t>
      </w:r>
      <w:r w:rsidR="00A11477">
        <w:rPr>
          <w:bCs/>
        </w:rPr>
        <w:t xml:space="preserve">, </w:t>
      </w:r>
      <w:r w:rsidR="00073C11">
        <w:rPr>
          <w:bCs/>
        </w:rPr>
        <w:t>application service provider</w:t>
      </w:r>
      <w:r w:rsidR="00F214EA">
        <w:rPr>
          <w:bCs/>
        </w:rPr>
        <w:t xml:space="preserve">s </w:t>
      </w:r>
      <w:r w:rsidR="00DA32C5">
        <w:rPr>
          <w:bCs/>
        </w:rPr>
        <w:t>should</w:t>
      </w:r>
      <w:r>
        <w:rPr>
          <w:bCs/>
        </w:rPr>
        <w:t>:</w:t>
      </w:r>
    </w:p>
    <w:p w14:paraId="03AD0944" w14:textId="74AFB9E4" w:rsidR="001235DF" w:rsidRPr="004238E8" w:rsidRDefault="001235DF" w:rsidP="009475AE">
      <w:pPr>
        <w:pStyle w:val="ListParagraph"/>
        <w:numPr>
          <w:ilvl w:val="0"/>
          <w:numId w:val="32"/>
        </w:numPr>
        <w:spacing w:before="0" w:line="276" w:lineRule="auto"/>
        <w:rPr>
          <w:rFonts w:eastAsia="Calibri" w:cs="Times New Roman"/>
        </w:rPr>
      </w:pPr>
      <w:r w:rsidRPr="004238E8">
        <w:rPr>
          <w:bCs/>
        </w:rPr>
        <w:t xml:space="preserve">consider </w:t>
      </w:r>
      <w:r>
        <w:rPr>
          <w:bCs/>
        </w:rPr>
        <w:t xml:space="preserve">and make a decision on </w:t>
      </w:r>
      <w:r w:rsidRPr="004238E8">
        <w:rPr>
          <w:bCs/>
        </w:rPr>
        <w:t xml:space="preserve">which deployment path is best suited </w:t>
      </w:r>
      <w:r>
        <w:rPr>
          <w:bCs/>
        </w:rPr>
        <w:t>to their service or application</w:t>
      </w:r>
      <w:r w:rsidR="00B1220E">
        <w:rPr>
          <w:bCs/>
        </w:rPr>
        <w:t>. T</w:t>
      </w:r>
      <w:r w:rsidR="00B1220E" w:rsidRPr="004238E8">
        <w:rPr>
          <w:bCs/>
        </w:rPr>
        <w:t xml:space="preserve">his could be 3G, dual path or </w:t>
      </w:r>
      <w:r w:rsidR="00375865">
        <w:rPr>
          <w:bCs/>
        </w:rPr>
        <w:t>national broadband network</w:t>
      </w:r>
      <w:r w:rsidR="00B61527">
        <w:rPr>
          <w:bCs/>
        </w:rPr>
        <w:t>-only</w:t>
      </w:r>
      <w:r w:rsidR="00375865">
        <w:rPr>
          <w:bCs/>
        </w:rPr>
        <w:t xml:space="preserve"> services</w:t>
      </w:r>
    </w:p>
    <w:p w14:paraId="6E57732D" w14:textId="25D024E7" w:rsidR="00A11477" w:rsidRPr="0054398A" w:rsidRDefault="00A11477" w:rsidP="009475AE">
      <w:pPr>
        <w:pStyle w:val="ListParagraph"/>
        <w:numPr>
          <w:ilvl w:val="0"/>
          <w:numId w:val="32"/>
        </w:numPr>
        <w:spacing w:line="276" w:lineRule="auto"/>
        <w:rPr>
          <w:bCs/>
        </w:rPr>
      </w:pPr>
      <w:r w:rsidRPr="0054398A">
        <w:rPr>
          <w:bCs/>
        </w:rPr>
        <w:t>inform their own end users about the impact, or likely impact, of migration on their services and premises including clear information on any additional costs</w:t>
      </w:r>
      <w:r w:rsidR="00D17D6D" w:rsidRPr="0054398A">
        <w:rPr>
          <w:bCs/>
        </w:rPr>
        <w:t xml:space="preserve"> (e.g. new customer premises equipment)</w:t>
      </w:r>
      <w:r w:rsidR="0054398A" w:rsidRPr="0054398A">
        <w:t xml:space="preserve"> </w:t>
      </w:r>
      <w:r w:rsidR="0054398A" w:rsidRPr="0054398A">
        <w:rPr>
          <w:bCs/>
        </w:rPr>
        <w:t xml:space="preserve">and what steps the customer may need to take in relation to the service (such as registering it with </w:t>
      </w:r>
      <w:r w:rsidR="0076262F">
        <w:rPr>
          <w:bCs/>
        </w:rPr>
        <w:t>n</w:t>
      </w:r>
      <w:r w:rsidR="00601030">
        <w:rPr>
          <w:bCs/>
        </w:rPr>
        <w:t>bn</w:t>
      </w:r>
      <w:r w:rsidR="0054398A" w:rsidRPr="0054398A">
        <w:rPr>
          <w:bCs/>
        </w:rPr>
        <w:t>)</w:t>
      </w:r>
    </w:p>
    <w:p w14:paraId="20492788" w14:textId="43B62E0F" w:rsidR="00B1220E" w:rsidRPr="00A11477" w:rsidRDefault="00B1220E" w:rsidP="009475AE">
      <w:pPr>
        <w:pStyle w:val="ListParagraph"/>
        <w:numPr>
          <w:ilvl w:val="0"/>
          <w:numId w:val="32"/>
        </w:numPr>
        <w:spacing w:line="276" w:lineRule="auto"/>
        <w:rPr>
          <w:rFonts w:eastAsia="Calibri" w:cs="Times New Roman"/>
        </w:rPr>
      </w:pPr>
      <w:r w:rsidRPr="00A11477">
        <w:rPr>
          <w:bCs/>
        </w:rPr>
        <w:t>manage the migration of these services on to the chosen deployment path within the 18 mo</w:t>
      </w:r>
      <w:r w:rsidR="0050368C">
        <w:rPr>
          <w:bCs/>
        </w:rPr>
        <w:t>nth migration w</w:t>
      </w:r>
      <w:r w:rsidRPr="00A11477">
        <w:rPr>
          <w:bCs/>
        </w:rPr>
        <w:t>indow</w:t>
      </w:r>
      <w:r w:rsidR="00A11477">
        <w:rPr>
          <w:bCs/>
        </w:rPr>
        <w:t>.</w:t>
      </w:r>
    </w:p>
    <w:p w14:paraId="2602A772" w14:textId="1972B27F" w:rsidR="001235DF" w:rsidRDefault="001235DF" w:rsidP="009475AE">
      <w:pPr>
        <w:spacing w:line="276" w:lineRule="auto"/>
        <w:rPr>
          <w:rFonts w:eastAsia="Calibri" w:cs="Times New Roman"/>
        </w:rPr>
      </w:pPr>
      <w:r w:rsidRPr="00C9286F">
        <w:rPr>
          <w:rFonts w:asciiTheme="minorHAnsi" w:hAnsiTheme="minorHAnsi" w:cs="Times New Roman"/>
          <w:spacing w:val="1"/>
        </w:rPr>
        <w:t>If</w:t>
      </w:r>
      <w:r w:rsidRPr="00C9286F">
        <w:rPr>
          <w:rFonts w:eastAsia="Calibri" w:cs="Times New Roman"/>
        </w:rPr>
        <w:t xml:space="preserve"> migrating</w:t>
      </w:r>
      <w:r w:rsidR="00F214EA">
        <w:rPr>
          <w:rFonts w:eastAsia="Calibri" w:cs="Times New Roman"/>
        </w:rPr>
        <w:t xml:space="preserve"> services </w:t>
      </w:r>
      <w:r w:rsidRPr="00C9286F">
        <w:rPr>
          <w:rFonts w:eastAsia="Calibri" w:cs="Times New Roman"/>
        </w:rPr>
        <w:t xml:space="preserve">to </w:t>
      </w:r>
      <w:r w:rsidR="00375865">
        <w:rPr>
          <w:rFonts w:eastAsia="Calibri" w:cs="Times New Roman"/>
        </w:rPr>
        <w:t>the national broadband network,</w:t>
      </w:r>
      <w:r w:rsidRPr="00C9286F">
        <w:rPr>
          <w:rFonts w:eastAsia="Calibri" w:cs="Times New Roman"/>
        </w:rPr>
        <w:t xml:space="preserve"> </w:t>
      </w:r>
      <w:r w:rsidR="00073C11">
        <w:rPr>
          <w:rFonts w:eastAsia="Calibri" w:cs="Times New Roman"/>
        </w:rPr>
        <w:t>application service provider</w:t>
      </w:r>
      <w:r>
        <w:rPr>
          <w:rFonts w:eastAsia="Calibri" w:cs="Times New Roman"/>
        </w:rPr>
        <w:t>s</w:t>
      </w:r>
      <w:r w:rsidRPr="00C9286F">
        <w:rPr>
          <w:rFonts w:eastAsia="Calibri" w:cs="Times New Roman"/>
        </w:rPr>
        <w:t>, particularly providers of safety critical services such as medical, security and fire alarms, and lift phones</w:t>
      </w:r>
      <w:r w:rsidR="00215AF7">
        <w:rPr>
          <w:rFonts w:eastAsia="Calibri" w:cs="Times New Roman"/>
        </w:rPr>
        <w:t>,</w:t>
      </w:r>
      <w:r w:rsidRPr="00C9286F">
        <w:rPr>
          <w:rFonts w:eastAsia="Calibri" w:cs="Times New Roman"/>
        </w:rPr>
        <w:t xml:space="preserve"> need to</w:t>
      </w:r>
      <w:r>
        <w:rPr>
          <w:rFonts w:eastAsia="Calibri" w:cs="Times New Roman"/>
        </w:rPr>
        <w:t>:</w:t>
      </w:r>
    </w:p>
    <w:p w14:paraId="4EDE91C9" w14:textId="01A417DC" w:rsidR="001235DF" w:rsidRPr="00AD3B0D" w:rsidRDefault="001235DF" w:rsidP="009475AE">
      <w:pPr>
        <w:pStyle w:val="ListParagraph"/>
        <w:numPr>
          <w:ilvl w:val="0"/>
          <w:numId w:val="35"/>
        </w:numPr>
        <w:spacing w:before="0" w:after="240" w:line="276" w:lineRule="auto"/>
        <w:rPr>
          <w:bCs/>
        </w:rPr>
      </w:pPr>
      <w:r w:rsidRPr="00AD3B0D">
        <w:rPr>
          <w:rFonts w:eastAsia="Calibri" w:cs="Times New Roman"/>
        </w:rPr>
        <w:t>test their applications and devices</w:t>
      </w:r>
      <w:r>
        <w:rPr>
          <w:rFonts w:eastAsia="Calibri" w:cs="Times New Roman"/>
        </w:rPr>
        <w:t xml:space="preserve"> to ensure they work on </w:t>
      </w:r>
      <w:r w:rsidR="00DA32C5">
        <w:rPr>
          <w:rFonts w:eastAsia="Calibri" w:cs="Times New Roman"/>
        </w:rPr>
        <w:t xml:space="preserve">RSP retail products delivered over </w:t>
      </w:r>
      <w:r w:rsidR="00653B8E">
        <w:rPr>
          <w:rFonts w:eastAsia="Calibri" w:cs="Times New Roman"/>
        </w:rPr>
        <w:t>nbn’s network</w:t>
      </w:r>
    </w:p>
    <w:p w14:paraId="4B8BAFE6" w14:textId="4B50FA1D" w:rsidR="001235DF" w:rsidRPr="00AD3B0D" w:rsidRDefault="001235DF" w:rsidP="009475AE">
      <w:pPr>
        <w:pStyle w:val="ListParagraph"/>
        <w:numPr>
          <w:ilvl w:val="0"/>
          <w:numId w:val="35"/>
        </w:numPr>
        <w:spacing w:line="276" w:lineRule="auto"/>
        <w:rPr>
          <w:bCs/>
        </w:rPr>
      </w:pPr>
      <w:r w:rsidRPr="00AD3B0D">
        <w:rPr>
          <w:rFonts w:eastAsia="Calibri" w:cs="Times New Roman"/>
        </w:rPr>
        <w:t>consider the type of retail service needed to support these applications, and communicate this to the end</w:t>
      </w:r>
      <w:r>
        <w:rPr>
          <w:rFonts w:eastAsia="Calibri" w:cs="Times New Roman"/>
        </w:rPr>
        <w:t xml:space="preserve"> </w:t>
      </w:r>
      <w:r w:rsidRPr="00AD3B0D">
        <w:rPr>
          <w:rFonts w:eastAsia="Calibri" w:cs="Times New Roman"/>
        </w:rPr>
        <w:t>user who w</w:t>
      </w:r>
      <w:r>
        <w:rPr>
          <w:rFonts w:eastAsia="Calibri" w:cs="Times New Roman"/>
        </w:rPr>
        <w:t xml:space="preserve">ill be ordering the </w:t>
      </w:r>
      <w:r w:rsidR="00DA32C5">
        <w:rPr>
          <w:rFonts w:eastAsia="Calibri" w:cs="Times New Roman"/>
        </w:rPr>
        <w:t xml:space="preserve">RSP’s </w:t>
      </w:r>
      <w:r w:rsidR="00375865">
        <w:rPr>
          <w:rFonts w:eastAsia="Calibri" w:cs="Times New Roman"/>
        </w:rPr>
        <w:t xml:space="preserve">national broadband network based </w:t>
      </w:r>
      <w:r>
        <w:rPr>
          <w:rFonts w:eastAsia="Calibri" w:cs="Times New Roman"/>
        </w:rPr>
        <w:t>service</w:t>
      </w:r>
    </w:p>
    <w:p w14:paraId="0DC7DB57" w14:textId="6ACBD593" w:rsidR="00A11477" w:rsidRDefault="001235DF" w:rsidP="009475AE">
      <w:pPr>
        <w:pStyle w:val="ListParagraph"/>
        <w:numPr>
          <w:ilvl w:val="0"/>
          <w:numId w:val="35"/>
        </w:numPr>
        <w:spacing w:line="276" w:lineRule="auto"/>
        <w:rPr>
          <w:bCs/>
        </w:rPr>
      </w:pPr>
      <w:r w:rsidRPr="00AD3B0D">
        <w:rPr>
          <w:bCs/>
        </w:rPr>
        <w:t>have programs in place to test end user devices and applications</w:t>
      </w:r>
      <w:r w:rsidR="008A6C4C">
        <w:rPr>
          <w:bCs/>
        </w:rPr>
        <w:t xml:space="preserve"> (including alarms) promptly </w:t>
      </w:r>
      <w:r w:rsidRPr="00AD3B0D">
        <w:rPr>
          <w:bCs/>
        </w:rPr>
        <w:t xml:space="preserve">after migration to </w:t>
      </w:r>
      <w:r w:rsidR="00B1220E">
        <w:rPr>
          <w:bCs/>
        </w:rPr>
        <w:t xml:space="preserve">the </w:t>
      </w:r>
      <w:r w:rsidR="00DA32C5">
        <w:rPr>
          <w:bCs/>
        </w:rPr>
        <w:t xml:space="preserve">RSP’s </w:t>
      </w:r>
      <w:r w:rsidR="00375865">
        <w:rPr>
          <w:bCs/>
        </w:rPr>
        <w:t xml:space="preserve">national broadband network </w:t>
      </w:r>
      <w:r w:rsidR="00DA32C5">
        <w:rPr>
          <w:bCs/>
        </w:rPr>
        <w:t xml:space="preserve">based service </w:t>
      </w:r>
      <w:r w:rsidRPr="00AD3B0D">
        <w:rPr>
          <w:bCs/>
        </w:rPr>
        <w:t>has taken place</w:t>
      </w:r>
    </w:p>
    <w:p w14:paraId="48E7E944" w14:textId="709BFA1F" w:rsidR="001235DF" w:rsidRPr="00CC79C6" w:rsidRDefault="00A11477" w:rsidP="009475AE">
      <w:pPr>
        <w:pStyle w:val="ListParagraph"/>
        <w:numPr>
          <w:ilvl w:val="0"/>
          <w:numId w:val="35"/>
        </w:numPr>
        <w:spacing w:line="276" w:lineRule="auto"/>
        <w:rPr>
          <w:bCs/>
        </w:rPr>
      </w:pPr>
      <w:r w:rsidRPr="00A11477">
        <w:rPr>
          <w:bCs/>
        </w:rPr>
        <w:t xml:space="preserve">undertake any installation or upgrading of wiring or </w:t>
      </w:r>
      <w:r w:rsidR="0090206B">
        <w:rPr>
          <w:bCs/>
        </w:rPr>
        <w:t>end user</w:t>
      </w:r>
      <w:r w:rsidRPr="00A11477">
        <w:rPr>
          <w:bCs/>
        </w:rPr>
        <w:t xml:space="preserve"> premises equipment associated with migration of their own end users (or end user premises). Where an </w:t>
      </w:r>
      <w:r w:rsidR="00073C11">
        <w:rPr>
          <w:bCs/>
        </w:rPr>
        <w:t>application service provider</w:t>
      </w:r>
      <w:r w:rsidRPr="00A11477">
        <w:rPr>
          <w:bCs/>
        </w:rPr>
        <w:t xml:space="preserve"> chooses not to provide this service option, then the </w:t>
      </w:r>
      <w:r w:rsidR="00073C11">
        <w:rPr>
          <w:bCs/>
        </w:rPr>
        <w:t>application service provider</w:t>
      </w:r>
      <w:r w:rsidRPr="00A11477">
        <w:rPr>
          <w:bCs/>
        </w:rPr>
        <w:t xml:space="preserve"> is responsible for timely and clear communication of the requirements of their equipment and how an end user may be able to get their in-premises wiring upgraded (if required), or provide information on alternate products that offer similar functionality without re-wiring</w:t>
      </w:r>
      <w:r>
        <w:rPr>
          <w:bCs/>
        </w:rPr>
        <w:t>.</w:t>
      </w:r>
    </w:p>
    <w:p w14:paraId="1F580394" w14:textId="46EA8D70" w:rsidR="00E542C2" w:rsidRPr="006C79A0" w:rsidRDefault="0076262F" w:rsidP="006C79A0">
      <w:pPr>
        <w:spacing w:line="276" w:lineRule="auto"/>
        <w:rPr>
          <w:rFonts w:eastAsia="Calibri" w:cs="Times New Roman"/>
        </w:rPr>
      </w:pPr>
      <w:r w:rsidRPr="006C79A0">
        <w:rPr>
          <w:bCs/>
        </w:rPr>
        <w:t>n</w:t>
      </w:r>
      <w:r w:rsidR="00601030" w:rsidRPr="006C79A0">
        <w:rPr>
          <w:bCs/>
        </w:rPr>
        <w:t>bn</w:t>
      </w:r>
      <w:r w:rsidR="00014CCA" w:rsidRPr="006C79A0">
        <w:rPr>
          <w:bCs/>
        </w:rPr>
        <w:t xml:space="preserve"> has committed to work with these industries to assist them to understand the </w:t>
      </w:r>
      <w:r w:rsidR="00DA32C5" w:rsidRPr="006C79A0">
        <w:rPr>
          <w:bCs/>
        </w:rPr>
        <w:t xml:space="preserve">impacts </w:t>
      </w:r>
      <w:r w:rsidR="00014CCA" w:rsidRPr="006C79A0">
        <w:rPr>
          <w:bCs/>
        </w:rPr>
        <w:t>and assist them to develop product solutions.</w:t>
      </w:r>
      <w:r w:rsidR="00E542C2" w:rsidRPr="006C79A0">
        <w:rPr>
          <w:bCs/>
        </w:rPr>
        <w:t xml:space="preserve"> As part of this, nbn </w:t>
      </w:r>
      <w:r w:rsidR="00E542C2" w:rsidRPr="006C79A0">
        <w:rPr>
          <w:rFonts w:eastAsia="Calibri" w:cs="Times New Roman"/>
        </w:rPr>
        <w:t>provides plugbench facilities to enable ASPs to test their retail products over a range of RSP’s services, for ASPs to determine their product suitability</w:t>
      </w:r>
    </w:p>
    <w:p w14:paraId="5C6AA212" w14:textId="77777777" w:rsidR="00014CCA" w:rsidRDefault="00014CCA" w:rsidP="009475AE">
      <w:pPr>
        <w:spacing w:before="0" w:line="276" w:lineRule="auto"/>
        <w:rPr>
          <w:bCs/>
        </w:rPr>
      </w:pPr>
    </w:p>
    <w:p w14:paraId="03EC9FF6" w14:textId="0430E96F" w:rsidR="001235DF" w:rsidRDefault="00A11477" w:rsidP="009475AE">
      <w:pPr>
        <w:spacing w:before="0" w:line="276" w:lineRule="auto"/>
        <w:rPr>
          <w:bCs/>
        </w:rPr>
      </w:pPr>
      <w:r w:rsidRPr="005D5891">
        <w:rPr>
          <w:bCs/>
        </w:rPr>
        <w:t xml:space="preserve">This approach recognises that RSPs </w:t>
      </w:r>
      <w:r w:rsidR="0034777F">
        <w:rPr>
          <w:bCs/>
        </w:rPr>
        <w:t>do not have</w:t>
      </w:r>
      <w:r w:rsidRPr="005D5891">
        <w:rPr>
          <w:bCs/>
        </w:rPr>
        <w:t xml:space="preserve"> visibility of the services that are provided on top o</w:t>
      </w:r>
      <w:r w:rsidRPr="00CC79C6">
        <w:rPr>
          <w:bCs/>
        </w:rPr>
        <w:t>f their service</w:t>
      </w:r>
      <w:r w:rsidR="0054398A">
        <w:rPr>
          <w:bCs/>
        </w:rPr>
        <w:t xml:space="preserve"> and</w:t>
      </w:r>
      <w:r w:rsidRPr="00CC79C6">
        <w:rPr>
          <w:bCs/>
        </w:rPr>
        <w:t xml:space="preserve"> </w:t>
      </w:r>
      <w:r w:rsidR="00651FA9" w:rsidRPr="00651FA9">
        <w:rPr>
          <w:bCs/>
        </w:rPr>
        <w:t>responsibility for the management of the application rests with the party with the re</w:t>
      </w:r>
      <w:r w:rsidR="0054398A">
        <w:rPr>
          <w:bCs/>
        </w:rPr>
        <w:t xml:space="preserve">quisite knowledge. </w:t>
      </w:r>
      <w:r w:rsidR="00D95F8A" w:rsidRPr="00D95F8A">
        <w:rPr>
          <w:bCs/>
        </w:rPr>
        <w:t xml:space="preserve">It is therefore important that end users work with their application service provider to assist in the successful migration of their services early in the migration window, to promote service continuity.  </w:t>
      </w:r>
      <w:r w:rsidR="00AE4E74" w:rsidRPr="00AE4E74">
        <w:rPr>
          <w:bCs/>
        </w:rPr>
        <w:t>However, if RSPs become aware that an over-the-top service is present, they may wish to implement additional processes to accommodate them</w:t>
      </w:r>
      <w:r w:rsidR="0054398A" w:rsidDel="00D95F8A">
        <w:rPr>
          <w:bCs/>
        </w:rPr>
        <w:t>.</w:t>
      </w:r>
      <w:r w:rsidR="0054398A" w:rsidDel="00D95F8A">
        <w:rPr>
          <w:rStyle w:val="CommentReference"/>
        </w:rPr>
        <w:t xml:space="preserve"> </w:t>
      </w:r>
    </w:p>
    <w:p w14:paraId="4CE4AF65" w14:textId="77777777" w:rsidR="009A3DDD" w:rsidRDefault="006B1B7F" w:rsidP="009475AE">
      <w:pPr>
        <w:spacing w:before="0" w:line="276" w:lineRule="auto"/>
        <w:rPr>
          <w:bCs/>
        </w:rPr>
      </w:pPr>
      <w:r>
        <w:rPr>
          <w:bCs/>
        </w:rPr>
        <w:t xml:space="preserve"> </w:t>
      </w:r>
    </w:p>
    <w:p w14:paraId="3E552369" w14:textId="79B50F22" w:rsidR="00AA0443" w:rsidRDefault="001235DF" w:rsidP="009475AE">
      <w:pPr>
        <w:spacing w:before="0" w:line="276" w:lineRule="auto"/>
        <w:rPr>
          <w:bCs/>
        </w:rPr>
      </w:pPr>
      <w:r>
        <w:rPr>
          <w:bCs/>
        </w:rPr>
        <w:t xml:space="preserve">For medical alarms, see the management of medical alarm </w:t>
      </w:r>
      <w:r w:rsidR="005E61C5">
        <w:rPr>
          <w:bCs/>
        </w:rPr>
        <w:t xml:space="preserve">end users </w:t>
      </w:r>
      <w:r>
        <w:rPr>
          <w:bCs/>
        </w:rPr>
        <w:t xml:space="preserve">on page </w:t>
      </w:r>
      <w:r w:rsidR="008E36D1">
        <w:rPr>
          <w:bCs/>
        </w:rPr>
        <w:t>18</w:t>
      </w:r>
      <w:r w:rsidR="00A9407C">
        <w:rPr>
          <w:bCs/>
        </w:rPr>
        <w:t>.</w:t>
      </w:r>
    </w:p>
    <w:p w14:paraId="625CE11D" w14:textId="77777777" w:rsidR="006C79A0" w:rsidRDefault="006C79A0" w:rsidP="009475AE">
      <w:pPr>
        <w:spacing w:before="0" w:line="276" w:lineRule="auto"/>
        <w:rPr>
          <w:bCs/>
        </w:rPr>
      </w:pPr>
    </w:p>
    <w:p w14:paraId="12727AF1" w14:textId="6FC93E11" w:rsidR="006C79A0" w:rsidRDefault="006C79A0" w:rsidP="009475AE">
      <w:pPr>
        <w:spacing w:before="0" w:line="276" w:lineRule="auto"/>
        <w:rPr>
          <w:bCs/>
        </w:rPr>
      </w:pPr>
      <w:r>
        <w:rPr>
          <w:bCs/>
        </w:rPr>
        <w:t>For fire alarms and lift phones see the m</w:t>
      </w:r>
      <w:r w:rsidRPr="006C79A0">
        <w:rPr>
          <w:bCs/>
        </w:rPr>
        <w:t xml:space="preserve">anagement of safety critical services </w:t>
      </w:r>
      <w:r>
        <w:rPr>
          <w:bCs/>
        </w:rPr>
        <w:t>on page 23.</w:t>
      </w:r>
    </w:p>
    <w:p w14:paraId="0860337F" w14:textId="47921E61" w:rsidR="001235DF" w:rsidRDefault="00215AF7" w:rsidP="009475AE">
      <w:pPr>
        <w:pStyle w:val="Heading2"/>
        <w:spacing w:line="276" w:lineRule="auto"/>
      </w:pPr>
      <w:bookmarkStart w:id="45" w:name="_Toc406491067"/>
      <w:bookmarkStart w:id="46" w:name="_Toc406497276"/>
      <w:bookmarkStart w:id="47" w:name="_Toc422237723"/>
      <w:r>
        <w:t>Migration of Special S</w:t>
      </w:r>
      <w:r w:rsidR="001235DF">
        <w:t>ervices</w:t>
      </w:r>
      <w:bookmarkEnd w:id="45"/>
      <w:bookmarkEnd w:id="46"/>
      <w:bookmarkEnd w:id="47"/>
    </w:p>
    <w:p w14:paraId="13465AB3" w14:textId="632B19CC" w:rsidR="001235DF" w:rsidRPr="001B60A5" w:rsidRDefault="001235DF" w:rsidP="009475AE">
      <w:pPr>
        <w:pStyle w:val="BodyText"/>
        <w:spacing w:before="0" w:after="0" w:line="276" w:lineRule="auto"/>
      </w:pPr>
      <w:r w:rsidRPr="001B60A5">
        <w:t xml:space="preserve">Special </w:t>
      </w:r>
      <w:r w:rsidR="00B1220E">
        <w:t>s</w:t>
      </w:r>
      <w:r w:rsidRPr="001B60A5">
        <w:t xml:space="preserve">ervices are primarily business grade services currently provided over the Telstra </w:t>
      </w:r>
      <w:r w:rsidR="00B1220E">
        <w:t>c</w:t>
      </w:r>
      <w:r w:rsidRPr="001B60A5">
        <w:t>opper network</w:t>
      </w:r>
      <w:r w:rsidR="00DA32C5">
        <w:t>.</w:t>
      </w:r>
      <w:r w:rsidRPr="001B60A5">
        <w:t xml:space="preserve"> </w:t>
      </w:r>
      <w:r w:rsidR="00DA32C5">
        <w:t xml:space="preserve">More information about Special Services </w:t>
      </w:r>
      <w:r w:rsidRPr="001B60A5">
        <w:t xml:space="preserve">can be found </w:t>
      </w:r>
      <w:r w:rsidR="008E36D1">
        <w:t xml:space="preserve">at </w:t>
      </w:r>
      <w:hyperlink r:id="rId11" w:history="1">
        <w:r w:rsidR="0089749B" w:rsidRPr="001248A5">
          <w:rPr>
            <w:rStyle w:val="Hyperlink"/>
          </w:rPr>
          <w:t>www.telstrawholesale.com.au/nbn/exemptions/index.htm</w:t>
        </w:r>
      </w:hyperlink>
      <w:r w:rsidR="0089749B">
        <w:t>.</w:t>
      </w:r>
    </w:p>
    <w:p w14:paraId="1EF9CDEF" w14:textId="76489D41" w:rsidR="00DB6EB7" w:rsidRDefault="00DB6EB7" w:rsidP="009475AE">
      <w:pPr>
        <w:pStyle w:val="BodyText"/>
        <w:spacing w:line="276" w:lineRule="auto"/>
      </w:pPr>
      <w:r>
        <w:t xml:space="preserve">These services are initially exempt from disconnection from the Telstra copper network, pending either a Telstra initiated product exit, or </w:t>
      </w:r>
      <w:r w:rsidR="0076262F">
        <w:t>n</w:t>
      </w:r>
      <w:r w:rsidR="00601030">
        <w:t>bn</w:t>
      </w:r>
      <w:r>
        <w:t xml:space="preserve"> </w:t>
      </w:r>
      <w:r w:rsidR="0054398A">
        <w:t>releasing</w:t>
      </w:r>
      <w:r>
        <w:t xml:space="preserve"> additional product functionality which enables </w:t>
      </w:r>
      <w:r w:rsidR="0054398A">
        <w:t xml:space="preserve">RSPs </w:t>
      </w:r>
      <w:r>
        <w:t xml:space="preserve">to provide </w:t>
      </w:r>
      <w:r w:rsidR="00653B8E">
        <w:t xml:space="preserve">alternative </w:t>
      </w:r>
      <w:r>
        <w:t xml:space="preserve">services over </w:t>
      </w:r>
      <w:r w:rsidR="00B61527">
        <w:t>the national broadband</w:t>
      </w:r>
      <w:r w:rsidR="00375865">
        <w:t xml:space="preserve"> </w:t>
      </w:r>
      <w:r w:rsidR="00653B8E">
        <w:t xml:space="preserve">network </w:t>
      </w:r>
      <w:r>
        <w:t xml:space="preserve">to the particular type of special service (known as the White Paper process). </w:t>
      </w:r>
      <w:r w:rsidR="0076262F">
        <w:t>n</w:t>
      </w:r>
      <w:r w:rsidR="00601030">
        <w:t>bn</w:t>
      </w:r>
      <w:r>
        <w:t xml:space="preserve"> will publish a white paper which outlines how </w:t>
      </w:r>
      <w:r w:rsidR="00C34043">
        <w:t xml:space="preserve">its </w:t>
      </w:r>
      <w:r>
        <w:t xml:space="preserve">additional product functionality can be used to enable </w:t>
      </w:r>
      <w:r w:rsidR="0054398A">
        <w:t xml:space="preserve">RSPs </w:t>
      </w:r>
      <w:r>
        <w:t xml:space="preserve">to provide </w:t>
      </w:r>
      <w:r w:rsidR="00653B8E">
        <w:t xml:space="preserve">alternative </w:t>
      </w:r>
      <w:r>
        <w:t xml:space="preserve">services over </w:t>
      </w:r>
      <w:r w:rsidR="00C34043">
        <w:t>the national broadband network</w:t>
      </w:r>
      <w:r w:rsidR="00653B8E">
        <w:t xml:space="preserve"> based products</w:t>
      </w:r>
      <w:r>
        <w:t xml:space="preserve"> to that type of special service. </w:t>
      </w:r>
    </w:p>
    <w:p w14:paraId="705E126E" w14:textId="29DBC186" w:rsidR="00DB6EB7" w:rsidRDefault="00C25C48" w:rsidP="009475AE">
      <w:pPr>
        <w:pStyle w:val="BodyText"/>
        <w:spacing w:line="276" w:lineRule="auto"/>
      </w:pPr>
      <w:r>
        <w:t>The ‘Disconnection D</w:t>
      </w:r>
      <w:r w:rsidR="0054398A" w:rsidRPr="0054398A">
        <w:t>ate’ for each c</w:t>
      </w:r>
      <w:r w:rsidR="0054398A">
        <w:t xml:space="preserve">lass of special service will be </w:t>
      </w:r>
      <w:r w:rsidR="00DB6EB7">
        <w:t xml:space="preserve">the date which is 36 months after the publication date of </w:t>
      </w:r>
      <w:r w:rsidR="0054398A">
        <w:t xml:space="preserve">a final </w:t>
      </w:r>
      <w:r w:rsidR="00DB6EB7">
        <w:t xml:space="preserve">white paper </w:t>
      </w:r>
      <w:r w:rsidR="0054398A">
        <w:t>in relation to that class</w:t>
      </w:r>
      <w:r w:rsidR="0054372A">
        <w:t xml:space="preserve">. </w:t>
      </w:r>
      <w:r w:rsidR="0054372A" w:rsidRPr="0054372A">
        <w:t xml:space="preserve">Telstra </w:t>
      </w:r>
      <w:r w:rsidR="0054372A">
        <w:t>also needs to agree</w:t>
      </w:r>
      <w:r w:rsidR="0054372A" w:rsidRPr="0054372A">
        <w:t xml:space="preserve"> with nbn that the additional nbn product functionality can</w:t>
      </w:r>
      <w:r w:rsidR="0054372A">
        <w:t xml:space="preserve"> be used to provide </w:t>
      </w:r>
      <w:r w:rsidR="006F069F">
        <w:t>alternate</w:t>
      </w:r>
      <w:r w:rsidR="0054372A">
        <w:t xml:space="preserve"> </w:t>
      </w:r>
      <w:r w:rsidR="0054372A" w:rsidRPr="0054372A">
        <w:t>services to those i</w:t>
      </w:r>
      <w:r w:rsidR="0054372A">
        <w:t>n the class of special services</w:t>
      </w:r>
      <w:r w:rsidR="00DB6EB7">
        <w:t xml:space="preserve">. This three-year timeframe is important, as the migration of special services is expected to be a complex process. </w:t>
      </w:r>
    </w:p>
    <w:p w14:paraId="5C11F8D0" w14:textId="4AF0BE67" w:rsidR="00B77C59" w:rsidRDefault="0076262F" w:rsidP="009475AE">
      <w:pPr>
        <w:spacing w:line="276" w:lineRule="auto"/>
      </w:pPr>
      <w:r>
        <w:t>n</w:t>
      </w:r>
      <w:r w:rsidR="00601030">
        <w:t>bn</w:t>
      </w:r>
      <w:r w:rsidR="00DB6EB7">
        <w:t xml:space="preserve"> has been developing the first white paper for a class of special services. </w:t>
      </w:r>
      <w:r>
        <w:t>n</w:t>
      </w:r>
      <w:r w:rsidR="00601030">
        <w:t>bn</w:t>
      </w:r>
      <w:r w:rsidR="00DB6EB7">
        <w:t xml:space="preserve"> is expected to publish further white papers for other classes of </w:t>
      </w:r>
      <w:r w:rsidR="0054372A" w:rsidRPr="0054372A">
        <w:t>special services in due course</w:t>
      </w:r>
      <w:r w:rsidR="00DB6EB7">
        <w:t>.</w:t>
      </w:r>
    </w:p>
    <w:p w14:paraId="2E50D10F" w14:textId="77777777" w:rsidR="00B77C59" w:rsidRDefault="00B77C59" w:rsidP="009475AE">
      <w:pPr>
        <w:pStyle w:val="Heading2"/>
        <w:spacing w:line="276" w:lineRule="auto"/>
      </w:pPr>
      <w:bookmarkStart w:id="48" w:name="_Toc406491068"/>
      <w:bookmarkStart w:id="49" w:name="_Toc406497277"/>
      <w:bookmarkStart w:id="50" w:name="_Toc422237724"/>
      <w:r>
        <w:t>Migration of non-premises</w:t>
      </w:r>
      <w:bookmarkEnd w:id="48"/>
      <w:bookmarkEnd w:id="49"/>
      <w:bookmarkEnd w:id="50"/>
    </w:p>
    <w:p w14:paraId="506AA793" w14:textId="08FEE5BA" w:rsidR="003B6814" w:rsidRDefault="00DE1FBB" w:rsidP="009475AE">
      <w:pPr>
        <w:pStyle w:val="Bodytext-Indent"/>
        <w:spacing w:line="276" w:lineRule="auto"/>
        <w:ind w:left="0"/>
      </w:pPr>
      <w:r>
        <w:t>All locations that use a copper line for comm</w:t>
      </w:r>
      <w:r w:rsidR="008E36D1">
        <w:t>unications but do not meet the ‘P</w:t>
      </w:r>
      <w:r>
        <w:t>remises</w:t>
      </w:r>
      <w:r w:rsidR="008E36D1">
        <w:t>’</w:t>
      </w:r>
      <w:r>
        <w:t xml:space="preserve"> definition set out in </w:t>
      </w:r>
      <w:r w:rsidR="0076262F">
        <w:t>n</w:t>
      </w:r>
      <w:r w:rsidR="00601030">
        <w:t>bn</w:t>
      </w:r>
      <w:r>
        <w:t>’s Wholesale Broadband Agreement</w:t>
      </w:r>
      <w:r w:rsidR="00651FA9">
        <w:t xml:space="preserve"> </w:t>
      </w:r>
      <w:r w:rsidR="00080DB3">
        <w:t>are generally considered to be non-premises</w:t>
      </w:r>
      <w:r w:rsidR="00B77C59" w:rsidRPr="00570650">
        <w:t xml:space="preserve">. </w:t>
      </w:r>
      <w:r w:rsidR="008E1BB8">
        <w:br/>
      </w:r>
      <w:r w:rsidR="00B77C59" w:rsidRPr="00570650">
        <w:t xml:space="preserve">Non-premises </w:t>
      </w:r>
      <w:r>
        <w:t>include</w:t>
      </w:r>
      <w:r w:rsidR="008E1BB8">
        <w:t>,</w:t>
      </w:r>
      <w:r>
        <w:t xml:space="preserve"> but are not limited to,</w:t>
      </w:r>
      <w:r w:rsidR="00B77C59" w:rsidRPr="00570650">
        <w:t xml:space="preserve"> traffic lights, payphones, bus stops, bridge controls, mobile phone cell towers, utilities and other infrastructure. </w:t>
      </w:r>
    </w:p>
    <w:p w14:paraId="4713CCC7" w14:textId="4E428C7D" w:rsidR="00080DB3" w:rsidRPr="0054372A" w:rsidRDefault="00080DB3" w:rsidP="009475AE">
      <w:pPr>
        <w:pStyle w:val="BodyText"/>
        <w:spacing w:line="276" w:lineRule="auto"/>
      </w:pPr>
      <w:r w:rsidRPr="0054372A">
        <w:t xml:space="preserve">At present, </w:t>
      </w:r>
      <w:r w:rsidR="0076262F" w:rsidRPr="0054372A">
        <w:t>n</w:t>
      </w:r>
      <w:r w:rsidR="00601030" w:rsidRPr="0054372A">
        <w:t>bn</w:t>
      </w:r>
      <w:r w:rsidRPr="0054372A">
        <w:t xml:space="preserve"> does not include non-premises in the F</w:t>
      </w:r>
      <w:r w:rsidR="00DB6EB7" w:rsidRPr="0054372A">
        <w:t>ixed line</w:t>
      </w:r>
      <w:r w:rsidRPr="0054372A">
        <w:t xml:space="preserve"> Footprint List</w:t>
      </w:r>
      <w:r w:rsidR="00B61527" w:rsidRPr="0054372A">
        <w:t xml:space="preserve"> and therefore these services are not subject to disconnection at this time</w:t>
      </w:r>
      <w:r w:rsidRPr="0054372A">
        <w:t xml:space="preserve">. </w:t>
      </w:r>
    </w:p>
    <w:p w14:paraId="51EC4A3B" w14:textId="42D20712" w:rsidR="00080DB3" w:rsidRPr="009C7CC0" w:rsidRDefault="003B6814" w:rsidP="009475AE">
      <w:pPr>
        <w:pStyle w:val="Bodytext-Indent"/>
        <w:spacing w:line="276" w:lineRule="auto"/>
        <w:ind w:left="0"/>
      </w:pPr>
      <w:r w:rsidRPr="0054372A">
        <w:t>T</w:t>
      </w:r>
      <w:r w:rsidR="00B77C59" w:rsidRPr="0054372A">
        <w:t xml:space="preserve">he Government (represented by the Department of Communications), </w:t>
      </w:r>
      <w:r w:rsidR="0076262F" w:rsidRPr="0054372A">
        <w:t>n</w:t>
      </w:r>
      <w:r w:rsidR="00601030" w:rsidRPr="0054372A">
        <w:t>bn</w:t>
      </w:r>
      <w:r w:rsidR="00B77C59" w:rsidRPr="0054372A">
        <w:t xml:space="preserve"> and Telstra will identify and develop a high level plan to determine the connection and migration </w:t>
      </w:r>
      <w:r w:rsidRPr="0054372A">
        <w:t>strategy for</w:t>
      </w:r>
      <w:r w:rsidR="00B77C59" w:rsidRPr="0054372A">
        <w:t xml:space="preserve"> non-</w:t>
      </w:r>
      <w:r w:rsidR="008E1BB8" w:rsidRPr="0054372A">
        <w:t>premises</w:t>
      </w:r>
      <w:r w:rsidR="00767012" w:rsidRPr="0054372A">
        <w:t xml:space="preserve"> </w:t>
      </w:r>
      <w:r w:rsidR="00B77C59" w:rsidRPr="0054372A">
        <w:t>to alternative technology solution</w:t>
      </w:r>
      <w:r w:rsidR="00767012" w:rsidRPr="0054372A">
        <w:t>s in 2015</w:t>
      </w:r>
      <w:r w:rsidR="00DA32C5" w:rsidRPr="0054372A">
        <w:t>.</w:t>
      </w:r>
      <w:r w:rsidR="00B77C59" w:rsidRPr="0054372A">
        <w:t xml:space="preserve"> </w:t>
      </w:r>
      <w:r w:rsidR="00B61527" w:rsidRPr="0054372A">
        <w:t xml:space="preserve"> </w:t>
      </w:r>
      <w:r w:rsidR="00F44D02" w:rsidRPr="0054372A">
        <w:t>Subject to that plan and industry consultation t</w:t>
      </w:r>
      <w:r w:rsidR="00B61527" w:rsidRPr="0054372A">
        <w:t>he timetable for migration and disconnection of non-premises</w:t>
      </w:r>
      <w:r w:rsidR="00F44D02" w:rsidRPr="0054372A">
        <w:t xml:space="preserve"> will be established and </w:t>
      </w:r>
      <w:r w:rsidR="0054372A" w:rsidRPr="0054372A">
        <w:t>will</w:t>
      </w:r>
      <w:r w:rsidR="00F44D02" w:rsidRPr="0054372A">
        <w:t xml:space="preserve"> commence </w:t>
      </w:r>
      <w:r w:rsidR="0054372A" w:rsidRPr="0054372A">
        <w:t>after</w:t>
      </w:r>
      <w:r w:rsidR="00F44D02" w:rsidRPr="0054372A">
        <w:t xml:space="preserve"> 2017.</w:t>
      </w:r>
    </w:p>
    <w:p w14:paraId="20ACBD5B" w14:textId="71F6E3E1" w:rsidR="00B77C59" w:rsidRDefault="00B77C59" w:rsidP="009475AE">
      <w:pPr>
        <w:pStyle w:val="Bodytext-Indent"/>
        <w:spacing w:line="276" w:lineRule="auto"/>
        <w:ind w:left="0"/>
      </w:pPr>
    </w:p>
    <w:p w14:paraId="7367749F" w14:textId="06FA6E3F" w:rsidR="001235DF" w:rsidRDefault="00663EB0" w:rsidP="009475AE">
      <w:pPr>
        <w:pStyle w:val="BodyText"/>
        <w:spacing w:line="276" w:lineRule="auto"/>
      </w:pPr>
      <w:r>
        <w:br w:type="page"/>
      </w:r>
    </w:p>
    <w:p w14:paraId="312B5D5A" w14:textId="3DF100B5" w:rsidR="00A9407C" w:rsidRDefault="00DA5BD3" w:rsidP="009475AE">
      <w:pPr>
        <w:pStyle w:val="Heading1"/>
        <w:spacing w:line="276" w:lineRule="auto"/>
      </w:pPr>
      <w:bookmarkStart w:id="51" w:name="_Toc406491069"/>
      <w:bookmarkStart w:id="52" w:name="_Toc406497278"/>
      <w:bookmarkStart w:id="53" w:name="_Toc422237725"/>
      <w:r>
        <w:t>Pillar 3</w:t>
      </w:r>
      <w:r w:rsidR="00A9407C">
        <w:t xml:space="preserve"> - End user awareness</w:t>
      </w:r>
      <w:r w:rsidR="00A1382B">
        <w:t xml:space="preserve"> and management</w:t>
      </w:r>
      <w:bookmarkEnd w:id="51"/>
      <w:bookmarkEnd w:id="52"/>
      <w:bookmarkEnd w:id="53"/>
    </w:p>
    <w:p w14:paraId="17E80D4B" w14:textId="453F5E4E" w:rsidR="00C510F2" w:rsidRDefault="00C510F2" w:rsidP="009475AE">
      <w:pPr>
        <w:spacing w:line="276" w:lineRule="auto"/>
        <w:jc w:val="both"/>
        <w:rPr>
          <w:b/>
        </w:rPr>
      </w:pPr>
      <w:r w:rsidRPr="00224556">
        <w:rPr>
          <w:b/>
        </w:rPr>
        <w:t xml:space="preserve">The third pillar in the migration process is </w:t>
      </w:r>
      <w:r w:rsidR="00A1382B" w:rsidRPr="00A1382B">
        <w:rPr>
          <w:b/>
        </w:rPr>
        <w:t xml:space="preserve">end user management </w:t>
      </w:r>
      <w:r w:rsidR="00A1382B">
        <w:rPr>
          <w:b/>
        </w:rPr>
        <w:t xml:space="preserve">and awareness </w:t>
      </w:r>
      <w:r w:rsidR="00A1382B" w:rsidRPr="00A1382B">
        <w:rPr>
          <w:b/>
        </w:rPr>
        <w:t>activities that drive early migration by end users.</w:t>
      </w:r>
      <w:r w:rsidR="00A1382B">
        <w:rPr>
          <w:b/>
        </w:rPr>
        <w:t xml:space="preserve"> </w:t>
      </w:r>
      <w:r w:rsidR="005E61C5">
        <w:rPr>
          <w:b/>
        </w:rPr>
        <w:t>End user</w:t>
      </w:r>
      <w:r w:rsidR="005E61C5" w:rsidRPr="009D6FE9">
        <w:rPr>
          <w:b/>
        </w:rPr>
        <w:t xml:space="preserve">s </w:t>
      </w:r>
      <w:r w:rsidR="009D6FE9" w:rsidRPr="009D6FE9">
        <w:rPr>
          <w:b/>
        </w:rPr>
        <w:t xml:space="preserve">impacted by </w:t>
      </w:r>
      <w:r w:rsidR="00C34043">
        <w:rPr>
          <w:b/>
        </w:rPr>
        <w:t>the national broadband network</w:t>
      </w:r>
      <w:r w:rsidR="009D6FE9" w:rsidRPr="009D6FE9">
        <w:rPr>
          <w:b/>
        </w:rPr>
        <w:t xml:space="preserve"> rollout need consistent and timely messages from all parties regarding the need to migrate</w:t>
      </w:r>
      <w:r w:rsidR="00D95F8A" w:rsidRPr="00D95F8A">
        <w:t xml:space="preserve"> </w:t>
      </w:r>
      <w:r w:rsidR="00D95F8A" w:rsidRPr="00D95F8A">
        <w:rPr>
          <w:b/>
        </w:rPr>
        <w:t>early in the migration window to promote service continuity</w:t>
      </w:r>
      <w:r w:rsidR="009D6FE9">
        <w:rPr>
          <w:b/>
        </w:rPr>
        <w:t>.</w:t>
      </w:r>
    </w:p>
    <w:p w14:paraId="534F7174" w14:textId="3F933AAE" w:rsidR="00A1382B" w:rsidRDefault="00014CCA" w:rsidP="009475AE">
      <w:pPr>
        <w:spacing w:after="240" w:line="276" w:lineRule="auto"/>
      </w:pPr>
      <w:r w:rsidRPr="00014CCA">
        <w:t xml:space="preserve">End users in </w:t>
      </w:r>
      <w:r w:rsidR="002009B5" w:rsidRPr="00014CCA">
        <w:t>a</w:t>
      </w:r>
      <w:r w:rsidRPr="00014CCA">
        <w:t xml:space="preserve"> </w:t>
      </w:r>
      <w:r w:rsidR="00F44D02">
        <w:t>national broadband</w:t>
      </w:r>
      <w:r w:rsidR="00653B8E">
        <w:t xml:space="preserve"> network</w:t>
      </w:r>
      <w:r w:rsidRPr="00014CCA">
        <w:t xml:space="preserve"> rollout region </w:t>
      </w:r>
      <w:r w:rsidR="00025256">
        <w:t xml:space="preserve">typically </w:t>
      </w:r>
      <w:r w:rsidRPr="00014CCA">
        <w:t>receive mult</w:t>
      </w:r>
      <w:r>
        <w:t xml:space="preserve">iple communications from </w:t>
      </w:r>
      <w:r w:rsidR="0076262F">
        <w:t>n</w:t>
      </w:r>
      <w:r w:rsidR="00601030">
        <w:t>bn</w:t>
      </w:r>
      <w:r>
        <w:t xml:space="preserve"> and their</w:t>
      </w:r>
      <w:r w:rsidRPr="00014CCA">
        <w:t xml:space="preserve"> </w:t>
      </w:r>
      <w:r>
        <w:t>RSP</w:t>
      </w:r>
      <w:r w:rsidR="009D6FE9">
        <w:t>,</w:t>
      </w:r>
      <w:r w:rsidRPr="00014CCA">
        <w:t xml:space="preserve"> and in some cases</w:t>
      </w:r>
      <w:r>
        <w:t xml:space="preserve"> </w:t>
      </w:r>
      <w:r w:rsidR="00073C11">
        <w:t>application service provider</w:t>
      </w:r>
      <w:r w:rsidRPr="00014CCA">
        <w:t>s</w:t>
      </w:r>
      <w:r>
        <w:t xml:space="preserve"> and other organisations</w:t>
      </w:r>
      <w:r w:rsidR="00A1382B" w:rsidRPr="00A1382B">
        <w:t>.</w:t>
      </w:r>
    </w:p>
    <w:p w14:paraId="37651F54" w14:textId="3DD04015" w:rsidR="00E552B4" w:rsidRDefault="00402F98" w:rsidP="009475AE">
      <w:pPr>
        <w:spacing w:after="240" w:line="276" w:lineRule="auto"/>
      </w:pPr>
      <w:r>
        <w:t>End users</w:t>
      </w:r>
      <w:r w:rsidR="00E552B4" w:rsidRPr="00E552B4">
        <w:t xml:space="preserve"> impacted by</w:t>
      </w:r>
      <w:r w:rsidR="00F44D02">
        <w:t xml:space="preserve"> the</w:t>
      </w:r>
      <w:r w:rsidR="00E552B4" w:rsidRPr="00E552B4">
        <w:t xml:space="preserve"> rollout require early and effective communication around the need to migrate </w:t>
      </w:r>
      <w:r w:rsidR="00C34043">
        <w:t>existing fixed line services onto the national broadband network</w:t>
      </w:r>
      <w:r w:rsidR="00E552B4" w:rsidRPr="00E552B4">
        <w:t>. Specifically</w:t>
      </w:r>
      <w:r w:rsidR="008E1BB8">
        <w:t>,</w:t>
      </w:r>
      <w:r w:rsidR="007B544C">
        <w:t xml:space="preserve"> end </w:t>
      </w:r>
      <w:r w:rsidR="00E552B4" w:rsidRPr="00E552B4">
        <w:t xml:space="preserve">users need to receive consistent, accurate and timely messages from </w:t>
      </w:r>
      <w:r w:rsidR="0076262F">
        <w:t>n</w:t>
      </w:r>
      <w:r w:rsidR="00601030">
        <w:t>bn</w:t>
      </w:r>
      <w:r w:rsidR="00E552B4" w:rsidRPr="00E552B4">
        <w:t xml:space="preserve">, their RSPs </w:t>
      </w:r>
      <w:r w:rsidR="00F44D02">
        <w:t xml:space="preserve">and </w:t>
      </w:r>
      <w:r w:rsidR="00F44D02" w:rsidRPr="00E552B4">
        <w:t xml:space="preserve">their </w:t>
      </w:r>
      <w:r w:rsidR="00F44D02">
        <w:t>application service provider</w:t>
      </w:r>
      <w:r w:rsidR="00F44D02" w:rsidRPr="00E552B4">
        <w:t xml:space="preserve">s </w:t>
      </w:r>
      <w:r w:rsidR="00E552B4" w:rsidRPr="00E552B4">
        <w:t>regarding the timing of migration and disconnection, potential impacts of migration (or choice to not migrate) on their service and equipment</w:t>
      </w:r>
      <w:r w:rsidR="008E1BB8">
        <w:t>,</w:t>
      </w:r>
      <w:r w:rsidR="00E552B4" w:rsidRPr="00E552B4">
        <w:t xml:space="preserve"> and status of their </w:t>
      </w:r>
      <w:r w:rsidR="00C34043">
        <w:t>national broadband network</w:t>
      </w:r>
      <w:r w:rsidR="00E552B4" w:rsidRPr="00E552B4">
        <w:t xml:space="preserve"> connection.</w:t>
      </w:r>
    </w:p>
    <w:p w14:paraId="07A2445F" w14:textId="4C08992D" w:rsidR="00CA6A12" w:rsidRDefault="00317F36" w:rsidP="009475AE">
      <w:pPr>
        <w:spacing w:before="0" w:line="276" w:lineRule="auto"/>
        <w:jc w:val="both"/>
      </w:pPr>
      <w:r>
        <w:t>E</w:t>
      </w:r>
      <w:r w:rsidR="00E5287E">
        <w:t xml:space="preserve">nd users </w:t>
      </w:r>
      <w:r>
        <w:t xml:space="preserve">should </w:t>
      </w:r>
      <w:r w:rsidR="00E5287E">
        <w:t xml:space="preserve">be provided with timely, consistent and reliable information from </w:t>
      </w:r>
      <w:r w:rsidR="0076262F">
        <w:t>n</w:t>
      </w:r>
      <w:r w:rsidR="00601030">
        <w:t>bn</w:t>
      </w:r>
      <w:r w:rsidR="00E5287E">
        <w:t xml:space="preserve">, RSPs, </w:t>
      </w:r>
      <w:r w:rsidR="00073C11">
        <w:t>application service provider</w:t>
      </w:r>
      <w:r w:rsidR="00E5287E">
        <w:t>s</w:t>
      </w:r>
      <w:r w:rsidR="009D6FE9">
        <w:t xml:space="preserve"> and other organisations</w:t>
      </w:r>
      <w:r w:rsidR="00E5287E">
        <w:t xml:space="preserve"> at regular intervals throughout the migration window.</w:t>
      </w:r>
      <w:r w:rsidR="00402F98">
        <w:t xml:space="preserve"> </w:t>
      </w:r>
    </w:p>
    <w:p w14:paraId="78CF0110" w14:textId="77777777" w:rsidR="00CA6A12" w:rsidRDefault="00CA6A12" w:rsidP="009475AE">
      <w:pPr>
        <w:spacing w:before="0" w:line="276" w:lineRule="auto"/>
        <w:jc w:val="both"/>
      </w:pPr>
    </w:p>
    <w:p w14:paraId="649B8B1D" w14:textId="77259B98" w:rsidR="00A1382B" w:rsidRPr="002324B2" w:rsidRDefault="00A1382B" w:rsidP="009475AE">
      <w:pPr>
        <w:spacing w:before="0" w:line="276" w:lineRule="auto"/>
        <w:jc w:val="both"/>
      </w:pPr>
      <w:r w:rsidRPr="002324B2">
        <w:t>Specific roles and responsibilities in the end user management process are as follows:</w:t>
      </w:r>
    </w:p>
    <w:p w14:paraId="78202F5B" w14:textId="77777777" w:rsidR="00A1382B" w:rsidRDefault="00A1382B" w:rsidP="009475AE">
      <w:pPr>
        <w:spacing w:before="0" w:line="276" w:lineRule="auto"/>
        <w:jc w:val="both"/>
        <w:rPr>
          <w:u w:val="single"/>
        </w:rPr>
      </w:pPr>
    </w:p>
    <w:p w14:paraId="41735455" w14:textId="23A06425" w:rsidR="002324B2" w:rsidRDefault="0076262F" w:rsidP="009475AE">
      <w:pPr>
        <w:spacing w:before="0" w:line="276" w:lineRule="auto"/>
        <w:jc w:val="both"/>
        <w:rPr>
          <w:u w:val="single"/>
        </w:rPr>
      </w:pPr>
      <w:r>
        <w:rPr>
          <w:u w:val="single"/>
        </w:rPr>
        <w:t>n</w:t>
      </w:r>
      <w:r w:rsidR="00601030">
        <w:rPr>
          <w:u w:val="single"/>
        </w:rPr>
        <w:t>bn</w:t>
      </w:r>
      <w:r w:rsidR="00A1382B">
        <w:rPr>
          <w:u w:val="single"/>
        </w:rPr>
        <w:t xml:space="preserve"> </w:t>
      </w:r>
      <w:r w:rsidR="00B35031">
        <w:rPr>
          <w:u w:val="single"/>
        </w:rPr>
        <w:t>– Public Information on Migration</w:t>
      </w:r>
    </w:p>
    <w:p w14:paraId="2151A0A4" w14:textId="18E2704B" w:rsidR="00C62349" w:rsidRPr="002324B2" w:rsidRDefault="00402F98" w:rsidP="009475AE">
      <w:pPr>
        <w:spacing w:before="0" w:line="276" w:lineRule="auto"/>
        <w:jc w:val="both"/>
        <w:rPr>
          <w:u w:val="single"/>
        </w:rPr>
      </w:pPr>
      <w:r>
        <w:t>For the duration of the rollout of</w:t>
      </w:r>
      <w:r w:rsidR="00F44D02">
        <w:t xml:space="preserve"> the</w:t>
      </w:r>
      <w:r>
        <w:t xml:space="preserve"> </w:t>
      </w:r>
      <w:r w:rsidR="00653B8E">
        <w:t>nbn</w:t>
      </w:r>
      <w:r>
        <w:t xml:space="preserve"> fixed-line </w:t>
      </w:r>
      <w:r w:rsidR="00767012">
        <w:t>network</w:t>
      </w:r>
      <w:r>
        <w:t xml:space="preserve">, </w:t>
      </w:r>
      <w:r w:rsidR="0076262F">
        <w:t>n</w:t>
      </w:r>
      <w:r w:rsidR="00601030">
        <w:t>bn</w:t>
      </w:r>
      <w:r>
        <w:t xml:space="preserve"> is required to undertake certain public information and migration activities to </w:t>
      </w:r>
      <w:r w:rsidR="00C62349" w:rsidRPr="00C62349">
        <w:t>support</w:t>
      </w:r>
      <w:r>
        <w:t xml:space="preserve"> the</w:t>
      </w:r>
      <w:r w:rsidR="00C62349" w:rsidRPr="00C62349">
        <w:t xml:space="preserve"> smooth migration to </w:t>
      </w:r>
      <w:r w:rsidR="00653B8E">
        <w:t>RSPs</w:t>
      </w:r>
      <w:r w:rsidR="0054372A">
        <w:t>’</w:t>
      </w:r>
      <w:r w:rsidR="00653B8E">
        <w:t xml:space="preserve"> n</w:t>
      </w:r>
      <w:r w:rsidR="009547EB">
        <w:t>ational broadband</w:t>
      </w:r>
      <w:r w:rsidR="00653B8E">
        <w:t xml:space="preserve"> network based services</w:t>
      </w:r>
      <w:r>
        <w:t>.</w:t>
      </w:r>
      <w:r w:rsidR="00C62349" w:rsidRPr="00C62349">
        <w:t xml:space="preserve">  </w:t>
      </w:r>
    </w:p>
    <w:p w14:paraId="538C7D02" w14:textId="396C318D" w:rsidR="00C62349" w:rsidRPr="00C62349" w:rsidRDefault="00C62349" w:rsidP="009475AE">
      <w:pPr>
        <w:spacing w:after="240" w:line="276" w:lineRule="auto"/>
      </w:pPr>
      <w:r w:rsidRPr="00C62349">
        <w:t xml:space="preserve">Communications are undertaken throughout the rollout and once an area has been declared ready for service, </w:t>
      </w:r>
      <w:r w:rsidR="0076262F">
        <w:t>n</w:t>
      </w:r>
      <w:r w:rsidR="00601030">
        <w:t>bn</w:t>
      </w:r>
      <w:r w:rsidRPr="00C62349">
        <w:t xml:space="preserve"> advises residents in that area via a series of direct mail messages that </w:t>
      </w:r>
      <w:r w:rsidR="00C34043">
        <w:t>national broadband network</w:t>
      </w:r>
      <w:r w:rsidR="00653B8E" w:rsidRPr="00C62349">
        <w:t xml:space="preserve"> </w:t>
      </w:r>
      <w:r w:rsidRPr="00C62349">
        <w:t xml:space="preserve">services are available. </w:t>
      </w:r>
      <w:r w:rsidR="0076262F">
        <w:t>n</w:t>
      </w:r>
      <w:r w:rsidR="00601030">
        <w:t>bn</w:t>
      </w:r>
      <w:r w:rsidR="00D63767" w:rsidRPr="00C62349">
        <w:t xml:space="preserve"> provides</w:t>
      </w:r>
      <w:r w:rsidRPr="00C62349">
        <w:t xml:space="preserve"> other important informat</w:t>
      </w:r>
      <w:r w:rsidR="00C34043">
        <w:t xml:space="preserve">ion about switching services to </w:t>
      </w:r>
      <w:r w:rsidR="00F44D02">
        <w:t xml:space="preserve">the </w:t>
      </w:r>
      <w:r w:rsidR="00653B8E">
        <w:t>nbn</w:t>
      </w:r>
      <w:r w:rsidRPr="00C62349">
        <w:t xml:space="preserve"> focussing on the specific actions they need to take including contacting their preferred </w:t>
      </w:r>
      <w:r w:rsidR="00947165">
        <w:t>RSP</w:t>
      </w:r>
      <w:r w:rsidRPr="00C62349">
        <w:t xml:space="preserve"> to place an order. </w:t>
      </w:r>
      <w:r w:rsidR="0076262F">
        <w:t>n</w:t>
      </w:r>
      <w:r w:rsidR="00601030">
        <w:t>bn</w:t>
      </w:r>
      <w:r w:rsidRPr="00C62349">
        <w:t xml:space="preserve"> </w:t>
      </w:r>
      <w:r w:rsidR="00402F98">
        <w:t xml:space="preserve">aims to </w:t>
      </w:r>
      <w:r w:rsidRPr="00C62349">
        <w:t xml:space="preserve">provide consistent messaging to RSPs and other industry participants for their use to improve </w:t>
      </w:r>
      <w:r w:rsidR="00285437">
        <w:t>end user</w:t>
      </w:r>
      <w:r w:rsidR="00285437" w:rsidRPr="00C62349">
        <w:t xml:space="preserve"> </w:t>
      </w:r>
      <w:r w:rsidRPr="00C62349">
        <w:t xml:space="preserve">understanding. </w:t>
      </w:r>
      <w:r w:rsidR="0076262F">
        <w:t>n</w:t>
      </w:r>
      <w:r w:rsidR="00601030">
        <w:t>bn</w:t>
      </w:r>
      <w:r w:rsidRPr="00C62349">
        <w:t xml:space="preserve"> also undertakes local area marketing activities and engages with local communities via their council, business and community organisations</w:t>
      </w:r>
      <w:r w:rsidR="00402F98">
        <w:t>.</w:t>
      </w:r>
      <w:r w:rsidRPr="00C62349">
        <w:t xml:space="preserve"> </w:t>
      </w:r>
    </w:p>
    <w:p w14:paraId="52E8EAB4" w14:textId="46FBCA3B" w:rsidR="00A92781" w:rsidRPr="00C62349" w:rsidRDefault="00A92781" w:rsidP="009475AE">
      <w:pPr>
        <w:spacing w:line="276" w:lineRule="auto"/>
        <w:rPr>
          <w:b/>
        </w:rPr>
      </w:pPr>
      <w:r>
        <w:t xml:space="preserve">The key focus of </w:t>
      </w:r>
      <w:r w:rsidR="00F44D02">
        <w:t xml:space="preserve">the </w:t>
      </w:r>
      <w:r w:rsidR="00776E1F">
        <w:t>Public Information on Migration</w:t>
      </w:r>
      <w:r>
        <w:t xml:space="preserve"> </w:t>
      </w:r>
      <w:r w:rsidR="00402F98">
        <w:t xml:space="preserve">activities </w:t>
      </w:r>
      <w:r>
        <w:t xml:space="preserve">is to ensure that </w:t>
      </w:r>
      <w:r w:rsidR="00402F98">
        <w:t xml:space="preserve">to the </w:t>
      </w:r>
      <w:r w:rsidR="00080DB3">
        <w:t xml:space="preserve">maximum </w:t>
      </w:r>
      <w:r w:rsidR="00402F98">
        <w:t xml:space="preserve">extent </w:t>
      </w:r>
      <w:r w:rsidR="00080DB3">
        <w:t xml:space="preserve">practicable </w:t>
      </w:r>
      <w:r w:rsidR="00402F98">
        <w:t xml:space="preserve">all </w:t>
      </w:r>
      <w:r>
        <w:t>end</w:t>
      </w:r>
      <w:r w:rsidR="00ED2432">
        <w:t xml:space="preserve"> </w:t>
      </w:r>
      <w:r>
        <w:t xml:space="preserve">users </w:t>
      </w:r>
      <w:r w:rsidR="00402F98">
        <w:t xml:space="preserve">who have a service to be migrated </w:t>
      </w:r>
      <w:r w:rsidR="00653B8E">
        <w:t>off the copper network and onto</w:t>
      </w:r>
      <w:r w:rsidR="00F44D02">
        <w:t xml:space="preserve"> the</w:t>
      </w:r>
      <w:r w:rsidR="00653B8E">
        <w:t xml:space="preserve"> nbn</w:t>
      </w:r>
      <w:r w:rsidR="00F44D02">
        <w:t xml:space="preserve"> </w:t>
      </w:r>
      <w:r>
        <w:t xml:space="preserve">receive advance notice of the planned migration and are familiar with the actions required to be taken to switch to </w:t>
      </w:r>
      <w:r w:rsidR="00F44D02">
        <w:t xml:space="preserve">the </w:t>
      </w:r>
      <w:r w:rsidR="00C406C9">
        <w:t>nbn</w:t>
      </w:r>
      <w:r>
        <w:t xml:space="preserve">. Households and businesses receive information from </w:t>
      </w:r>
      <w:r w:rsidR="0076262F">
        <w:t>n</w:t>
      </w:r>
      <w:r w:rsidR="00601030">
        <w:t>bn</w:t>
      </w:r>
      <w:r>
        <w:t xml:space="preserve"> concerning: </w:t>
      </w:r>
    </w:p>
    <w:p w14:paraId="52EA3C84" w14:textId="697BF15B" w:rsidR="00402F98" w:rsidRPr="00402F98" w:rsidRDefault="00C34043" w:rsidP="009475AE">
      <w:pPr>
        <w:numPr>
          <w:ilvl w:val="0"/>
          <w:numId w:val="38"/>
        </w:numPr>
        <w:spacing w:before="0" w:line="276" w:lineRule="auto"/>
      </w:pPr>
      <w:r>
        <w:t>the national broadband network roll</w:t>
      </w:r>
      <w:r w:rsidR="00402F98" w:rsidRPr="00402F98">
        <w:t xml:space="preserve"> out in their area</w:t>
      </w:r>
    </w:p>
    <w:p w14:paraId="7F2085B1" w14:textId="0808E9DD" w:rsidR="00402F98" w:rsidRPr="00402F98" w:rsidRDefault="00402F98" w:rsidP="009475AE">
      <w:pPr>
        <w:numPr>
          <w:ilvl w:val="0"/>
          <w:numId w:val="38"/>
        </w:numPr>
        <w:spacing w:before="0" w:line="276" w:lineRule="auto"/>
      </w:pPr>
      <w:r>
        <w:t>t</w:t>
      </w:r>
      <w:r w:rsidRPr="00402F98">
        <w:t>he timeframe for activities</w:t>
      </w:r>
    </w:p>
    <w:p w14:paraId="1DB5CD2A" w14:textId="5F08282D" w:rsidR="00402F98" w:rsidRPr="00402F98" w:rsidRDefault="00402F98" w:rsidP="009475AE">
      <w:pPr>
        <w:numPr>
          <w:ilvl w:val="0"/>
          <w:numId w:val="38"/>
        </w:numPr>
        <w:spacing w:before="0" w:line="276" w:lineRule="auto"/>
      </w:pPr>
      <w:r>
        <w:t>t</w:t>
      </w:r>
      <w:r w:rsidRPr="00402F98">
        <w:t xml:space="preserve">he actions the end user needs to take to continue to receive </w:t>
      </w:r>
      <w:r w:rsidR="00347621">
        <w:t xml:space="preserve">fixed line </w:t>
      </w:r>
      <w:r w:rsidRPr="00402F98">
        <w:t>services</w:t>
      </w:r>
    </w:p>
    <w:p w14:paraId="628C9375" w14:textId="02813361" w:rsidR="00402F98" w:rsidRPr="00402F98" w:rsidRDefault="00402F98" w:rsidP="009475AE">
      <w:pPr>
        <w:numPr>
          <w:ilvl w:val="0"/>
          <w:numId w:val="38"/>
        </w:numPr>
        <w:spacing w:before="0" w:line="276" w:lineRule="auto"/>
      </w:pPr>
      <w:r>
        <w:t>t</w:t>
      </w:r>
      <w:r w:rsidRPr="00402F98">
        <w:t xml:space="preserve">he consequences for existing </w:t>
      </w:r>
      <w:r w:rsidR="008E1BB8">
        <w:t xml:space="preserve">end </w:t>
      </w:r>
      <w:r w:rsidRPr="00402F98">
        <w:t xml:space="preserve">users if they do not take action before </w:t>
      </w:r>
      <w:r w:rsidR="00347DDB">
        <w:t xml:space="preserve">the </w:t>
      </w:r>
      <w:r w:rsidR="008E1BB8">
        <w:t>D</w:t>
      </w:r>
      <w:r w:rsidRPr="00402F98">
        <w:t>isconnection</w:t>
      </w:r>
      <w:r w:rsidR="008E1BB8">
        <w:t xml:space="preserve"> D</w:t>
      </w:r>
      <w:r w:rsidR="00347DDB">
        <w:t>ate</w:t>
      </w:r>
      <w:r w:rsidR="00CA6A12" w:rsidRPr="00CA6A12">
        <w:t>, including the potential for existing over the top services to be disconnected or no longer operate</w:t>
      </w:r>
      <w:r w:rsidR="00AA0443">
        <w:t>.</w:t>
      </w:r>
    </w:p>
    <w:p w14:paraId="2F9B67E0" w14:textId="77777777" w:rsidR="002009B5" w:rsidRDefault="002009B5">
      <w:pPr>
        <w:spacing w:after="120"/>
        <w:ind w:left="1021" w:hanging="1021"/>
      </w:pPr>
      <w:r>
        <w:br w:type="page"/>
      </w:r>
    </w:p>
    <w:p w14:paraId="18D84F86" w14:textId="4008E08D" w:rsidR="00F44D02" w:rsidRDefault="00A92781" w:rsidP="009475AE">
      <w:pPr>
        <w:spacing w:after="240" w:line="276" w:lineRule="auto"/>
      </w:pPr>
      <w:r>
        <w:t>As a</w:t>
      </w:r>
      <w:r w:rsidRPr="00A92781">
        <w:t xml:space="preserve"> range of groups have a stake in the successful migration of </w:t>
      </w:r>
      <w:r w:rsidR="00285437">
        <w:t>end user</w:t>
      </w:r>
      <w:r w:rsidR="00285437" w:rsidRPr="00A92781">
        <w:t xml:space="preserve">s </w:t>
      </w:r>
      <w:r w:rsidRPr="00A92781">
        <w:t xml:space="preserve">to </w:t>
      </w:r>
      <w:r w:rsidR="00F44D02">
        <w:t xml:space="preserve">the </w:t>
      </w:r>
      <w:r w:rsidR="00C406C9">
        <w:t>nbn</w:t>
      </w:r>
      <w:r>
        <w:t xml:space="preserve">, </w:t>
      </w:r>
      <w:r w:rsidRPr="00A92781">
        <w:t>P</w:t>
      </w:r>
      <w:r w:rsidR="00776E1F">
        <w:t>ublic Information on Migration</w:t>
      </w:r>
      <w:r w:rsidRPr="00A92781">
        <w:t xml:space="preserve"> </w:t>
      </w:r>
      <w:r w:rsidR="00402F98">
        <w:t>activities are</w:t>
      </w:r>
      <w:r w:rsidR="00402F98" w:rsidRPr="00A92781">
        <w:t xml:space="preserve"> </w:t>
      </w:r>
      <w:r w:rsidR="00C62349" w:rsidRPr="00C62349">
        <w:t xml:space="preserve">developed and </w:t>
      </w:r>
      <w:r w:rsidR="00405B07">
        <w:t>conducted</w:t>
      </w:r>
      <w:r w:rsidRPr="00A92781">
        <w:t xml:space="preserve"> by </w:t>
      </w:r>
      <w:r w:rsidR="0076262F">
        <w:t>n</w:t>
      </w:r>
      <w:r w:rsidR="00601030">
        <w:t>bn</w:t>
      </w:r>
      <w:r w:rsidRPr="00A92781">
        <w:t xml:space="preserve"> in consultation with the </w:t>
      </w:r>
      <w:r w:rsidR="00215AF7">
        <w:t>G</w:t>
      </w:r>
      <w:r w:rsidR="00C62349" w:rsidRPr="00C62349">
        <w:t>overnment</w:t>
      </w:r>
      <w:r w:rsidR="00080DB3">
        <w:t xml:space="preserve"> and </w:t>
      </w:r>
      <w:r w:rsidRPr="00A92781">
        <w:t>Telstra (as the existing infrastructure provider)</w:t>
      </w:r>
      <w:r w:rsidR="00080DB3">
        <w:t xml:space="preserve">, with </w:t>
      </w:r>
      <w:r w:rsidR="00080DB3" w:rsidRPr="00751D8F">
        <w:rPr>
          <w:spacing w:val="3"/>
        </w:rPr>
        <w:t>regular forums</w:t>
      </w:r>
      <w:r w:rsidR="00080DB3">
        <w:rPr>
          <w:spacing w:val="3"/>
        </w:rPr>
        <w:t xml:space="preserve"> with the wider industry</w:t>
      </w:r>
      <w:r w:rsidR="00080DB3" w:rsidRPr="00751D8F">
        <w:rPr>
          <w:spacing w:val="3"/>
        </w:rPr>
        <w:t xml:space="preserve"> to seek input as part of a continuous improvement process</w:t>
      </w:r>
      <w:r w:rsidRPr="00A92781">
        <w:t>.</w:t>
      </w:r>
      <w:r w:rsidR="00405B07">
        <w:t xml:space="preserve"> </w:t>
      </w:r>
    </w:p>
    <w:p w14:paraId="55730369" w14:textId="7CFEEF38" w:rsidR="00CA6A12" w:rsidRDefault="00405B07" w:rsidP="009475AE">
      <w:pPr>
        <w:spacing w:after="240" w:line="276" w:lineRule="auto"/>
        <w:rPr>
          <w:u w:val="single"/>
        </w:rPr>
      </w:pPr>
      <w:r>
        <w:t>The P</w:t>
      </w:r>
      <w:r w:rsidR="00073C11">
        <w:t>ublic Information on Migration</w:t>
      </w:r>
      <w:r>
        <w:t xml:space="preserve"> Governance Framework allows community, industry and government groups the opportunity to provide feedback on </w:t>
      </w:r>
      <w:r w:rsidR="00402F98">
        <w:t>P</w:t>
      </w:r>
      <w:r w:rsidR="00776E1F">
        <w:t>ublic Information on Migration</w:t>
      </w:r>
      <w:r w:rsidR="00402F98">
        <w:t xml:space="preserve"> activities.</w:t>
      </w:r>
    </w:p>
    <w:p w14:paraId="34670ACA" w14:textId="3856C257" w:rsidR="008E36D1" w:rsidRPr="00CA6A12" w:rsidRDefault="00A1382B" w:rsidP="009475AE">
      <w:pPr>
        <w:spacing w:before="0" w:line="276" w:lineRule="auto"/>
      </w:pPr>
      <w:r w:rsidRPr="008D2930">
        <w:rPr>
          <w:u w:val="single"/>
        </w:rPr>
        <w:t>RSPs</w:t>
      </w:r>
    </w:p>
    <w:p w14:paraId="324A140B" w14:textId="4BBE39B9" w:rsidR="00082033" w:rsidRDefault="00D95F8A" w:rsidP="00C34043">
      <w:pPr>
        <w:pStyle w:val="BodyText"/>
        <w:spacing w:before="0" w:after="0" w:line="276" w:lineRule="auto"/>
      </w:pPr>
      <w:r w:rsidRPr="00D95F8A">
        <w:t xml:space="preserve">The </w:t>
      </w:r>
      <w:r w:rsidR="00082033">
        <w:t>r</w:t>
      </w:r>
      <w:r w:rsidRPr="00D95F8A">
        <w:t xml:space="preserve">ole of RSPs: </w:t>
      </w:r>
    </w:p>
    <w:p w14:paraId="578A2054" w14:textId="5EEFC110" w:rsidR="00A1382B" w:rsidRDefault="00A1382B" w:rsidP="009475AE">
      <w:pPr>
        <w:pStyle w:val="BodyText"/>
        <w:numPr>
          <w:ilvl w:val="0"/>
          <w:numId w:val="40"/>
        </w:numPr>
        <w:spacing w:before="0" w:after="0" w:line="276" w:lineRule="auto"/>
      </w:pPr>
      <w:r>
        <w:t xml:space="preserve">informing their </w:t>
      </w:r>
      <w:r w:rsidR="005E61C5">
        <w:t xml:space="preserve">end users </w:t>
      </w:r>
      <w:r>
        <w:t xml:space="preserve">of the impact, or likely impact, of </w:t>
      </w:r>
      <w:r w:rsidR="00C406C9">
        <w:t>the m</w:t>
      </w:r>
      <w:r>
        <w:t>igration and copper disconnection on their products and services</w:t>
      </w:r>
    </w:p>
    <w:p w14:paraId="69070AF5" w14:textId="40D28841" w:rsidR="00A1382B" w:rsidRDefault="008A6C4C" w:rsidP="009475AE">
      <w:pPr>
        <w:pStyle w:val="BodyText"/>
        <w:numPr>
          <w:ilvl w:val="0"/>
          <w:numId w:val="40"/>
        </w:numPr>
        <w:spacing w:before="0" w:after="0" w:line="276" w:lineRule="auto"/>
      </w:pPr>
      <w:r>
        <w:t xml:space="preserve">informing </w:t>
      </w:r>
      <w:r w:rsidR="00A1382B">
        <w:t xml:space="preserve">their </w:t>
      </w:r>
      <w:r w:rsidR="005E61C5">
        <w:t xml:space="preserve">end users </w:t>
      </w:r>
      <w:r w:rsidR="00A1382B">
        <w:t xml:space="preserve">of available product options as an alternative to the telecommunications services being disconnected </w:t>
      </w:r>
    </w:p>
    <w:p w14:paraId="4E3C4E0B" w14:textId="17C426A3" w:rsidR="00A1382B" w:rsidRDefault="00A1382B" w:rsidP="009475AE">
      <w:pPr>
        <w:pStyle w:val="BodyText"/>
        <w:numPr>
          <w:ilvl w:val="0"/>
          <w:numId w:val="40"/>
        </w:numPr>
        <w:spacing w:before="0" w:after="0" w:line="276" w:lineRule="auto"/>
      </w:pPr>
      <w:r>
        <w:t xml:space="preserve">migrating </w:t>
      </w:r>
      <w:r w:rsidR="005E61C5">
        <w:t xml:space="preserve">end users </w:t>
      </w:r>
      <w:r>
        <w:t xml:space="preserve">to a </w:t>
      </w:r>
      <w:r w:rsidR="008A6C4C">
        <w:t xml:space="preserve">telecommunications </w:t>
      </w:r>
      <w:r>
        <w:t xml:space="preserve">product alternative as agreed with the </w:t>
      </w:r>
      <w:r w:rsidR="005E61C5">
        <w:t>end user</w:t>
      </w:r>
    </w:p>
    <w:p w14:paraId="0ED11A08" w14:textId="6E94FA0E" w:rsidR="00F44D02" w:rsidRPr="0054372A" w:rsidRDefault="0054372A" w:rsidP="0054372A">
      <w:pPr>
        <w:pStyle w:val="BodyText"/>
        <w:numPr>
          <w:ilvl w:val="0"/>
          <w:numId w:val="40"/>
        </w:numPr>
        <w:spacing w:before="0" w:after="120" w:line="276" w:lineRule="auto"/>
      </w:pPr>
      <w:r w:rsidRPr="0054372A">
        <w:t xml:space="preserve">If required to support the services provided, undertaking/advising the customer to arrange with their RSP, or third party (including ASP) any installation or upgrading of wiring or end user premises equipment associated with migration of their own end users (or end users’ premises). </w:t>
      </w:r>
      <w:r w:rsidR="00F44D02" w:rsidRPr="0054372A">
        <w:t xml:space="preserve"> </w:t>
      </w:r>
    </w:p>
    <w:p w14:paraId="20CECB50" w14:textId="5A36089D" w:rsidR="008E36D1" w:rsidRDefault="00A1382B" w:rsidP="009475AE">
      <w:pPr>
        <w:pStyle w:val="BodyText"/>
        <w:spacing w:after="0" w:line="276" w:lineRule="auto"/>
        <w:rPr>
          <w:u w:val="single"/>
        </w:rPr>
      </w:pPr>
      <w:r w:rsidRPr="008D2930">
        <w:rPr>
          <w:u w:val="single"/>
        </w:rPr>
        <w:t>A</w:t>
      </w:r>
      <w:r w:rsidR="00776E1F">
        <w:rPr>
          <w:u w:val="single"/>
        </w:rPr>
        <w:t xml:space="preserve">pplication </w:t>
      </w:r>
      <w:r w:rsidR="00D94786">
        <w:rPr>
          <w:u w:val="single"/>
        </w:rPr>
        <w:t>s</w:t>
      </w:r>
      <w:r w:rsidR="00776E1F">
        <w:rPr>
          <w:u w:val="single"/>
        </w:rPr>
        <w:t xml:space="preserve">ervice </w:t>
      </w:r>
      <w:r w:rsidR="00D94786">
        <w:rPr>
          <w:u w:val="single"/>
        </w:rPr>
        <w:t>p</w:t>
      </w:r>
      <w:r w:rsidR="00776E1F">
        <w:rPr>
          <w:u w:val="single"/>
        </w:rPr>
        <w:t>roviders</w:t>
      </w:r>
    </w:p>
    <w:p w14:paraId="1A3B94EE" w14:textId="53243C92" w:rsidR="008E36D1" w:rsidRPr="008E36D1" w:rsidRDefault="00D95F8A" w:rsidP="009475AE">
      <w:pPr>
        <w:pStyle w:val="BodyText"/>
        <w:spacing w:before="0" w:after="0" w:line="276" w:lineRule="auto"/>
      </w:pPr>
      <w:r w:rsidRPr="00D95F8A">
        <w:t xml:space="preserve">The </w:t>
      </w:r>
      <w:r w:rsidR="00082033">
        <w:t>r</w:t>
      </w:r>
      <w:r w:rsidRPr="00D95F8A">
        <w:t xml:space="preserve">ole of </w:t>
      </w:r>
      <w:r w:rsidR="00082033">
        <w:t>a</w:t>
      </w:r>
      <w:r w:rsidRPr="00D95F8A">
        <w:t>pplication service providers:</w:t>
      </w:r>
    </w:p>
    <w:p w14:paraId="1A50B36D" w14:textId="0EAF7341" w:rsidR="00A1382B" w:rsidRDefault="00A1382B" w:rsidP="009475AE">
      <w:pPr>
        <w:pStyle w:val="BodyText"/>
        <w:numPr>
          <w:ilvl w:val="0"/>
          <w:numId w:val="41"/>
        </w:numPr>
        <w:spacing w:before="0" w:after="0" w:line="276" w:lineRule="auto"/>
      </w:pPr>
      <w:r>
        <w:t xml:space="preserve">informing their own </w:t>
      </w:r>
      <w:r w:rsidR="005E61C5">
        <w:t xml:space="preserve">end users </w:t>
      </w:r>
      <w:r>
        <w:t xml:space="preserve">about the impact, or likely impact, of migration on their services </w:t>
      </w:r>
      <w:r w:rsidR="008A6C4C">
        <w:t xml:space="preserve">(such as alarms) </w:t>
      </w:r>
    </w:p>
    <w:p w14:paraId="25001BFD" w14:textId="30349EC8" w:rsidR="00A1382B" w:rsidRDefault="008E1BB8" w:rsidP="00D95F8A">
      <w:pPr>
        <w:pStyle w:val="BodyText"/>
        <w:numPr>
          <w:ilvl w:val="0"/>
          <w:numId w:val="41"/>
        </w:numPr>
        <w:spacing w:before="0" w:after="0" w:line="276" w:lineRule="auto"/>
      </w:pPr>
      <w:r>
        <w:t>safely migrating</w:t>
      </w:r>
      <w:r w:rsidR="00A1382B" w:rsidRPr="00007FFE">
        <w:t xml:space="preserve"> and providing contin</w:t>
      </w:r>
      <w:r>
        <w:t>uity of service for</w:t>
      </w:r>
      <w:r w:rsidR="00A1382B">
        <w:t xml:space="preserve"> their own </w:t>
      </w:r>
      <w:r w:rsidR="005E61C5">
        <w:t>end user</w:t>
      </w:r>
      <w:r w:rsidR="005E61C5" w:rsidRPr="00007FFE">
        <w:t xml:space="preserve"> </w:t>
      </w:r>
      <w:r w:rsidR="00A1382B" w:rsidRPr="00007FFE">
        <w:t>servi</w:t>
      </w:r>
      <w:r w:rsidR="00D95F8A">
        <w:t>ces</w:t>
      </w:r>
      <w:r w:rsidR="00D95F8A" w:rsidRPr="00D95F8A">
        <w:t xml:space="preserve">, preferably early in </w:t>
      </w:r>
      <w:r w:rsidR="00A1382B">
        <w:t>the migration window</w:t>
      </w:r>
    </w:p>
    <w:p w14:paraId="248F8A9A" w14:textId="77777777" w:rsidR="00402F98" w:rsidRDefault="00402F98" w:rsidP="009475AE">
      <w:pPr>
        <w:pStyle w:val="BodyText"/>
        <w:numPr>
          <w:ilvl w:val="0"/>
          <w:numId w:val="41"/>
        </w:numPr>
        <w:spacing w:before="0" w:after="0" w:line="276" w:lineRule="auto"/>
      </w:pPr>
      <w:r>
        <w:t>any installation or upgrading of wiring or customer premises equipment associated with migration of their own customers (or customer premises)</w:t>
      </w:r>
    </w:p>
    <w:p w14:paraId="2793DA15" w14:textId="58CE0CDF" w:rsidR="00DE1FBB" w:rsidRPr="00DE1FBB" w:rsidRDefault="00A1382B" w:rsidP="009475AE">
      <w:pPr>
        <w:pStyle w:val="BodyText"/>
        <w:numPr>
          <w:ilvl w:val="0"/>
          <w:numId w:val="41"/>
        </w:numPr>
        <w:spacing w:before="0" w:after="0" w:line="276" w:lineRule="auto"/>
      </w:pPr>
      <w:r>
        <w:t xml:space="preserve">any billing, account management or other customer relationship issues associated with their own </w:t>
      </w:r>
      <w:r w:rsidR="005E61C5">
        <w:t>end users</w:t>
      </w:r>
      <w:r>
        <w:t>.</w:t>
      </w:r>
    </w:p>
    <w:p w14:paraId="52688490" w14:textId="4EE5E771" w:rsidR="008E36D1" w:rsidRDefault="00A1382B" w:rsidP="009475AE">
      <w:pPr>
        <w:pStyle w:val="BodyText"/>
        <w:spacing w:after="0" w:line="276" w:lineRule="auto"/>
        <w:rPr>
          <w:u w:val="single"/>
        </w:rPr>
      </w:pPr>
      <w:r w:rsidRPr="008D2930">
        <w:rPr>
          <w:u w:val="single"/>
        </w:rPr>
        <w:t xml:space="preserve">End users </w:t>
      </w:r>
    </w:p>
    <w:p w14:paraId="266D6C71" w14:textId="05E72756" w:rsidR="008E36D1" w:rsidRPr="008E36D1" w:rsidRDefault="00D95F8A" w:rsidP="009475AE">
      <w:pPr>
        <w:pStyle w:val="BodyText"/>
        <w:spacing w:before="0" w:after="0" w:line="276" w:lineRule="auto"/>
      </w:pPr>
      <w:r w:rsidRPr="00D95F8A">
        <w:t xml:space="preserve">The </w:t>
      </w:r>
      <w:r w:rsidR="00082033">
        <w:t>r</w:t>
      </w:r>
      <w:r w:rsidRPr="00D95F8A">
        <w:t xml:space="preserve">ole of </w:t>
      </w:r>
      <w:r w:rsidR="00082033">
        <w:t>e</w:t>
      </w:r>
      <w:r w:rsidRPr="00D95F8A">
        <w:t>nd users:</w:t>
      </w:r>
    </w:p>
    <w:p w14:paraId="4BCB3436" w14:textId="056F886C" w:rsidR="00A1382B" w:rsidRDefault="00A1382B" w:rsidP="009475AE">
      <w:pPr>
        <w:pStyle w:val="BodyText"/>
        <w:numPr>
          <w:ilvl w:val="0"/>
          <w:numId w:val="42"/>
        </w:numPr>
        <w:spacing w:before="0" w:after="0" w:line="276" w:lineRule="auto"/>
      </w:pPr>
      <w:r>
        <w:t>reviewing communications and taking the necessary steps to migrate as early as possible</w:t>
      </w:r>
      <w:r w:rsidR="00A03D57">
        <w:t>, including placing an</w:t>
      </w:r>
      <w:r w:rsidR="00AA0443">
        <w:t xml:space="preserve"> order with their preferred RSP</w:t>
      </w:r>
    </w:p>
    <w:p w14:paraId="4D9ED6E1" w14:textId="045B7BB8" w:rsidR="00A1382B" w:rsidRDefault="00A03D57" w:rsidP="009475AE">
      <w:pPr>
        <w:pStyle w:val="BodyText"/>
        <w:numPr>
          <w:ilvl w:val="0"/>
          <w:numId w:val="42"/>
        </w:numPr>
        <w:spacing w:before="0" w:after="0" w:line="276" w:lineRule="auto"/>
      </w:pPr>
      <w:r>
        <w:t>if they have a service such as a security or medical alarm, notifying their application service provider</w:t>
      </w:r>
      <w:r w:rsidR="00A1382B">
        <w:t xml:space="preserve"> that they are in </w:t>
      </w:r>
      <w:r>
        <w:t>a</w:t>
      </w:r>
      <w:r w:rsidR="00C406C9">
        <w:t xml:space="preserve">n nbn </w:t>
      </w:r>
      <w:r>
        <w:t>ready for service region and working with their application service provider to migrate the service off t</w:t>
      </w:r>
      <w:r w:rsidR="007B544C">
        <w:t>he copper network ahead of the D</w:t>
      </w:r>
      <w:r>
        <w:t>isconnect</w:t>
      </w:r>
      <w:r w:rsidR="007B544C">
        <w:t>ion D</w:t>
      </w:r>
      <w:r>
        <w:t>ate</w:t>
      </w:r>
    </w:p>
    <w:p w14:paraId="67FC0C72" w14:textId="3B310914" w:rsidR="00863A33" w:rsidRDefault="00863A33" w:rsidP="009475AE">
      <w:pPr>
        <w:pStyle w:val="BodyText"/>
        <w:numPr>
          <w:ilvl w:val="0"/>
          <w:numId w:val="42"/>
        </w:numPr>
        <w:spacing w:before="0" w:after="0" w:line="276" w:lineRule="auto"/>
      </w:pPr>
      <w:r>
        <w:t xml:space="preserve">if they have a medical alarm, registering their details on </w:t>
      </w:r>
      <w:r w:rsidR="008207A8">
        <w:t>n</w:t>
      </w:r>
      <w:r w:rsidR="00601030">
        <w:t>bn</w:t>
      </w:r>
      <w:r w:rsidR="00C406C9">
        <w:t>’s</w:t>
      </w:r>
      <w:r>
        <w:t xml:space="preserve"> </w:t>
      </w:r>
      <w:r w:rsidR="00082033">
        <w:t>M</w:t>
      </w:r>
      <w:r>
        <w:t xml:space="preserve">edical </w:t>
      </w:r>
      <w:r w:rsidR="00082033">
        <w:t>A</w:t>
      </w:r>
      <w:r>
        <w:t xml:space="preserve">larm </w:t>
      </w:r>
      <w:r w:rsidR="00082033">
        <w:t>R</w:t>
      </w:r>
      <w:r>
        <w:t xml:space="preserve">egister, </w:t>
      </w:r>
      <w:r w:rsidR="00030571">
        <w:t>including monitored and</w:t>
      </w:r>
      <w:r>
        <w:t xml:space="preserve"> non-monitored medical alarm</w:t>
      </w:r>
      <w:r w:rsidR="00030571">
        <w:t>s</w:t>
      </w:r>
    </w:p>
    <w:p w14:paraId="61461F6B" w14:textId="35B1B5E6" w:rsidR="00D95F8A" w:rsidRDefault="00D95F8A" w:rsidP="00D95F8A">
      <w:pPr>
        <w:pStyle w:val="BodyText"/>
        <w:numPr>
          <w:ilvl w:val="0"/>
          <w:numId w:val="42"/>
        </w:numPr>
        <w:spacing w:before="0" w:after="0" w:line="276" w:lineRule="auto"/>
      </w:pPr>
      <w:r>
        <w:t>i</w:t>
      </w:r>
      <w:r w:rsidRPr="00D95F8A">
        <w:t>f they have a fire alarm or lift phone, registering the details of that service on nbn</w:t>
      </w:r>
      <w:r w:rsidR="00C406C9">
        <w:t>’s</w:t>
      </w:r>
      <w:r w:rsidRPr="00D95F8A">
        <w:t xml:space="preserve"> Fire Alarm </w:t>
      </w:r>
      <w:r w:rsidR="00C406C9">
        <w:t>and</w:t>
      </w:r>
      <w:r w:rsidRPr="00D95F8A">
        <w:t xml:space="preserve"> Lift Phone Register</w:t>
      </w:r>
      <w:r>
        <w:t>.</w:t>
      </w:r>
    </w:p>
    <w:p w14:paraId="39C554A5" w14:textId="16B98BCB" w:rsidR="00A03D57" w:rsidRDefault="0067332F" w:rsidP="009475AE">
      <w:pPr>
        <w:pStyle w:val="BodyText"/>
        <w:spacing w:line="276" w:lineRule="auto"/>
      </w:pPr>
      <w:r w:rsidRPr="00005AEB">
        <w:t xml:space="preserve">Further information regarding the </w:t>
      </w:r>
      <w:r>
        <w:t>communication</w:t>
      </w:r>
      <w:r w:rsidRPr="00005AEB">
        <w:t xml:space="preserve"> </w:t>
      </w:r>
      <w:r>
        <w:t xml:space="preserve">and </w:t>
      </w:r>
      <w:r w:rsidR="005E61C5">
        <w:t xml:space="preserve">end user </w:t>
      </w:r>
      <w:r>
        <w:t>management</w:t>
      </w:r>
      <w:r w:rsidRPr="00005AEB">
        <w:t xml:space="preserve"> </w:t>
      </w:r>
      <w:r w:rsidR="00D95F8A">
        <w:t>roles</w:t>
      </w:r>
      <w:r w:rsidR="00D95F8A" w:rsidRPr="00005AEB">
        <w:t xml:space="preserve"> </w:t>
      </w:r>
      <w:r w:rsidRPr="00005AEB">
        <w:t xml:space="preserve">of </w:t>
      </w:r>
      <w:r w:rsidR="008207A8">
        <w:t>n</w:t>
      </w:r>
      <w:r w:rsidR="00601030">
        <w:t>bn</w:t>
      </w:r>
      <w:r w:rsidRPr="00005AEB">
        <w:t xml:space="preserve">, </w:t>
      </w:r>
      <w:r w:rsidR="00347DDB" w:rsidRPr="00347DDB">
        <w:t>application service providers</w:t>
      </w:r>
      <w:r w:rsidRPr="00005AEB">
        <w:t xml:space="preserve"> and RSPs can be found in the Communications Alliance </w:t>
      </w:r>
      <w:r w:rsidRPr="005F2431">
        <w:rPr>
          <w:i/>
        </w:rPr>
        <w:t>NBN Migration Management Industry Guideline</w:t>
      </w:r>
      <w:r w:rsidRPr="00005AEB">
        <w:t>.</w:t>
      </w:r>
    </w:p>
    <w:p w14:paraId="1167881A" w14:textId="77777777" w:rsidR="00910887" w:rsidRPr="00A03D57" w:rsidRDefault="00910887" w:rsidP="009475AE">
      <w:pPr>
        <w:pStyle w:val="BodyText"/>
        <w:spacing w:line="276" w:lineRule="auto"/>
      </w:pPr>
    </w:p>
    <w:p w14:paraId="7F067858" w14:textId="732BE48E" w:rsidR="001B6C64" w:rsidRPr="00D355D4" w:rsidRDefault="001B6C64" w:rsidP="009475AE">
      <w:pPr>
        <w:pStyle w:val="BodyText"/>
        <w:spacing w:before="0" w:after="0" w:line="276" w:lineRule="auto"/>
        <w:rPr>
          <w:u w:val="single"/>
        </w:rPr>
      </w:pPr>
      <w:r>
        <w:rPr>
          <w:u w:val="single"/>
        </w:rPr>
        <w:t>New commitments</w:t>
      </w:r>
      <w:r w:rsidRPr="00D355D4">
        <w:rPr>
          <w:u w:val="single"/>
        </w:rPr>
        <w:t xml:space="preserve"> to improve </w:t>
      </w:r>
      <w:r>
        <w:rPr>
          <w:u w:val="single"/>
        </w:rPr>
        <w:t>end user</w:t>
      </w:r>
      <w:r w:rsidRPr="00D355D4">
        <w:rPr>
          <w:u w:val="single"/>
        </w:rPr>
        <w:t xml:space="preserve"> </w:t>
      </w:r>
      <w:r>
        <w:rPr>
          <w:u w:val="single"/>
        </w:rPr>
        <w:t xml:space="preserve">awareness and </w:t>
      </w:r>
      <w:r w:rsidR="00B43747">
        <w:rPr>
          <w:u w:val="single"/>
        </w:rPr>
        <w:t>management</w:t>
      </w:r>
      <w:r w:rsidRPr="00D355D4">
        <w:rPr>
          <w:u w:val="single"/>
        </w:rPr>
        <w:t>:</w:t>
      </w:r>
    </w:p>
    <w:p w14:paraId="590C9E1F" w14:textId="77777777" w:rsidR="00910887" w:rsidRDefault="008207A8" w:rsidP="005F2431">
      <w:pPr>
        <w:pStyle w:val="BodyText"/>
        <w:numPr>
          <w:ilvl w:val="0"/>
          <w:numId w:val="29"/>
        </w:numPr>
        <w:spacing w:line="276" w:lineRule="auto"/>
      </w:pPr>
      <w:r>
        <w:t>n</w:t>
      </w:r>
      <w:r w:rsidR="00601030">
        <w:t>bn</w:t>
      </w:r>
      <w:r w:rsidR="00606034">
        <w:t xml:space="preserve"> is putting </w:t>
      </w:r>
      <w:r w:rsidR="00606034" w:rsidRPr="00606034">
        <w:t>further inve</w:t>
      </w:r>
      <w:r w:rsidR="004753B6">
        <w:t xml:space="preserve">stment in community engagement and has </w:t>
      </w:r>
      <w:r w:rsidR="005F4406">
        <w:t>established a</w:t>
      </w:r>
      <w:r w:rsidR="004753B6">
        <w:t xml:space="preserve"> </w:t>
      </w:r>
      <w:r w:rsidR="005F4406">
        <w:t xml:space="preserve">national community relations </w:t>
      </w:r>
      <w:r w:rsidR="004753B6">
        <w:t xml:space="preserve">team to manage engagement with </w:t>
      </w:r>
      <w:r w:rsidR="00A97C0D">
        <w:t xml:space="preserve">major </w:t>
      </w:r>
      <w:r w:rsidR="004753B6">
        <w:t>community groups</w:t>
      </w:r>
      <w:r w:rsidR="00A97C0D">
        <w:t xml:space="preserve"> with a national footprint</w:t>
      </w:r>
      <w:r w:rsidR="004753B6">
        <w:t xml:space="preserve">. </w:t>
      </w:r>
      <w:r w:rsidR="000D22A4">
        <w:t xml:space="preserve">This </w:t>
      </w:r>
      <w:r w:rsidR="00A97C0D">
        <w:t>team complements the existing community engagement teams that operate at a state</w:t>
      </w:r>
      <w:r w:rsidR="00A70D30">
        <w:t xml:space="preserve"> </w:t>
      </w:r>
      <w:r w:rsidR="00A97C0D">
        <w:t>based level and engage directly with local community groups.</w:t>
      </w:r>
    </w:p>
    <w:p w14:paraId="44ECC5DC" w14:textId="6668376B" w:rsidR="001B6C64" w:rsidRPr="00A252CE" w:rsidRDefault="00606034" w:rsidP="009475AE">
      <w:pPr>
        <w:pStyle w:val="BodyText"/>
        <w:numPr>
          <w:ilvl w:val="0"/>
          <w:numId w:val="29"/>
        </w:numPr>
        <w:spacing w:line="276" w:lineRule="auto"/>
      </w:pPr>
      <w:r>
        <w:t xml:space="preserve">Telstra and </w:t>
      </w:r>
      <w:r w:rsidR="008207A8">
        <w:t>n</w:t>
      </w:r>
      <w:r w:rsidR="00601030">
        <w:t>bn</w:t>
      </w:r>
      <w:r>
        <w:t xml:space="preserve"> have agreed to </w:t>
      </w:r>
      <w:r w:rsidR="00347DDB">
        <w:t xml:space="preserve">consolidate the number of </w:t>
      </w:r>
      <w:r w:rsidR="007B544C">
        <w:t>D</w:t>
      </w:r>
      <w:r w:rsidR="001B6C64">
        <w:t>i</w:t>
      </w:r>
      <w:r w:rsidR="007B544C">
        <w:t>sconnection D</w:t>
      </w:r>
      <w:r w:rsidR="001B6C64">
        <w:t>ate</w:t>
      </w:r>
      <w:r w:rsidR="00347DDB">
        <w:t>s</w:t>
      </w:r>
      <w:r w:rsidR="001B6C64">
        <w:t xml:space="preserve"> per month</w:t>
      </w:r>
      <w:r w:rsidR="00347DDB">
        <w:t>.</w:t>
      </w:r>
      <w:r w:rsidR="001B6C64">
        <w:t xml:space="preserve"> </w:t>
      </w:r>
      <w:r w:rsidR="007B544C">
        <w:t>In general there will be one Disconnection D</w:t>
      </w:r>
      <w:r w:rsidR="00347DDB" w:rsidRPr="00347DDB">
        <w:t>ate per month</w:t>
      </w:r>
      <w:r w:rsidR="00347DDB">
        <w:t>,</w:t>
      </w:r>
      <w:r w:rsidR="00347DDB" w:rsidRPr="00347DDB">
        <w:t xml:space="preserve"> </w:t>
      </w:r>
      <w:r>
        <w:t xml:space="preserve">which </w:t>
      </w:r>
      <w:r w:rsidR="001B6C64">
        <w:t xml:space="preserve">will assist in simplifying </w:t>
      </w:r>
      <w:r w:rsidR="00EF15A9">
        <w:t xml:space="preserve">the </w:t>
      </w:r>
      <w:r w:rsidR="00B43747">
        <w:t xml:space="preserve">migration </w:t>
      </w:r>
      <w:r w:rsidR="001B6C64">
        <w:t xml:space="preserve">process </w:t>
      </w:r>
      <w:r w:rsidR="00B43747">
        <w:t>and</w:t>
      </w:r>
      <w:r w:rsidR="001B6C64">
        <w:t xml:space="preserve"> e</w:t>
      </w:r>
      <w:r w:rsidR="001B6C64" w:rsidRPr="00EA292D">
        <w:t>nable more centralised and efficient communication strategies</w:t>
      </w:r>
      <w:r w:rsidR="007E539D">
        <w:t>.</w:t>
      </w:r>
      <w:r w:rsidR="00767012">
        <w:t xml:space="preserve"> Telstra and </w:t>
      </w:r>
      <w:r w:rsidR="00082033">
        <w:t>n</w:t>
      </w:r>
      <w:r w:rsidR="00601030">
        <w:t>bn</w:t>
      </w:r>
      <w:r w:rsidR="007B544C">
        <w:t xml:space="preserve"> will also seek to avoid any Disconnection D</w:t>
      </w:r>
      <w:r w:rsidR="00767012">
        <w:t>ates occurring in holiday periods.</w:t>
      </w:r>
    </w:p>
    <w:p w14:paraId="4F8B2501" w14:textId="1E168A10" w:rsidR="00863A33" w:rsidRPr="000C2467" w:rsidRDefault="00863A33" w:rsidP="009475AE">
      <w:pPr>
        <w:pStyle w:val="ListParagraph"/>
        <w:numPr>
          <w:ilvl w:val="0"/>
          <w:numId w:val="29"/>
        </w:numPr>
        <w:spacing w:line="276" w:lineRule="auto"/>
      </w:pPr>
      <w:r>
        <w:t xml:space="preserve">Subject to data availability, </w:t>
      </w:r>
      <w:r w:rsidR="008207A8">
        <w:t>n</w:t>
      </w:r>
      <w:r w:rsidR="00601030">
        <w:t>bn</w:t>
      </w:r>
      <w:r w:rsidRPr="000C2467">
        <w:t xml:space="preserve"> will</w:t>
      </w:r>
      <w:r w:rsidR="00C406C9">
        <w:t>,</w:t>
      </w:r>
      <w:r w:rsidRPr="000C2467">
        <w:t xml:space="preserve"> </w:t>
      </w:r>
      <w:r w:rsidR="00231391">
        <w:t xml:space="preserve">where practicable, </w:t>
      </w:r>
      <w:r w:rsidRPr="000C2467">
        <w:t xml:space="preserve">implement targeted communications strategies in the final stages of </w:t>
      </w:r>
      <w:r>
        <w:t>the migration window</w:t>
      </w:r>
      <w:r w:rsidRPr="000C2467">
        <w:t>.</w:t>
      </w:r>
    </w:p>
    <w:p w14:paraId="57341343" w14:textId="105C97F1" w:rsidR="00B43747" w:rsidRPr="000C2467" w:rsidRDefault="00B43747" w:rsidP="009475AE">
      <w:pPr>
        <w:pStyle w:val="ListParagraph"/>
        <w:spacing w:line="276" w:lineRule="auto"/>
        <w:ind w:left="357"/>
      </w:pPr>
    </w:p>
    <w:p w14:paraId="1AE96422" w14:textId="61E34202" w:rsidR="009F6FF8" w:rsidRPr="00744A88" w:rsidDel="00A1382B" w:rsidRDefault="00594A11" w:rsidP="009475AE">
      <w:pPr>
        <w:pStyle w:val="ListParagraph"/>
        <w:numPr>
          <w:ilvl w:val="0"/>
          <w:numId w:val="29"/>
        </w:numPr>
        <w:spacing w:line="276" w:lineRule="auto"/>
      </w:pPr>
      <w:r>
        <w:t xml:space="preserve">RSPs </w:t>
      </w:r>
      <w:r w:rsidR="00863A33">
        <w:t xml:space="preserve">should </w:t>
      </w:r>
      <w:r w:rsidR="00B43747" w:rsidRPr="000C2467">
        <w:t xml:space="preserve">consider </w:t>
      </w:r>
      <w:r w:rsidR="00FC4BA9">
        <w:t>supporting</w:t>
      </w:r>
      <w:r w:rsidR="00FC4BA9" w:rsidRPr="000C2467">
        <w:t xml:space="preserve"> </w:t>
      </w:r>
      <w:r w:rsidR="00B43747" w:rsidRPr="000C2467">
        <w:t xml:space="preserve">early migration by </w:t>
      </w:r>
      <w:r w:rsidR="00347DDB">
        <w:t>allowing end users to</w:t>
      </w:r>
      <w:r w:rsidR="00B43747" w:rsidRPr="000C2467">
        <w:t xml:space="preserve"> migrate to the</w:t>
      </w:r>
      <w:r w:rsidR="00C406C9">
        <w:t xml:space="preserve">ir </w:t>
      </w:r>
      <w:r w:rsidR="00C34043">
        <w:t>national broadband network services</w:t>
      </w:r>
      <w:r w:rsidR="00B43747" w:rsidRPr="000C2467">
        <w:t xml:space="preserve"> without any additional fees or penalty for the migration. This recognises that </w:t>
      </w:r>
      <w:r w:rsidR="00285437" w:rsidRPr="000C2467">
        <w:t xml:space="preserve">end users </w:t>
      </w:r>
      <w:r w:rsidR="00B43747" w:rsidRPr="000C2467">
        <w:t>migrating early may find they face significant ch</w:t>
      </w:r>
      <w:r w:rsidR="00A03D57">
        <w:t>arges for terminating contracts and are therefore unlikely to migrate at that time.</w:t>
      </w:r>
      <w:r w:rsidR="00B43747" w:rsidRPr="000C2467">
        <w:t xml:space="preserve"> </w:t>
      </w:r>
    </w:p>
    <w:p w14:paraId="7A99418B" w14:textId="77777777" w:rsidR="009D4181" w:rsidRPr="003B5FA2" w:rsidRDefault="009D4181" w:rsidP="009475AE">
      <w:pPr>
        <w:pStyle w:val="Heading2"/>
        <w:spacing w:line="276" w:lineRule="auto"/>
      </w:pPr>
      <w:bookmarkStart w:id="54" w:name="_Toc406491070"/>
      <w:bookmarkStart w:id="55" w:name="_Toc406497279"/>
      <w:bookmarkStart w:id="56" w:name="_Toc422237726"/>
      <w:r w:rsidRPr="003B5FA2">
        <w:t>End user redress</w:t>
      </w:r>
      <w:bookmarkEnd w:id="54"/>
      <w:bookmarkEnd w:id="55"/>
      <w:bookmarkEnd w:id="56"/>
    </w:p>
    <w:p w14:paraId="64746BED" w14:textId="5B7D566B" w:rsidR="009D4181" w:rsidRDefault="009D4181" w:rsidP="009475AE">
      <w:pPr>
        <w:pStyle w:val="NoSpacing"/>
        <w:spacing w:before="0" w:line="276" w:lineRule="auto"/>
        <w:ind w:left="0" w:firstLine="0"/>
      </w:pPr>
      <w:r w:rsidRPr="00FF6157">
        <w:t xml:space="preserve">A smooth migration </w:t>
      </w:r>
      <w:r>
        <w:t xml:space="preserve">process requires appropriate redress mechanisms for end users if they encounter issues related to their </w:t>
      </w:r>
      <w:r w:rsidR="00EF685C">
        <w:t xml:space="preserve">RSP </w:t>
      </w:r>
      <w:r w:rsidR="00C34043">
        <w:t>order for a</w:t>
      </w:r>
      <w:r>
        <w:t xml:space="preserve"> </w:t>
      </w:r>
      <w:r w:rsidR="00C34043">
        <w:t>service o</w:t>
      </w:r>
      <w:r w:rsidR="00910887">
        <w:t>ver</w:t>
      </w:r>
      <w:r w:rsidR="00C34043">
        <w:t xml:space="preserve"> the national broadband network</w:t>
      </w:r>
      <w:r w:rsidR="003F1231">
        <w:t xml:space="preserve">, or the connection and operation of their </w:t>
      </w:r>
      <w:r w:rsidR="00C34043">
        <w:t>national broadband network</w:t>
      </w:r>
      <w:r w:rsidR="003F1231">
        <w:t xml:space="preserve"> service</w:t>
      </w:r>
      <w:r>
        <w:t>. B</w:t>
      </w:r>
      <w:r w:rsidRPr="008B2965">
        <w:t xml:space="preserve">etter complaint management protocols between </w:t>
      </w:r>
      <w:r w:rsidR="008207A8">
        <w:t>n</w:t>
      </w:r>
      <w:r w:rsidR="00601030">
        <w:t>bn</w:t>
      </w:r>
      <w:r w:rsidRPr="008B2965">
        <w:t xml:space="preserve"> and RSPs </w:t>
      </w:r>
      <w:r>
        <w:t xml:space="preserve">will mean </w:t>
      </w:r>
      <w:r w:rsidRPr="008B2965">
        <w:t xml:space="preserve">end users </w:t>
      </w:r>
      <w:r>
        <w:t>have greater</w:t>
      </w:r>
      <w:r w:rsidRPr="008B2965">
        <w:t xml:space="preserve"> transparency over any issues </w:t>
      </w:r>
      <w:r>
        <w:t xml:space="preserve">relating to their </w:t>
      </w:r>
      <w:r w:rsidR="00C34043">
        <w:t xml:space="preserve">national broadband network </w:t>
      </w:r>
      <w:r>
        <w:t>connection.</w:t>
      </w:r>
    </w:p>
    <w:p w14:paraId="615D5BCE" w14:textId="77777777" w:rsidR="009D4181" w:rsidRDefault="009D4181" w:rsidP="009475AE">
      <w:pPr>
        <w:pStyle w:val="NoSpacing"/>
        <w:spacing w:before="0" w:line="276" w:lineRule="auto"/>
        <w:ind w:left="0" w:firstLine="0"/>
      </w:pPr>
    </w:p>
    <w:p w14:paraId="58EE8DD0" w14:textId="611A9150" w:rsidR="00EA1D7D" w:rsidRDefault="00317F36" w:rsidP="009475AE">
      <w:pPr>
        <w:pStyle w:val="NoSpacing"/>
        <w:spacing w:before="0" w:line="276" w:lineRule="auto"/>
        <w:ind w:left="0" w:firstLine="0"/>
      </w:pPr>
      <w:r>
        <w:t xml:space="preserve">In order to ensure </w:t>
      </w:r>
      <w:r w:rsidR="002022A9">
        <w:t>a</w:t>
      </w:r>
      <w:r w:rsidR="009D4181">
        <w:t xml:space="preserve"> robust </w:t>
      </w:r>
      <w:r w:rsidR="005E61C5">
        <w:t xml:space="preserve">end user </w:t>
      </w:r>
      <w:r w:rsidR="009D4181">
        <w:t>redress process</w:t>
      </w:r>
      <w:r w:rsidR="00EA1D7D">
        <w:t xml:space="preserve"> </w:t>
      </w:r>
      <w:r w:rsidR="009D4181">
        <w:t xml:space="preserve">parties </w:t>
      </w:r>
      <w:r>
        <w:t xml:space="preserve">should </w:t>
      </w:r>
      <w:r w:rsidR="009D4181">
        <w:t>undertake the following roles:</w:t>
      </w:r>
    </w:p>
    <w:p w14:paraId="13333202" w14:textId="77777777" w:rsidR="00EA1D7D" w:rsidRPr="00FF6157" w:rsidRDefault="00EA1D7D" w:rsidP="009475AE">
      <w:pPr>
        <w:pStyle w:val="NoSpacing"/>
        <w:spacing w:before="0" w:line="276" w:lineRule="auto"/>
        <w:ind w:left="0" w:firstLine="0"/>
      </w:pPr>
    </w:p>
    <w:p w14:paraId="3E690044" w14:textId="77777777" w:rsidR="009D4181" w:rsidRPr="00BE6DC9" w:rsidRDefault="009D4181" w:rsidP="009475AE">
      <w:pPr>
        <w:pStyle w:val="NoSpacing"/>
        <w:spacing w:before="0" w:line="276" w:lineRule="auto"/>
        <w:ind w:left="0" w:firstLine="0"/>
        <w:rPr>
          <w:u w:val="single"/>
        </w:rPr>
      </w:pPr>
      <w:r w:rsidRPr="00BE6DC9">
        <w:rPr>
          <w:u w:val="single"/>
        </w:rPr>
        <w:t>End users</w:t>
      </w:r>
    </w:p>
    <w:p w14:paraId="5D3BFFD3" w14:textId="072FE247" w:rsidR="009D4181" w:rsidRPr="00FF6157" w:rsidRDefault="009D4181" w:rsidP="009475AE">
      <w:pPr>
        <w:pStyle w:val="NoSpacing"/>
        <w:spacing w:before="0" w:line="276" w:lineRule="auto"/>
        <w:ind w:left="0" w:firstLine="0"/>
        <w:rPr>
          <w:b/>
          <w:u w:val="single"/>
        </w:rPr>
      </w:pPr>
      <w:r w:rsidRPr="00C619A4">
        <w:t xml:space="preserve">As a wholesale carrier, </w:t>
      </w:r>
      <w:r w:rsidR="008207A8">
        <w:t>n</w:t>
      </w:r>
      <w:r w:rsidR="00601030">
        <w:t>bn</w:t>
      </w:r>
      <w:r w:rsidRPr="00C619A4">
        <w:t xml:space="preserve"> is building the network and sell</w:t>
      </w:r>
      <w:r>
        <w:t>s</w:t>
      </w:r>
      <w:r w:rsidRPr="00C619A4">
        <w:t xml:space="preserve"> wholesale services to </w:t>
      </w:r>
      <w:r>
        <w:t>RSPs</w:t>
      </w:r>
      <w:r w:rsidRPr="00C619A4">
        <w:t xml:space="preserve">, who will then </w:t>
      </w:r>
      <w:r w:rsidR="00C406C9">
        <w:t xml:space="preserve">add additional functionality and </w:t>
      </w:r>
      <w:r w:rsidRPr="00C619A4">
        <w:t xml:space="preserve">provide </w:t>
      </w:r>
      <w:r w:rsidR="00C406C9">
        <w:t xml:space="preserve">retail </w:t>
      </w:r>
      <w:r w:rsidRPr="00C619A4">
        <w:t xml:space="preserve">services to </w:t>
      </w:r>
      <w:r w:rsidR="005E61C5">
        <w:t>end users</w:t>
      </w:r>
      <w:r w:rsidRPr="00C619A4">
        <w:t xml:space="preserve">. </w:t>
      </w:r>
      <w:r>
        <w:t xml:space="preserve">Therefore, in the first instance, an end </w:t>
      </w:r>
      <w:r w:rsidRPr="00C619A4">
        <w:t xml:space="preserve">user should always approach their RSP if they have any concerns or issues regarding the installation </w:t>
      </w:r>
      <w:r w:rsidR="003F1231">
        <w:t xml:space="preserve">or operation </w:t>
      </w:r>
      <w:r w:rsidRPr="00C619A4">
        <w:t xml:space="preserve">of their </w:t>
      </w:r>
      <w:r w:rsidR="00C34043" w:rsidRPr="00C34043">
        <w:t xml:space="preserve">national broadband network </w:t>
      </w:r>
      <w:r w:rsidRPr="00C619A4">
        <w:t>service.</w:t>
      </w:r>
    </w:p>
    <w:p w14:paraId="61D23AA9" w14:textId="5675E18D" w:rsidR="009D4181" w:rsidRDefault="009D4181" w:rsidP="009475AE">
      <w:pPr>
        <w:pStyle w:val="NoSpacing"/>
        <w:spacing w:line="276" w:lineRule="auto"/>
        <w:ind w:left="0" w:firstLine="0"/>
      </w:pPr>
      <w:r>
        <w:t>If an end user does not receive a satisfactory response from their RSP</w:t>
      </w:r>
      <w:r w:rsidR="00D444BE">
        <w:t>,</w:t>
      </w:r>
      <w:r>
        <w:t xml:space="preserve"> they have the option to contact </w:t>
      </w:r>
      <w:r w:rsidR="008207A8">
        <w:t>n</w:t>
      </w:r>
      <w:r w:rsidR="00601030">
        <w:t>bn</w:t>
      </w:r>
      <w:r>
        <w:t xml:space="preserve"> directly. </w:t>
      </w:r>
      <w:r w:rsidR="00C406C9">
        <w:t>However, end users should be aware that nbn will only be able to provide general advice as it will not be aware of the specific arrangements between the end user and their RSP.</w:t>
      </w:r>
    </w:p>
    <w:p w14:paraId="58123020" w14:textId="79598E4A" w:rsidR="00E5287E" w:rsidRDefault="00E5287E" w:rsidP="009475AE">
      <w:pPr>
        <w:pStyle w:val="NoSpacing"/>
        <w:spacing w:line="276" w:lineRule="auto"/>
        <w:ind w:left="0" w:firstLine="0"/>
      </w:pPr>
      <w:r>
        <w:t xml:space="preserve">If an end user is instructed by </w:t>
      </w:r>
      <w:r w:rsidR="008207A8">
        <w:t>n</w:t>
      </w:r>
      <w:r w:rsidR="00601030">
        <w:t>bn</w:t>
      </w:r>
      <w:r>
        <w:t xml:space="preserve"> or their RSP to undertake a specific activity to resolve their issue (e.g. </w:t>
      </w:r>
      <w:r w:rsidR="00863A33">
        <w:t xml:space="preserve">obtaining landlord consent (for renters), </w:t>
      </w:r>
      <w:r>
        <w:t>contact</w:t>
      </w:r>
      <w:r w:rsidR="004321A0">
        <w:t>ing</w:t>
      </w:r>
      <w:r>
        <w:t xml:space="preserve"> a registered cabler to complete additional wiring, </w:t>
      </w:r>
      <w:r w:rsidR="004321A0">
        <w:t xml:space="preserve">arranging </w:t>
      </w:r>
      <w:r>
        <w:t>an electrician to install a power point/socket etc</w:t>
      </w:r>
      <w:r w:rsidR="00A70D30">
        <w:t>.</w:t>
      </w:r>
      <w:r>
        <w:t>) it is expected that the end user will arrange for this activity to be undertaken in a timely manner.</w:t>
      </w:r>
    </w:p>
    <w:p w14:paraId="063DD0E4" w14:textId="7BB49721" w:rsidR="00D63767" w:rsidRDefault="009D4181" w:rsidP="009475AE">
      <w:pPr>
        <w:pStyle w:val="NoSpacing"/>
        <w:spacing w:line="276" w:lineRule="auto"/>
        <w:ind w:left="0" w:firstLine="0"/>
      </w:pPr>
      <w:r>
        <w:t xml:space="preserve">If an end user receives an unsatisfactory response from their RSP </w:t>
      </w:r>
      <w:r w:rsidR="00D9770B">
        <w:t>or</w:t>
      </w:r>
      <w:r>
        <w:t xml:space="preserve"> </w:t>
      </w:r>
      <w:r w:rsidR="008207A8">
        <w:t>n</w:t>
      </w:r>
      <w:r w:rsidR="00601030">
        <w:t>bn</w:t>
      </w:r>
      <w:r>
        <w:t xml:space="preserve">, they can then contact the TIO to </w:t>
      </w:r>
      <w:r w:rsidR="00D9770B">
        <w:t xml:space="preserve">make a </w:t>
      </w:r>
      <w:r>
        <w:t>complaint.</w:t>
      </w:r>
    </w:p>
    <w:p w14:paraId="6D863B51" w14:textId="1A108C1D" w:rsidR="009D4181" w:rsidRPr="00BE6DC9" w:rsidRDefault="009D4181" w:rsidP="009475AE">
      <w:pPr>
        <w:pStyle w:val="NoSpacing"/>
        <w:spacing w:line="276" w:lineRule="auto"/>
        <w:ind w:left="0" w:firstLine="0"/>
        <w:rPr>
          <w:u w:val="single"/>
        </w:rPr>
      </w:pPr>
      <w:r w:rsidRPr="00BE6DC9">
        <w:rPr>
          <w:u w:val="single"/>
        </w:rPr>
        <w:t>RSP</w:t>
      </w:r>
      <w:r w:rsidR="007E539D">
        <w:rPr>
          <w:u w:val="single"/>
        </w:rPr>
        <w:t>s</w:t>
      </w:r>
    </w:p>
    <w:p w14:paraId="519E8969" w14:textId="02B8805B" w:rsidR="009D4181" w:rsidRPr="00C619A4" w:rsidRDefault="009D4181" w:rsidP="009475AE">
      <w:pPr>
        <w:pStyle w:val="NoSpacing"/>
        <w:spacing w:before="0" w:line="276" w:lineRule="auto"/>
        <w:ind w:left="0" w:firstLine="0"/>
      </w:pPr>
      <w:r w:rsidRPr="00C619A4">
        <w:t xml:space="preserve">RSPs </w:t>
      </w:r>
      <w:r w:rsidR="000D22A4">
        <w:t xml:space="preserve">are </w:t>
      </w:r>
      <w:r>
        <w:t xml:space="preserve">to </w:t>
      </w:r>
      <w:r w:rsidRPr="00C619A4">
        <w:t xml:space="preserve">liaise with </w:t>
      </w:r>
      <w:r w:rsidR="008207A8">
        <w:t>n</w:t>
      </w:r>
      <w:r w:rsidR="00601030">
        <w:t>bn</w:t>
      </w:r>
      <w:r w:rsidRPr="00C619A4">
        <w:t xml:space="preserve"> to resolve </w:t>
      </w:r>
      <w:r>
        <w:t>any issues an</w:t>
      </w:r>
      <w:r w:rsidRPr="00C619A4">
        <w:t xml:space="preserve"> end user may have relating to the order, installation and activation of their </w:t>
      </w:r>
      <w:r w:rsidR="00C34043" w:rsidRPr="00C34043">
        <w:t xml:space="preserve">national broadband network </w:t>
      </w:r>
      <w:r w:rsidRPr="00C619A4">
        <w:t>service</w:t>
      </w:r>
      <w:r w:rsidR="00685748">
        <w:t xml:space="preserve">. </w:t>
      </w:r>
      <w:r w:rsidR="00685748" w:rsidRPr="00685748">
        <w:t>RSPs</w:t>
      </w:r>
      <w:r w:rsidR="00685748">
        <w:t xml:space="preserve"> are also</w:t>
      </w:r>
      <w:r w:rsidR="00685748" w:rsidRPr="00685748">
        <w:t xml:space="preserve"> to liaise with Telstra </w:t>
      </w:r>
      <w:r w:rsidR="003F1231">
        <w:t xml:space="preserve">Wholesale </w:t>
      </w:r>
      <w:r w:rsidR="00685748" w:rsidRPr="00685748">
        <w:t>to resolve any issues an end user may have relating to disconnection in error</w:t>
      </w:r>
      <w:r w:rsidRPr="00C619A4">
        <w:t xml:space="preserve">.   </w:t>
      </w:r>
    </w:p>
    <w:p w14:paraId="29FA379B" w14:textId="70D6D061" w:rsidR="00FF465F" w:rsidRDefault="009D4181" w:rsidP="009475AE">
      <w:pPr>
        <w:pStyle w:val="NoSpacing"/>
        <w:spacing w:line="276" w:lineRule="auto"/>
        <w:ind w:left="0" w:firstLine="0"/>
        <w:rPr>
          <w:u w:val="single"/>
        </w:rPr>
      </w:pPr>
      <w:r w:rsidRPr="00C619A4">
        <w:t xml:space="preserve">RSPs </w:t>
      </w:r>
      <w:r w:rsidR="00D95F8A">
        <w:t>are encouraged</w:t>
      </w:r>
      <w:r>
        <w:t xml:space="preserve"> to keep the</w:t>
      </w:r>
      <w:r w:rsidR="00D95F8A">
        <w:t>ir</w:t>
      </w:r>
      <w:r>
        <w:t xml:space="preserve"> end user updated regarding the status of their issue and </w:t>
      </w:r>
      <w:r w:rsidR="003F1231">
        <w:t xml:space="preserve">should </w:t>
      </w:r>
      <w:r>
        <w:t xml:space="preserve">do so in plain language that is easy to understand and avoids the use of acronyms and </w:t>
      </w:r>
      <w:r w:rsidR="000D22A4">
        <w:t xml:space="preserve">technical </w:t>
      </w:r>
      <w:r>
        <w:t>jargon.</w:t>
      </w:r>
    </w:p>
    <w:p w14:paraId="0CE0A9BC" w14:textId="35523F00" w:rsidR="009D4181" w:rsidRPr="00BE6DC9" w:rsidRDefault="008207A8" w:rsidP="009475AE">
      <w:pPr>
        <w:pStyle w:val="NoSpacing"/>
        <w:spacing w:line="276" w:lineRule="auto"/>
        <w:ind w:left="0" w:firstLine="0"/>
        <w:rPr>
          <w:u w:val="single"/>
        </w:rPr>
      </w:pPr>
      <w:r>
        <w:rPr>
          <w:u w:val="single"/>
        </w:rPr>
        <w:t>n</w:t>
      </w:r>
      <w:r w:rsidR="00601030">
        <w:rPr>
          <w:u w:val="single"/>
        </w:rPr>
        <w:t>bn</w:t>
      </w:r>
    </w:p>
    <w:p w14:paraId="21DC57CE" w14:textId="2F47B546" w:rsidR="009D4181" w:rsidRDefault="008207A8" w:rsidP="009475AE">
      <w:pPr>
        <w:pStyle w:val="NoSpacing"/>
        <w:spacing w:before="0" w:line="276" w:lineRule="auto"/>
        <w:ind w:left="0" w:firstLine="0"/>
      </w:pPr>
      <w:r>
        <w:t>n</w:t>
      </w:r>
      <w:r w:rsidR="00601030">
        <w:t>bn</w:t>
      </w:r>
      <w:r w:rsidR="009D4181" w:rsidRPr="00C619A4">
        <w:t xml:space="preserve"> </w:t>
      </w:r>
      <w:r w:rsidR="000D22A4">
        <w:t xml:space="preserve">is </w:t>
      </w:r>
      <w:r w:rsidR="009D4181" w:rsidRPr="00C619A4">
        <w:t>to work closely with RSPs to resolve issues and provide transparent</w:t>
      </w:r>
      <w:r w:rsidR="009D4181">
        <w:t xml:space="preserve">, detailed </w:t>
      </w:r>
      <w:r w:rsidR="009D4181" w:rsidRPr="00C619A4">
        <w:t>information as to why these issues may have occurred.</w:t>
      </w:r>
    </w:p>
    <w:p w14:paraId="3BD7323B" w14:textId="51257664" w:rsidR="00D9770B" w:rsidRDefault="009D4181" w:rsidP="009475AE">
      <w:pPr>
        <w:pStyle w:val="NoSpacing"/>
        <w:spacing w:line="276" w:lineRule="auto"/>
        <w:ind w:left="0" w:firstLine="0"/>
      </w:pPr>
      <w:r>
        <w:t xml:space="preserve">If an end user contacts </w:t>
      </w:r>
      <w:r w:rsidR="008207A8">
        <w:t>n</w:t>
      </w:r>
      <w:r w:rsidR="00601030">
        <w:t>bn</w:t>
      </w:r>
      <w:r>
        <w:t xml:space="preserve"> directly, </w:t>
      </w:r>
      <w:r w:rsidR="008207A8">
        <w:t>n</w:t>
      </w:r>
      <w:r w:rsidR="00601030">
        <w:t>bn</w:t>
      </w:r>
      <w:r>
        <w:t xml:space="preserve"> </w:t>
      </w:r>
      <w:r w:rsidR="00EF685C">
        <w:t xml:space="preserve">may provide general </w:t>
      </w:r>
      <w:r w:rsidR="00C34043">
        <w:t>network</w:t>
      </w:r>
      <w:r w:rsidR="00EF685C">
        <w:t xml:space="preserve"> </w:t>
      </w:r>
      <w:r w:rsidR="00EF4C91">
        <w:t>information</w:t>
      </w:r>
      <w:r w:rsidR="00EF685C">
        <w:t>, but as it is unable to verify the identity of the customer (as the customer’s contractual relationship is with an RSP),</w:t>
      </w:r>
      <w:r w:rsidR="00EF4C91">
        <w:t xml:space="preserve"> </w:t>
      </w:r>
      <w:r w:rsidR="008207A8">
        <w:t>n</w:t>
      </w:r>
      <w:r w:rsidR="00601030">
        <w:t>bn</w:t>
      </w:r>
      <w:r w:rsidR="00EF4C91">
        <w:t xml:space="preserve"> </w:t>
      </w:r>
      <w:r w:rsidR="008E36D1">
        <w:t>m</w:t>
      </w:r>
      <w:r w:rsidR="00EF685C">
        <w:t xml:space="preserve">ay be limited in the information it can provide. </w:t>
      </w:r>
      <w:r w:rsidR="008207A8">
        <w:t>n</w:t>
      </w:r>
      <w:r w:rsidR="00601030">
        <w:t>bn</w:t>
      </w:r>
      <w:r>
        <w:t xml:space="preserve"> will </w:t>
      </w:r>
      <w:r w:rsidR="00EF685C">
        <w:t xml:space="preserve">try to answer the end user’s general </w:t>
      </w:r>
      <w:r w:rsidR="00C34043">
        <w:t xml:space="preserve">network </w:t>
      </w:r>
      <w:r w:rsidR="00EF685C">
        <w:t xml:space="preserve">questions, rather than </w:t>
      </w:r>
      <w:r>
        <w:t>refer them back to their RSP</w:t>
      </w:r>
      <w:r w:rsidR="00EF685C">
        <w:t>, but the referral may be necessary</w:t>
      </w:r>
      <w:r w:rsidR="00EF4C91">
        <w:t xml:space="preserve"> if</w:t>
      </w:r>
      <w:r w:rsidR="00EF685C">
        <w:t xml:space="preserve"> the end user wishes to discuss details of their specific RSP order</w:t>
      </w:r>
      <w:r>
        <w:t>. Any information provided</w:t>
      </w:r>
      <w:r w:rsidRPr="00FF6157">
        <w:t xml:space="preserve"> </w:t>
      </w:r>
      <w:r w:rsidR="003F1231">
        <w:t>should use</w:t>
      </w:r>
      <w:r w:rsidRPr="00FF6157">
        <w:t xml:space="preserve"> language that is easy to understand and avoids the use of acronyms and </w:t>
      </w:r>
      <w:r w:rsidR="000D22A4">
        <w:t xml:space="preserve">technical </w:t>
      </w:r>
      <w:r w:rsidRPr="00FF6157">
        <w:t>jargon.</w:t>
      </w:r>
    </w:p>
    <w:p w14:paraId="2223CA91" w14:textId="77777777" w:rsidR="009D4181" w:rsidRPr="00BE6DC9" w:rsidRDefault="009D4181" w:rsidP="009475AE">
      <w:pPr>
        <w:pStyle w:val="Bodytext-Quote"/>
        <w:spacing w:after="0" w:line="276" w:lineRule="auto"/>
        <w:ind w:left="0"/>
        <w:rPr>
          <w:u w:val="single"/>
        </w:rPr>
      </w:pPr>
      <w:r w:rsidRPr="00BE6DC9">
        <w:rPr>
          <w:u w:val="single"/>
        </w:rPr>
        <w:t>Telecommunications Industry Ombudsman (TIO)</w:t>
      </w:r>
    </w:p>
    <w:p w14:paraId="521ED6F8" w14:textId="31496BB0" w:rsidR="009D4181" w:rsidRPr="000C2467" w:rsidRDefault="00F1597F" w:rsidP="009475AE">
      <w:pPr>
        <w:pStyle w:val="Bodytext-Quote"/>
        <w:tabs>
          <w:tab w:val="left" w:pos="567"/>
        </w:tabs>
        <w:spacing w:before="0" w:line="276" w:lineRule="auto"/>
        <w:ind w:left="0"/>
        <w:rPr>
          <w:rFonts w:asciiTheme="minorHAnsi" w:hAnsiTheme="minorHAnsi"/>
        </w:rPr>
      </w:pPr>
      <w:r w:rsidRPr="00F1597F">
        <w:rPr>
          <w:rFonts w:asciiTheme="minorHAnsi" w:hAnsiTheme="minorHAnsi"/>
        </w:rPr>
        <w:t xml:space="preserve">The TIO is a dispute resolution service for small business and residential </w:t>
      </w:r>
      <w:r w:rsidR="005E61C5">
        <w:rPr>
          <w:rFonts w:asciiTheme="minorHAnsi" w:hAnsiTheme="minorHAnsi"/>
        </w:rPr>
        <w:t>end users</w:t>
      </w:r>
      <w:r w:rsidRPr="00F1597F">
        <w:rPr>
          <w:rFonts w:asciiTheme="minorHAnsi" w:hAnsiTheme="minorHAnsi"/>
        </w:rPr>
        <w:t xml:space="preserve"> who have a complaint about their </w:t>
      </w:r>
      <w:r>
        <w:rPr>
          <w:rFonts w:asciiTheme="minorHAnsi" w:hAnsiTheme="minorHAnsi"/>
        </w:rPr>
        <w:t>telecommunication</w:t>
      </w:r>
      <w:r w:rsidR="00A03D57">
        <w:rPr>
          <w:rFonts w:asciiTheme="minorHAnsi" w:hAnsiTheme="minorHAnsi"/>
        </w:rPr>
        <w:t>s</w:t>
      </w:r>
      <w:r w:rsidRPr="00F1597F">
        <w:rPr>
          <w:rFonts w:asciiTheme="minorHAnsi" w:hAnsiTheme="minorHAnsi"/>
        </w:rPr>
        <w:t xml:space="preserve"> service in Australia. </w:t>
      </w:r>
      <w:r>
        <w:rPr>
          <w:rFonts w:asciiTheme="minorHAnsi" w:hAnsiTheme="minorHAnsi"/>
        </w:rPr>
        <w:t>Its</w:t>
      </w:r>
      <w:r w:rsidRPr="00F1597F">
        <w:rPr>
          <w:rFonts w:asciiTheme="minorHAnsi" w:hAnsiTheme="minorHAnsi"/>
        </w:rPr>
        <w:t xml:space="preserve"> goal is to settle disputes quickly in an objective and non-bureaucratic way.</w:t>
      </w:r>
      <w:r>
        <w:rPr>
          <w:rFonts w:asciiTheme="minorHAnsi" w:hAnsiTheme="minorHAnsi"/>
        </w:rPr>
        <w:t xml:space="preserve"> </w:t>
      </w:r>
      <w:r w:rsidR="009D4181" w:rsidRPr="000C2467">
        <w:rPr>
          <w:rFonts w:asciiTheme="minorHAnsi" w:hAnsiTheme="minorHAnsi"/>
        </w:rPr>
        <w:t xml:space="preserve">The TIO is independent of industry, Government and consumer organisations. </w:t>
      </w:r>
    </w:p>
    <w:p w14:paraId="7F9CD6C9" w14:textId="323D51F6" w:rsidR="00D9770B" w:rsidRPr="00341927" w:rsidRDefault="00D9770B" w:rsidP="009475AE">
      <w:pPr>
        <w:pStyle w:val="BodyText"/>
        <w:spacing w:line="276" w:lineRule="auto"/>
      </w:pPr>
      <w:r w:rsidRPr="00D9770B">
        <w:t xml:space="preserve">If an end user lodges a complaint with the TIO, the TIO will refer the </w:t>
      </w:r>
      <w:r w:rsidR="00285437">
        <w:t>end user</w:t>
      </w:r>
      <w:r w:rsidR="00285437" w:rsidRPr="00D9770B">
        <w:t xml:space="preserve"> </w:t>
      </w:r>
      <w:r w:rsidRPr="00D9770B">
        <w:t xml:space="preserve">to either the RSP or </w:t>
      </w:r>
      <w:r w:rsidR="008207A8">
        <w:t>n</w:t>
      </w:r>
      <w:r w:rsidR="00601030">
        <w:t>bn</w:t>
      </w:r>
      <w:r w:rsidRPr="00D9770B">
        <w:t xml:space="preserve">, depending on the nature of the issue. In referring the </w:t>
      </w:r>
      <w:r w:rsidR="00285437">
        <w:t>end user</w:t>
      </w:r>
      <w:r w:rsidRPr="00D9770B">
        <w:t xml:space="preserve">, the TIO will have regard to the circumstances of the complaint and will consider which party is best placed to assist the </w:t>
      </w:r>
      <w:r w:rsidR="00285437">
        <w:t>end user</w:t>
      </w:r>
      <w:r w:rsidRPr="00D9770B">
        <w:t xml:space="preserve">.  </w:t>
      </w:r>
    </w:p>
    <w:p w14:paraId="5902A5DF" w14:textId="6CE77484" w:rsidR="00D9770B" w:rsidRDefault="009D4181" w:rsidP="009475AE">
      <w:pPr>
        <w:pStyle w:val="Bodytext-Quote"/>
        <w:spacing w:line="276" w:lineRule="auto"/>
        <w:ind w:left="0"/>
      </w:pPr>
      <w:r>
        <w:t xml:space="preserve">If a complaint is related to an end user’s interaction with </w:t>
      </w:r>
      <w:r w:rsidR="008207A8">
        <w:t>n</w:t>
      </w:r>
      <w:r w:rsidR="00601030">
        <w:t>bn</w:t>
      </w:r>
      <w:r>
        <w:t xml:space="preserve">, for example, damage to property or </w:t>
      </w:r>
      <w:r w:rsidR="00AA2C71">
        <w:t xml:space="preserve">poor workmanship in relation to </w:t>
      </w:r>
      <w:r w:rsidR="002E5649">
        <w:t xml:space="preserve">nbn </w:t>
      </w:r>
      <w:r w:rsidR="00AA2C71">
        <w:t>equipment installation</w:t>
      </w:r>
      <w:r>
        <w:t xml:space="preserve">, the TIO will </w:t>
      </w:r>
      <w:r w:rsidR="00D9770B">
        <w:t xml:space="preserve">generally </w:t>
      </w:r>
      <w:r>
        <w:t xml:space="preserve">refer the </w:t>
      </w:r>
      <w:r w:rsidR="005E61C5">
        <w:t xml:space="preserve">end user </w:t>
      </w:r>
      <w:r>
        <w:t xml:space="preserve">to </w:t>
      </w:r>
      <w:r w:rsidR="008207A8">
        <w:t>n</w:t>
      </w:r>
      <w:r w:rsidR="00601030">
        <w:t>bn</w:t>
      </w:r>
      <w:r>
        <w:t xml:space="preserve"> to resolve the issue. If the complaint is related to their interaction with their RSP </w:t>
      </w:r>
      <w:r w:rsidR="00AA0443">
        <w:t>(</w:t>
      </w:r>
      <w:r>
        <w:t>e.g. missed appointments and long lead times</w:t>
      </w:r>
      <w:r w:rsidR="00AA0443">
        <w:t>)</w:t>
      </w:r>
      <w:r>
        <w:t>, the TIO will refer the end user to the RSP.</w:t>
      </w:r>
    </w:p>
    <w:p w14:paraId="51492B79" w14:textId="3D323515" w:rsidR="000D2C29" w:rsidRDefault="00D9770B" w:rsidP="009475AE">
      <w:pPr>
        <w:pStyle w:val="BodyText"/>
        <w:spacing w:line="276" w:lineRule="auto"/>
      </w:pPr>
      <w:r w:rsidRPr="00D9770B">
        <w:t xml:space="preserve">For certain types of complaints, where the TIO believes it will promote fast and effective resolution, the TIO will notify both the RSP and </w:t>
      </w:r>
      <w:r w:rsidR="008207A8">
        <w:t>n</w:t>
      </w:r>
      <w:r w:rsidR="00601030">
        <w:t>bn</w:t>
      </w:r>
      <w:r w:rsidRPr="00D9770B">
        <w:t xml:space="preserve"> of the complaint and will encourage engagement between the parties.  </w:t>
      </w:r>
    </w:p>
    <w:p w14:paraId="4ED3B75C" w14:textId="387E2ED7" w:rsidR="009D4181" w:rsidRDefault="000D2C29" w:rsidP="009475AE">
      <w:pPr>
        <w:spacing w:after="120" w:line="276" w:lineRule="auto"/>
        <w:ind w:left="1021" w:hanging="1021"/>
      </w:pPr>
      <w:r>
        <w:br w:type="page"/>
      </w:r>
    </w:p>
    <w:p w14:paraId="0D4EC7C6" w14:textId="4FA06A63" w:rsidR="00FB1C43" w:rsidRDefault="00FB1C43" w:rsidP="009475AE">
      <w:pPr>
        <w:pStyle w:val="Heading2"/>
        <w:spacing w:line="276" w:lineRule="auto"/>
      </w:pPr>
      <w:bookmarkStart w:id="57" w:name="_Toc406491071"/>
      <w:bookmarkStart w:id="58" w:name="_Toc406497280"/>
      <w:bookmarkStart w:id="59" w:name="_Toc422237727"/>
      <w:r>
        <w:t xml:space="preserve">Management of vulnerable </w:t>
      </w:r>
      <w:bookmarkEnd w:id="57"/>
      <w:bookmarkEnd w:id="58"/>
      <w:r w:rsidR="005E61C5">
        <w:t>end users</w:t>
      </w:r>
      <w:bookmarkEnd w:id="59"/>
    </w:p>
    <w:p w14:paraId="619546B5" w14:textId="20F13D69" w:rsidR="00C77C96" w:rsidRDefault="00C77C96" w:rsidP="00C77C96">
      <w:pPr>
        <w:pStyle w:val="BodyText"/>
        <w:spacing w:line="276" w:lineRule="auto"/>
      </w:pPr>
      <w:r>
        <w:t>It is important that end</w:t>
      </w:r>
      <w:r w:rsidR="00045783">
        <w:t xml:space="preserve"> </w:t>
      </w:r>
      <w:r>
        <w:t>users who rely upon a fixed telecommunications service for their health or safety (whether because of the application of a medical alarm or otherwise), and other vulnerable end</w:t>
      </w:r>
      <w:r w:rsidR="00045783">
        <w:t xml:space="preserve"> </w:t>
      </w:r>
      <w:r>
        <w:t xml:space="preserve">users, successfully migrate off the copper network prior to the </w:t>
      </w:r>
      <w:r w:rsidR="00C25C48">
        <w:t>D</w:t>
      </w:r>
      <w:r>
        <w:t xml:space="preserve">isconnection </w:t>
      </w:r>
      <w:r w:rsidR="00C25C48">
        <w:t>D</w:t>
      </w:r>
      <w:r>
        <w:t xml:space="preserve">ate for their service. Failure to do this may present a risk to their health or safety, or may otherwise result in an unnecessary disruption to their everyday lives. For this reason, migration of these services early in the Migration Window is strongly encouraged. The Government is also keen to ensure that the approach to nbn migration takes account of these customers.  </w:t>
      </w:r>
    </w:p>
    <w:p w14:paraId="36C68378" w14:textId="364F391B" w:rsidR="00C77C96" w:rsidRDefault="00C77C96" w:rsidP="00C77C96">
      <w:pPr>
        <w:pStyle w:val="BodyText"/>
        <w:spacing w:line="276" w:lineRule="auto"/>
      </w:pPr>
      <w:r>
        <w:t>The successful migration of these services is reliant upon the end</w:t>
      </w:r>
      <w:r w:rsidR="00045783">
        <w:t xml:space="preserve"> </w:t>
      </w:r>
      <w:r>
        <w:t>user receiving the necessary information and taking the appropriate action to migrate before their services are disconnected. In general terms, the customer (or end</w:t>
      </w:r>
      <w:r w:rsidR="00045783">
        <w:t xml:space="preserve"> </w:t>
      </w:r>
      <w:r>
        <w:t>user) of the telecommunications service is responsible for that service, including migrating the telecommunications service to an alternative network before disconnection, including any over-the-top service or application that is provided over that telecommunications service, such as a medical alarm or similar device.</w:t>
      </w:r>
    </w:p>
    <w:p w14:paraId="78AE5F3E" w14:textId="18BA9768" w:rsidR="00C77C96" w:rsidRDefault="00C77C96" w:rsidP="00C77C96">
      <w:pPr>
        <w:pStyle w:val="BodyText"/>
        <w:spacing w:line="276" w:lineRule="auto"/>
      </w:pPr>
      <w:r>
        <w:t xml:space="preserve">As noted above, the </w:t>
      </w:r>
      <w:r w:rsidR="005F2431">
        <w:t xml:space="preserve">national broadband network policy </w:t>
      </w:r>
      <w:r>
        <w:t xml:space="preserve">is premised on the mandatory disconnection of legacy </w:t>
      </w:r>
      <w:r w:rsidR="0007046F">
        <w:t xml:space="preserve">copper </w:t>
      </w:r>
      <w:r>
        <w:t xml:space="preserve">services </w:t>
      </w:r>
      <w:r w:rsidR="00A8686F" w:rsidRPr="00A8686F">
        <w:t xml:space="preserve">as the network is rolled out </w:t>
      </w:r>
      <w:r>
        <w:t xml:space="preserve">on a region by region basis, following the </w:t>
      </w:r>
      <w:r w:rsidR="00C25C48">
        <w:t>D</w:t>
      </w:r>
      <w:r>
        <w:t xml:space="preserve">isconnection </w:t>
      </w:r>
      <w:r w:rsidR="00C25C48">
        <w:t>D</w:t>
      </w:r>
      <w:r w:rsidR="00A8686F">
        <w:t>ate</w:t>
      </w:r>
      <w:r>
        <w:t>. It is therefore important that the parties who play a part in the migration process take steps to assist in the migration of these services well before the point in time at which mandatory disconnection occurs. The roles set out in the MAP are not intended to change disconnection timeframes or responsibilities, but to ensure that the management of these services occurs within the disconnection requirements and timeframes for services under the</w:t>
      </w:r>
      <w:r w:rsidR="0007046F" w:rsidRPr="0007046F">
        <w:t xml:space="preserve"> national broadband network policy</w:t>
      </w:r>
      <w:r>
        <w:t xml:space="preserve"> and related commercial arrangements between Telstra and nbn. </w:t>
      </w:r>
    </w:p>
    <w:p w14:paraId="5488C6C2" w14:textId="42DE0C7A" w:rsidR="00C77C96" w:rsidRDefault="00C77C96" w:rsidP="00C77C96">
      <w:pPr>
        <w:pStyle w:val="BodyText"/>
        <w:spacing w:line="276" w:lineRule="auto"/>
      </w:pPr>
      <w:r>
        <w:t>Nothing in the MAP, and nothing concerning the disconnection of the legacy services and the migration</w:t>
      </w:r>
      <w:r w:rsidR="002E5649">
        <w:t xml:space="preserve"> off the copper</w:t>
      </w:r>
      <w:r>
        <w:t>, is intended to change the responsibility of the end</w:t>
      </w:r>
      <w:r w:rsidR="00045783">
        <w:t xml:space="preserve"> </w:t>
      </w:r>
      <w:r>
        <w:t>user for ensuring their telecommunications service, and any medical alarm or other device applied over that service, is in good working order, both pre and post migration. However, end</w:t>
      </w:r>
      <w:r w:rsidR="00045783">
        <w:t xml:space="preserve"> </w:t>
      </w:r>
      <w:r>
        <w:t>users also need to be informed of the disconnection risk, and be aware of the steps they need to take to successfully migrate their services. In some circumstances, this may be challenging for vulnerable end</w:t>
      </w:r>
      <w:r w:rsidR="00045783">
        <w:t xml:space="preserve"> </w:t>
      </w:r>
      <w:r>
        <w:t xml:space="preserve">users. </w:t>
      </w:r>
    </w:p>
    <w:p w14:paraId="1E3DD66C" w14:textId="3C802180" w:rsidR="00C77C96" w:rsidRDefault="00C77C96" w:rsidP="00C77C96">
      <w:pPr>
        <w:pStyle w:val="BodyText"/>
        <w:spacing w:line="276" w:lineRule="auto"/>
      </w:pPr>
      <w:r>
        <w:t xml:space="preserve">To assist with this, the MAP sets out suggested actions that should be taken by various parties engaged in the migration process (e.g. end users, medical alarm/application service providers, </w:t>
      </w:r>
      <w:r w:rsidR="00947165">
        <w:t>RSP</w:t>
      </w:r>
      <w:r>
        <w:t xml:space="preserve">s, </w:t>
      </w:r>
      <w:r w:rsidR="002E5649">
        <w:t xml:space="preserve">nbn </w:t>
      </w:r>
      <w:r>
        <w:t>etc</w:t>
      </w:r>
      <w:r w:rsidR="002A2975">
        <w:t>.</w:t>
      </w:r>
      <w:r>
        <w:t>). All of these actions, when taken together, are intended to ensure the end</w:t>
      </w:r>
      <w:r w:rsidR="00045783">
        <w:t xml:space="preserve"> </w:t>
      </w:r>
      <w:r>
        <w:t xml:space="preserve">user is made aware of the need to migrate </w:t>
      </w:r>
      <w:r w:rsidR="00910887">
        <w:t>their</w:t>
      </w:r>
      <w:r>
        <w:t xml:space="preserve"> services (including any medical alarm service) well before disconnection occurs, and the implications of potential disconnection. This will help in ensuring reasonable action is taken well ahead of the </w:t>
      </w:r>
      <w:r w:rsidR="00C25C48">
        <w:t>D</w:t>
      </w:r>
      <w:r>
        <w:t xml:space="preserve">isconnection </w:t>
      </w:r>
      <w:r w:rsidR="00C25C48">
        <w:t>D</w:t>
      </w:r>
      <w:r>
        <w:t>ate of legacy services that may be used to support a person’s health or safety, to minimise the risk of inadvertent disconnection for vulnerable end</w:t>
      </w:r>
      <w:r w:rsidR="00045783">
        <w:t xml:space="preserve"> </w:t>
      </w:r>
      <w:r>
        <w:t xml:space="preserve">users. </w:t>
      </w:r>
    </w:p>
    <w:p w14:paraId="4557ADD3" w14:textId="72F8E85A" w:rsidR="00C77C96" w:rsidRDefault="00C77C96" w:rsidP="00C77C96">
      <w:pPr>
        <w:pStyle w:val="BodyText"/>
        <w:spacing w:before="0" w:line="276" w:lineRule="auto"/>
      </w:pPr>
      <w:r>
        <w:t xml:space="preserve">It is important to note that once the </w:t>
      </w:r>
      <w:r w:rsidR="00C25C48">
        <w:t>D</w:t>
      </w:r>
      <w:r>
        <w:t xml:space="preserve">isconnection </w:t>
      </w:r>
      <w:r w:rsidR="00C25C48">
        <w:t>D</w:t>
      </w:r>
      <w:r>
        <w:t>ate is reached and the managed disconnection period begins, telecommunications services of all customers without a valid n</w:t>
      </w:r>
      <w:r w:rsidR="009547EB">
        <w:t>ational broadband</w:t>
      </w:r>
      <w:r>
        <w:t xml:space="preserve"> </w:t>
      </w:r>
      <w:r w:rsidR="002E5649">
        <w:t xml:space="preserve">network </w:t>
      </w:r>
      <w:r>
        <w:t xml:space="preserve">order (including those supporting medical alarms and those used by vulnerable customers) will be subject to service restriction and disconnection. This includes services that are registered on </w:t>
      </w:r>
      <w:r w:rsidR="00910887">
        <w:t>the</w:t>
      </w:r>
      <w:r>
        <w:t xml:space="preserve"> </w:t>
      </w:r>
      <w:r w:rsidR="00082033">
        <w:t>M</w:t>
      </w:r>
      <w:r>
        <w:t xml:space="preserve">edical </w:t>
      </w:r>
      <w:r w:rsidR="00082033">
        <w:t>A</w:t>
      </w:r>
      <w:r>
        <w:t xml:space="preserve">larm </w:t>
      </w:r>
      <w:r w:rsidR="00082033">
        <w:t>R</w:t>
      </w:r>
      <w:r>
        <w:t xml:space="preserve">egister or which are identified by Telstra as Priority Assist customers. </w:t>
      </w:r>
      <w:r>
        <w:br/>
      </w:r>
      <w:r>
        <w:br/>
        <w:t>Accordingly, end</w:t>
      </w:r>
      <w:r w:rsidR="00045783">
        <w:t xml:space="preserve"> </w:t>
      </w:r>
      <w:r>
        <w:t>users (and particularly vulnerable end</w:t>
      </w:r>
      <w:r w:rsidR="00045783">
        <w:t xml:space="preserve"> </w:t>
      </w:r>
      <w:r>
        <w:t>users) need to migrate their services early in the migration window to minimise the risk of disconnection</w:t>
      </w:r>
      <w:r w:rsidR="002E5649" w:rsidRPr="002E5649">
        <w:t xml:space="preserve"> </w:t>
      </w:r>
      <w:r w:rsidR="002E5649">
        <w:t>occurring without an alternative service in operation</w:t>
      </w:r>
      <w:r>
        <w:t xml:space="preserve">, and to ensure their alternative service is working, before disconnection occurs. </w:t>
      </w:r>
    </w:p>
    <w:p w14:paraId="4FB44128" w14:textId="7B7B5660" w:rsidR="00C77C96" w:rsidRPr="00935EAB" w:rsidRDefault="00C77C96" w:rsidP="00C77C96">
      <w:pPr>
        <w:pStyle w:val="BodyText"/>
        <w:spacing w:line="276" w:lineRule="auto"/>
        <w:rPr>
          <w:b/>
        </w:rPr>
      </w:pPr>
      <w:r>
        <w:rPr>
          <w:b/>
        </w:rPr>
        <w:t>Types of Vulnerable End</w:t>
      </w:r>
      <w:r w:rsidR="00045783">
        <w:rPr>
          <w:b/>
        </w:rPr>
        <w:t xml:space="preserve"> </w:t>
      </w:r>
      <w:r>
        <w:rPr>
          <w:b/>
        </w:rPr>
        <w:t>Users</w:t>
      </w:r>
    </w:p>
    <w:p w14:paraId="51347CA3" w14:textId="3003B9B5" w:rsidR="00C77C96" w:rsidRDefault="00C77C96" w:rsidP="00C77C96">
      <w:pPr>
        <w:pStyle w:val="BodyText"/>
        <w:spacing w:line="276" w:lineRule="auto"/>
      </w:pPr>
      <w:r>
        <w:t>In the context of migration to nbn</w:t>
      </w:r>
      <w:r w:rsidR="00503AA2">
        <w:t>’s network</w:t>
      </w:r>
      <w:r>
        <w:t>, vulnerable end</w:t>
      </w:r>
      <w:r w:rsidR="00045783">
        <w:t xml:space="preserve"> </w:t>
      </w:r>
      <w:r>
        <w:t>users are categorised by Government using a tiered approach which is determined based on their needs.</w:t>
      </w:r>
    </w:p>
    <w:p w14:paraId="659E62A3" w14:textId="5FC47E8A" w:rsidR="00C77C96" w:rsidRDefault="00C77C96" w:rsidP="00C77C96">
      <w:pPr>
        <w:pStyle w:val="BodyText"/>
        <w:spacing w:line="276" w:lineRule="auto"/>
      </w:pPr>
      <w:r>
        <w:t>Tier one vulnerable end</w:t>
      </w:r>
      <w:r w:rsidR="00045783">
        <w:t xml:space="preserve"> </w:t>
      </w:r>
      <w:r>
        <w:t>users are classified as those who may be at serious risk due to the migration from the copper network to nbn</w:t>
      </w:r>
      <w:r w:rsidR="00503AA2">
        <w:t>’s network</w:t>
      </w:r>
      <w:r>
        <w:t>.</w:t>
      </w:r>
    </w:p>
    <w:p w14:paraId="591D221F" w14:textId="10374D73" w:rsidR="00C77C96" w:rsidRDefault="00C77C96" w:rsidP="00C77C96">
      <w:pPr>
        <w:pStyle w:val="BodyText"/>
        <w:spacing w:line="276" w:lineRule="auto"/>
      </w:pPr>
      <w:r>
        <w:t>Tier two vulnerable end</w:t>
      </w:r>
      <w:r w:rsidR="00045783">
        <w:t xml:space="preserve"> </w:t>
      </w:r>
      <w:r>
        <w:t>users are classified as those whose circumstances present barriers to obtaining or understanding information relating to their need to migrate.</w:t>
      </w:r>
    </w:p>
    <w:p w14:paraId="4DB2F50C" w14:textId="050F6DD2" w:rsidR="00C77C96" w:rsidRDefault="00C77C96" w:rsidP="00C77C96">
      <w:pPr>
        <w:pStyle w:val="Heading3"/>
        <w:numPr>
          <w:ilvl w:val="2"/>
          <w:numId w:val="39"/>
        </w:numPr>
        <w:spacing w:line="276" w:lineRule="auto"/>
        <w:rPr>
          <w:b w:val="0"/>
        </w:rPr>
      </w:pPr>
      <w:bookmarkStart w:id="60" w:name="_Toc422237728"/>
      <w:r>
        <w:rPr>
          <w:b w:val="0"/>
        </w:rPr>
        <w:t>Tier one vulnerable end</w:t>
      </w:r>
      <w:r w:rsidR="00045783">
        <w:rPr>
          <w:b w:val="0"/>
        </w:rPr>
        <w:t xml:space="preserve"> </w:t>
      </w:r>
      <w:r>
        <w:rPr>
          <w:b w:val="0"/>
        </w:rPr>
        <w:t>users</w:t>
      </w:r>
      <w:bookmarkEnd w:id="60"/>
    </w:p>
    <w:p w14:paraId="656FBBE0" w14:textId="117A71BC" w:rsidR="00C77C96" w:rsidRDefault="00C77C96" w:rsidP="00C77C96">
      <w:pPr>
        <w:spacing w:line="276" w:lineRule="auto"/>
        <w:rPr>
          <w:rFonts w:cstheme="minorHAnsi"/>
        </w:rPr>
      </w:pPr>
      <w:r>
        <w:rPr>
          <w:rFonts w:cstheme="minorHAnsi"/>
        </w:rPr>
        <w:t xml:space="preserve">For a subset of the population, the act of migrating from the copper network to </w:t>
      </w:r>
      <w:r w:rsidR="00503AA2">
        <w:rPr>
          <w:rFonts w:cstheme="minorHAnsi"/>
        </w:rPr>
        <w:t>nbn’s network</w:t>
      </w:r>
      <w:r>
        <w:rPr>
          <w:rFonts w:cstheme="minorHAnsi"/>
        </w:rPr>
        <w:t xml:space="preserve"> may bring with it potential outages and disruptions to an end user’s services that could pose a threat to their health or wellbeing</w:t>
      </w:r>
      <w:r>
        <w:t xml:space="preserve"> </w:t>
      </w:r>
      <w:r>
        <w:rPr>
          <w:rFonts w:cstheme="minorHAnsi"/>
        </w:rPr>
        <w:t>if they don’t have access to alternative mechanisms to communicate, and an adverse situation arises at the time of the service disruption. In light of this, these end</w:t>
      </w:r>
      <w:r w:rsidR="00045783">
        <w:rPr>
          <w:rFonts w:cstheme="minorHAnsi"/>
        </w:rPr>
        <w:t xml:space="preserve"> </w:t>
      </w:r>
      <w:r>
        <w:rPr>
          <w:rFonts w:cstheme="minorHAnsi"/>
        </w:rPr>
        <w:t>users may need a higher level of support to migrate and may require information to be delivered in alternate formats or through alternate parties (other than their RSP or nbn) in order to process information and take the required action. These end</w:t>
      </w:r>
      <w:r w:rsidR="00045783">
        <w:rPr>
          <w:rFonts w:cstheme="minorHAnsi"/>
        </w:rPr>
        <w:t xml:space="preserve"> </w:t>
      </w:r>
      <w:r>
        <w:rPr>
          <w:rFonts w:cstheme="minorHAnsi"/>
        </w:rPr>
        <w:t>user segments include:</w:t>
      </w:r>
    </w:p>
    <w:p w14:paraId="0A877D82" w14:textId="77777777" w:rsidR="00C77C96" w:rsidRDefault="00C77C96" w:rsidP="00C77C96">
      <w:pPr>
        <w:pStyle w:val="ListParagraph"/>
        <w:numPr>
          <w:ilvl w:val="0"/>
          <w:numId w:val="53"/>
        </w:numPr>
        <w:spacing w:before="0" w:line="276" w:lineRule="auto"/>
        <w:rPr>
          <w:rFonts w:cstheme="minorHAnsi"/>
        </w:rPr>
      </w:pPr>
      <w:r>
        <w:rPr>
          <w:rFonts w:cstheme="minorHAnsi"/>
        </w:rPr>
        <w:t>those with medical alarms that function over the copper network</w:t>
      </w:r>
    </w:p>
    <w:p w14:paraId="0AE6A4BE" w14:textId="2169F10C" w:rsidR="00C77C96" w:rsidRDefault="00C77C96" w:rsidP="00C77C96">
      <w:pPr>
        <w:pStyle w:val="ListParagraph"/>
        <w:numPr>
          <w:ilvl w:val="0"/>
          <w:numId w:val="53"/>
        </w:numPr>
        <w:spacing w:before="0" w:line="276" w:lineRule="auto"/>
        <w:rPr>
          <w:rFonts w:cstheme="minorHAnsi"/>
        </w:rPr>
      </w:pPr>
      <w:r>
        <w:rPr>
          <w:rFonts w:cstheme="minorHAnsi"/>
        </w:rPr>
        <w:t>priority assistance end</w:t>
      </w:r>
      <w:r w:rsidR="00045783">
        <w:rPr>
          <w:rFonts w:cstheme="minorHAnsi"/>
        </w:rPr>
        <w:t xml:space="preserve"> </w:t>
      </w:r>
      <w:r>
        <w:rPr>
          <w:rFonts w:cstheme="minorHAnsi"/>
        </w:rPr>
        <w:t>users.</w:t>
      </w:r>
    </w:p>
    <w:p w14:paraId="4D4ACF8F" w14:textId="7851123A" w:rsidR="00C77C96" w:rsidRDefault="00C77C96" w:rsidP="00C77C96">
      <w:pPr>
        <w:pStyle w:val="Bodytext-Indent"/>
        <w:spacing w:line="276" w:lineRule="auto"/>
        <w:ind w:left="0"/>
      </w:pPr>
      <w:r>
        <w:t>By identifying those end</w:t>
      </w:r>
      <w:r w:rsidR="00045783">
        <w:t xml:space="preserve"> </w:t>
      </w:r>
      <w:r>
        <w:t>users who are heavily reliant upon their services, strategies can be put in place to minimise any risk to them by incenti</w:t>
      </w:r>
      <w:r w:rsidR="00503AA2">
        <w:t>visi</w:t>
      </w:r>
      <w:r>
        <w:t>ng and assisting with early migration.</w:t>
      </w:r>
    </w:p>
    <w:p w14:paraId="4A09862D" w14:textId="77777777" w:rsidR="00C77C96" w:rsidRDefault="00C77C96" w:rsidP="00C77C96">
      <w:pPr>
        <w:pStyle w:val="Bodytext-Indent"/>
        <w:spacing w:before="0" w:after="0" w:line="276" w:lineRule="auto"/>
        <w:ind w:left="0"/>
        <w:rPr>
          <w:b/>
        </w:rPr>
      </w:pPr>
      <w:r>
        <w:rPr>
          <w:b/>
        </w:rPr>
        <w:t>Medical alarm users</w:t>
      </w:r>
    </w:p>
    <w:p w14:paraId="6A6D5565" w14:textId="77777777" w:rsidR="00C77C96" w:rsidRDefault="00C77C96" w:rsidP="00C77C96">
      <w:pPr>
        <w:pStyle w:val="Bodytext-Indent"/>
        <w:spacing w:before="0" w:after="0" w:line="276" w:lineRule="auto"/>
        <w:ind w:left="0"/>
        <w:rPr>
          <w:b/>
        </w:rPr>
      </w:pPr>
      <w:r>
        <w:t xml:space="preserve">Medical alarms are used to provide a safety net for emergency situations, where the access or use of the standard telephone handset or mobile device is not possible. </w:t>
      </w:r>
    </w:p>
    <w:p w14:paraId="7F71F6DA" w14:textId="2A5F2067" w:rsidR="00C77C96" w:rsidRDefault="00C77C96" w:rsidP="00C77C96">
      <w:pPr>
        <w:pStyle w:val="BodyText"/>
        <w:spacing w:line="276" w:lineRule="auto"/>
      </w:pPr>
      <w:r>
        <w:t>The migration of premises with medical alarms is made more complex by the additional technical and financial implications and the necessary careful coordination of several parties involved in connecting the new service (the end</w:t>
      </w:r>
      <w:r w:rsidR="00045783">
        <w:t xml:space="preserve"> </w:t>
      </w:r>
      <w:r>
        <w:t xml:space="preserve">user, application service provider, RSP and nbn). Given the number of stakeholders involved, migration off the copper network therefore raises the risk that there may be service disruption for medical alarm users.  </w:t>
      </w:r>
    </w:p>
    <w:p w14:paraId="0E1128DA" w14:textId="1BBCBD16" w:rsidR="00910887" w:rsidRPr="0083573C" w:rsidRDefault="00B91F53" w:rsidP="00C77C96">
      <w:pPr>
        <w:pStyle w:val="BodyText"/>
        <w:spacing w:line="276" w:lineRule="auto"/>
      </w:pPr>
      <w:r w:rsidRPr="00B91F53">
        <w:t xml:space="preserve">nbn and the Government are continuing to develop ways to assist medical alarm users to migrate off the legacy networks, any additional mechanisms will be </w:t>
      </w:r>
      <w:r>
        <w:t>advised once finalised by nbn. In the meantime, t</w:t>
      </w:r>
      <w:r w:rsidRPr="00B91F53">
        <w:t>o assist medical alarm users, the MAP recognises the roles of key stakeholders in</w:t>
      </w:r>
      <w:r w:rsidR="001D6C79">
        <w:t xml:space="preserve"> the process as set out below.</w:t>
      </w:r>
    </w:p>
    <w:p w14:paraId="12CA90AC" w14:textId="77777777" w:rsidR="0082350A" w:rsidRDefault="0082350A">
      <w:pPr>
        <w:spacing w:after="120"/>
        <w:ind w:left="1021" w:hanging="1021"/>
        <w:rPr>
          <w:u w:val="single"/>
        </w:rPr>
      </w:pPr>
      <w:r>
        <w:rPr>
          <w:u w:val="single"/>
        </w:rPr>
        <w:br w:type="page"/>
      </w:r>
    </w:p>
    <w:p w14:paraId="0038B3B4" w14:textId="6E9CDCAB" w:rsidR="00C77C96" w:rsidRDefault="00C77C96" w:rsidP="00C77C96">
      <w:pPr>
        <w:pStyle w:val="BodyText"/>
        <w:spacing w:after="0" w:line="276" w:lineRule="auto"/>
        <w:rPr>
          <w:u w:val="single"/>
        </w:rPr>
      </w:pPr>
      <w:r>
        <w:rPr>
          <w:u w:val="single"/>
        </w:rPr>
        <w:t xml:space="preserve">Role of </w:t>
      </w:r>
      <w:r w:rsidR="00045783">
        <w:rPr>
          <w:u w:val="single"/>
        </w:rPr>
        <w:t>m</w:t>
      </w:r>
      <w:r>
        <w:rPr>
          <w:u w:val="single"/>
        </w:rPr>
        <w:t xml:space="preserve">edical alarm users:  </w:t>
      </w:r>
    </w:p>
    <w:p w14:paraId="1A52B3CB" w14:textId="3FB0CC31" w:rsidR="00C77C96" w:rsidRDefault="00C77C96" w:rsidP="00C77C96">
      <w:pPr>
        <w:pStyle w:val="BodyText"/>
        <w:numPr>
          <w:ilvl w:val="0"/>
          <w:numId w:val="56"/>
        </w:numPr>
        <w:spacing w:before="0" w:after="0" w:line="276" w:lineRule="auto"/>
      </w:pPr>
      <w:r>
        <w:t xml:space="preserve">taking action to inform themselves about the nbn requirements, </w:t>
      </w:r>
      <w:r w:rsidR="000644A1">
        <w:t xml:space="preserve">including </w:t>
      </w:r>
      <w:r>
        <w:t>when the nbn may be available in their area</w:t>
      </w:r>
      <w:r w:rsidR="000644A1">
        <w:t>,</w:t>
      </w:r>
      <w:r>
        <w:t xml:space="preserve"> and when action may need to be taken to maintain their telecommunications service and avoid disconnection </w:t>
      </w:r>
    </w:p>
    <w:p w14:paraId="57C51B2F" w14:textId="676711EC" w:rsidR="000644A1" w:rsidRDefault="000644A1" w:rsidP="000644A1">
      <w:pPr>
        <w:pStyle w:val="ListParagraph"/>
        <w:numPr>
          <w:ilvl w:val="0"/>
          <w:numId w:val="56"/>
        </w:numPr>
        <w:spacing w:before="0"/>
      </w:pPr>
      <w:r w:rsidRPr="000644A1">
        <w:t>registering the details of their medical alarm on nbn’s Medical Alarm Register</w:t>
      </w:r>
    </w:p>
    <w:p w14:paraId="40886721" w14:textId="55967218" w:rsidR="000644A1" w:rsidRDefault="000644A1" w:rsidP="00C77C96">
      <w:pPr>
        <w:pStyle w:val="BodyText"/>
        <w:numPr>
          <w:ilvl w:val="0"/>
          <w:numId w:val="56"/>
        </w:numPr>
        <w:spacing w:before="0" w:after="0" w:line="276" w:lineRule="auto"/>
      </w:pPr>
      <w:r w:rsidRPr="000644A1">
        <w:t xml:space="preserve">working with their application service provider (if any) and their RSP </w:t>
      </w:r>
      <w:r>
        <w:t>to safely migrate</w:t>
      </w:r>
      <w:r w:rsidR="00C77C96">
        <w:t xml:space="preserve"> their telecommunications service during the migration window, whether to a service over </w:t>
      </w:r>
      <w:r w:rsidR="00910887">
        <w:t xml:space="preserve">the </w:t>
      </w:r>
      <w:r w:rsidR="00C77C96">
        <w:t xml:space="preserve">nbn, or a service provided over a different network, </w:t>
      </w:r>
    </w:p>
    <w:p w14:paraId="29EA50A8" w14:textId="4BE93661" w:rsidR="00C77C96" w:rsidRDefault="00C77C96" w:rsidP="000644A1">
      <w:pPr>
        <w:pStyle w:val="BodyText"/>
        <w:numPr>
          <w:ilvl w:val="1"/>
          <w:numId w:val="56"/>
        </w:numPr>
        <w:spacing w:before="0" w:after="0" w:line="276" w:lineRule="auto"/>
      </w:pPr>
      <w:r>
        <w:t xml:space="preserve">This includes obtaining the assistance of any party (such as a registered cabler, their medical alarm provider, or an RSP) required to ensure a successful migration of the service and a functioning alternative service that meets their requirements </w:t>
      </w:r>
    </w:p>
    <w:p w14:paraId="2BF296CC" w14:textId="0E59C549" w:rsidR="000644A1" w:rsidRDefault="00C77C96" w:rsidP="000644A1">
      <w:pPr>
        <w:pStyle w:val="BodyText"/>
        <w:numPr>
          <w:ilvl w:val="0"/>
          <w:numId w:val="56"/>
        </w:numPr>
        <w:spacing w:before="0" w:after="0" w:line="276" w:lineRule="auto"/>
      </w:pPr>
      <w:r>
        <w:t xml:space="preserve">contacting the manufacturer of the alarm or the retailer from which they purchased the alarm to find out whether it will continue to function over </w:t>
      </w:r>
      <w:r w:rsidR="00C34043">
        <w:t xml:space="preserve">the </w:t>
      </w:r>
      <w:r w:rsidR="00C34043" w:rsidRPr="00C34043">
        <w:t xml:space="preserve">national broadband network </w:t>
      </w:r>
      <w:r w:rsidR="000644A1">
        <w:t xml:space="preserve">(for unmonitored </w:t>
      </w:r>
      <w:r>
        <w:t>medical alarm</w:t>
      </w:r>
      <w:r w:rsidR="005F2431">
        <w:t>s</w:t>
      </w:r>
      <w:r>
        <w:t>)</w:t>
      </w:r>
      <w:r w:rsidR="000644A1">
        <w:t>.</w:t>
      </w:r>
    </w:p>
    <w:p w14:paraId="7D0C6E36" w14:textId="4697626A" w:rsidR="00C77C96" w:rsidRDefault="00C77C96" w:rsidP="004159BB">
      <w:pPr>
        <w:rPr>
          <w:u w:val="single"/>
        </w:rPr>
      </w:pPr>
      <w:r>
        <w:rPr>
          <w:u w:val="single"/>
        </w:rPr>
        <w:t xml:space="preserve">Role of nbn:  </w:t>
      </w:r>
    </w:p>
    <w:p w14:paraId="7C65FEC7" w14:textId="6F41074D" w:rsidR="006F069F" w:rsidRDefault="006F069F" w:rsidP="006F069F">
      <w:pPr>
        <w:numPr>
          <w:ilvl w:val="0"/>
          <w:numId w:val="26"/>
        </w:numPr>
        <w:spacing w:before="0" w:line="276" w:lineRule="auto"/>
        <w:rPr>
          <w:rFonts w:eastAsia="Calibri" w:cs="Times New Roman"/>
        </w:rPr>
      </w:pPr>
      <w:r w:rsidRPr="007D3132">
        <w:rPr>
          <w:rFonts w:eastAsia="Calibri" w:cs="Times New Roman"/>
        </w:rPr>
        <w:t>promoting awareness</w:t>
      </w:r>
      <w:r w:rsidRPr="000512BE">
        <w:rPr>
          <w:rFonts w:eastAsia="Calibri" w:cs="Times New Roman"/>
        </w:rPr>
        <w:t xml:space="preserve">, including via the PIM, </w:t>
      </w:r>
      <w:r w:rsidRPr="007D3132">
        <w:rPr>
          <w:rFonts w:eastAsia="Calibri" w:cs="Times New Roman"/>
        </w:rPr>
        <w:t xml:space="preserve">of the impact of migration </w:t>
      </w:r>
      <w:r>
        <w:rPr>
          <w:rFonts w:eastAsia="Calibri" w:cs="Times New Roman"/>
        </w:rPr>
        <w:t>on</w:t>
      </w:r>
      <w:r w:rsidRPr="007D3132">
        <w:rPr>
          <w:rFonts w:eastAsia="Calibri" w:cs="Times New Roman"/>
        </w:rPr>
        <w:t xml:space="preserve"> </w:t>
      </w:r>
      <w:r>
        <w:rPr>
          <w:rFonts w:eastAsia="Calibri" w:cs="Times New Roman"/>
        </w:rPr>
        <w:t>end users</w:t>
      </w:r>
      <w:r w:rsidRPr="007D3132">
        <w:rPr>
          <w:rFonts w:eastAsia="Calibri" w:cs="Times New Roman"/>
        </w:rPr>
        <w:t xml:space="preserve">’ services, including the action that needs to be taken to ensure services such as </w:t>
      </w:r>
      <w:r>
        <w:rPr>
          <w:rFonts w:eastAsia="Calibri" w:cs="Times New Roman"/>
        </w:rPr>
        <w:t xml:space="preserve">medical alarms are successfully migrated to </w:t>
      </w:r>
      <w:r w:rsidRPr="007D3132">
        <w:rPr>
          <w:rFonts w:eastAsia="Calibri" w:cs="Times New Roman"/>
        </w:rPr>
        <w:t xml:space="preserve">suitable alternative </w:t>
      </w:r>
      <w:r>
        <w:rPr>
          <w:rFonts w:eastAsia="Calibri" w:cs="Times New Roman"/>
        </w:rPr>
        <w:t xml:space="preserve">services </w:t>
      </w:r>
      <w:r w:rsidRPr="000512BE">
        <w:rPr>
          <w:rFonts w:eastAsia="Calibri" w:cs="Times New Roman"/>
        </w:rPr>
        <w:t>early in the migration window, and</w:t>
      </w:r>
      <w:r>
        <w:rPr>
          <w:rFonts w:eastAsia="Calibri" w:cs="Times New Roman"/>
        </w:rPr>
        <w:t xml:space="preserve"> well in </w:t>
      </w:r>
      <w:r w:rsidRPr="00B35E7F">
        <w:rPr>
          <w:rFonts w:eastAsia="Calibri" w:cs="Times New Roman"/>
        </w:rPr>
        <w:t>advance of the Disconnection Date</w:t>
      </w:r>
      <w:r>
        <w:rPr>
          <w:rFonts w:eastAsia="Calibri" w:cs="Times New Roman"/>
        </w:rPr>
        <w:t>.</w:t>
      </w:r>
      <w:r w:rsidRPr="00B35E7F">
        <w:rPr>
          <w:rFonts w:eastAsia="Calibri" w:cs="Times New Roman"/>
        </w:rPr>
        <w:t xml:space="preserve"> </w:t>
      </w:r>
      <w:r>
        <w:rPr>
          <w:rFonts w:eastAsia="Calibri" w:cs="Times New Roman"/>
        </w:rPr>
        <w:t>This includes:</w:t>
      </w:r>
    </w:p>
    <w:p w14:paraId="6FEC2083" w14:textId="49648DE4" w:rsidR="006F069F" w:rsidRDefault="006F069F" w:rsidP="006F069F">
      <w:pPr>
        <w:pStyle w:val="ListParagraph"/>
        <w:numPr>
          <w:ilvl w:val="1"/>
          <w:numId w:val="26"/>
        </w:numPr>
        <w:spacing w:before="0" w:after="160" w:line="276" w:lineRule="auto"/>
        <w:rPr>
          <w:rFonts w:eastAsia="Calibri" w:cs="Times New Roman"/>
        </w:rPr>
      </w:pPr>
      <w:r w:rsidRPr="00F1142D">
        <w:rPr>
          <w:rFonts w:eastAsia="Calibri" w:cs="Times New Roman"/>
        </w:rPr>
        <w:t>notify</w:t>
      </w:r>
      <w:r>
        <w:rPr>
          <w:rFonts w:eastAsia="Calibri" w:cs="Times New Roman"/>
        </w:rPr>
        <w:t>ing</w:t>
      </w:r>
      <w:r w:rsidRPr="00F1142D">
        <w:rPr>
          <w:rFonts w:eastAsia="Calibri" w:cs="Times New Roman"/>
        </w:rPr>
        <w:t xml:space="preserve"> </w:t>
      </w:r>
      <w:r w:rsidRPr="000512BE">
        <w:rPr>
          <w:rFonts w:eastAsia="Calibri" w:cs="Times New Roman"/>
        </w:rPr>
        <w:t xml:space="preserve">end users </w:t>
      </w:r>
      <w:r>
        <w:rPr>
          <w:rFonts w:eastAsia="Calibri" w:cs="Times New Roman"/>
        </w:rPr>
        <w:t xml:space="preserve">and medical alarm service providers </w:t>
      </w:r>
      <w:r w:rsidRPr="00F1142D">
        <w:rPr>
          <w:rFonts w:eastAsia="Calibri" w:cs="Times New Roman"/>
        </w:rPr>
        <w:t>about the impact, or likely impact, of migration on their services, and the need to migrate</w:t>
      </w:r>
      <w:r>
        <w:rPr>
          <w:rFonts w:eastAsia="Calibri" w:cs="Times New Roman"/>
        </w:rPr>
        <w:t xml:space="preserve"> early</w:t>
      </w:r>
      <w:r w:rsidRPr="00F1142D">
        <w:rPr>
          <w:rFonts w:eastAsia="Calibri" w:cs="Times New Roman"/>
        </w:rPr>
        <w:t xml:space="preserve">, and encouraging them to register on nbn’s </w:t>
      </w:r>
      <w:r w:rsidR="001D6C79">
        <w:rPr>
          <w:rFonts w:eastAsia="Calibri" w:cs="Times New Roman"/>
        </w:rPr>
        <w:t>M</w:t>
      </w:r>
      <w:r>
        <w:rPr>
          <w:rFonts w:eastAsia="Calibri" w:cs="Times New Roman"/>
        </w:rPr>
        <w:t xml:space="preserve">edical </w:t>
      </w:r>
      <w:r w:rsidR="001D6C79">
        <w:rPr>
          <w:rFonts w:eastAsia="Calibri" w:cs="Times New Roman"/>
        </w:rPr>
        <w:t>Alarm R</w:t>
      </w:r>
      <w:r w:rsidRPr="00F1142D">
        <w:rPr>
          <w:rFonts w:eastAsia="Calibri" w:cs="Times New Roman"/>
        </w:rPr>
        <w:t>egister</w:t>
      </w:r>
      <w:r w:rsidRPr="00F1142D">
        <w:t xml:space="preserve"> </w:t>
      </w:r>
      <w:r>
        <w:t xml:space="preserve">early and </w:t>
      </w:r>
      <w:r w:rsidRPr="00F1142D">
        <w:rPr>
          <w:rFonts w:eastAsia="Calibri" w:cs="Times New Roman"/>
        </w:rPr>
        <w:t>to confirm with nbn when the service has been successfully migrated to another network</w:t>
      </w:r>
      <w:r>
        <w:rPr>
          <w:rFonts w:eastAsia="Calibri" w:cs="Times New Roman"/>
        </w:rPr>
        <w:t>; and</w:t>
      </w:r>
      <w:r w:rsidRPr="00F1142D">
        <w:rPr>
          <w:rFonts w:eastAsia="Calibri" w:cs="Times New Roman"/>
        </w:rPr>
        <w:t xml:space="preserve"> </w:t>
      </w:r>
    </w:p>
    <w:p w14:paraId="50A8241F" w14:textId="042AED2D" w:rsidR="006F069F" w:rsidRPr="002C020E" w:rsidRDefault="006F069F" w:rsidP="006F069F">
      <w:pPr>
        <w:pStyle w:val="ListParagraph"/>
        <w:numPr>
          <w:ilvl w:val="1"/>
          <w:numId w:val="26"/>
        </w:numPr>
        <w:spacing w:before="0" w:after="160" w:line="276" w:lineRule="auto"/>
        <w:rPr>
          <w:rFonts w:eastAsia="Calibri" w:cs="Times New Roman"/>
        </w:rPr>
      </w:pPr>
      <w:r>
        <w:rPr>
          <w:rFonts w:eastAsia="Calibri" w:cs="Times New Roman"/>
        </w:rPr>
        <w:t xml:space="preserve">encouraging </w:t>
      </w:r>
      <w:r w:rsidRPr="002C020E">
        <w:rPr>
          <w:rFonts w:eastAsia="Calibri" w:cs="Times New Roman"/>
        </w:rPr>
        <w:t xml:space="preserve">end users to contact their </w:t>
      </w:r>
      <w:r>
        <w:rPr>
          <w:rFonts w:eastAsia="Calibri" w:cs="Times New Roman"/>
        </w:rPr>
        <w:t>medical alarm service provider and</w:t>
      </w:r>
      <w:r w:rsidRPr="002C020E">
        <w:rPr>
          <w:rFonts w:eastAsia="Calibri" w:cs="Times New Roman"/>
        </w:rPr>
        <w:t xml:space="preserve"> preferred RSP early in the migration window to reduce the ch</w:t>
      </w:r>
      <w:r>
        <w:rPr>
          <w:rFonts w:eastAsia="Calibri" w:cs="Times New Roman"/>
        </w:rPr>
        <w:t>ance of migration difficulties; and</w:t>
      </w:r>
      <w:r w:rsidRPr="002C020E">
        <w:rPr>
          <w:rFonts w:eastAsia="Calibri" w:cs="Times New Roman"/>
        </w:rPr>
        <w:t xml:space="preserve"> </w:t>
      </w:r>
    </w:p>
    <w:p w14:paraId="5D7E8DB4" w14:textId="77777777" w:rsidR="006F069F" w:rsidRDefault="006F069F" w:rsidP="006F069F">
      <w:pPr>
        <w:pStyle w:val="ListParagraph"/>
        <w:numPr>
          <w:ilvl w:val="1"/>
          <w:numId w:val="26"/>
        </w:numPr>
        <w:spacing w:before="0" w:line="276" w:lineRule="auto"/>
        <w:rPr>
          <w:rFonts w:eastAsia="Calibri" w:cs="Times New Roman"/>
        </w:rPr>
      </w:pPr>
      <w:r w:rsidRPr="002C020E">
        <w:rPr>
          <w:rFonts w:eastAsia="Calibri" w:cs="Times New Roman"/>
        </w:rPr>
        <w:t xml:space="preserve">developing communication approaches for those </w:t>
      </w:r>
      <w:r>
        <w:rPr>
          <w:rFonts w:eastAsia="Calibri" w:cs="Times New Roman"/>
        </w:rPr>
        <w:t>end-users who still have</w:t>
      </w:r>
      <w:r w:rsidRPr="002C020E">
        <w:rPr>
          <w:rFonts w:eastAsia="Calibri" w:cs="Times New Roman"/>
        </w:rPr>
        <w:t xml:space="preserve"> remaining active copper </w:t>
      </w:r>
      <w:r>
        <w:rPr>
          <w:rFonts w:eastAsia="Calibri" w:cs="Times New Roman"/>
        </w:rPr>
        <w:t xml:space="preserve">close </w:t>
      </w:r>
      <w:r w:rsidRPr="002C020E">
        <w:rPr>
          <w:rFonts w:eastAsia="Calibri" w:cs="Times New Roman"/>
        </w:rPr>
        <w:t>to the Disconnection Date</w:t>
      </w:r>
      <w:r>
        <w:rPr>
          <w:rFonts w:eastAsia="Calibri" w:cs="Times New Roman"/>
        </w:rPr>
        <w:t xml:space="preserve"> to encourage migration before mandatory disconnection occurs</w:t>
      </w:r>
      <w:r w:rsidRPr="002C020E">
        <w:rPr>
          <w:rFonts w:eastAsia="Calibri" w:cs="Times New Roman"/>
        </w:rPr>
        <w:t>.</w:t>
      </w:r>
    </w:p>
    <w:p w14:paraId="4422CCEA" w14:textId="5B0F276D" w:rsidR="00076B51" w:rsidRDefault="006F069F" w:rsidP="0082350A">
      <w:pPr>
        <w:pStyle w:val="BodyText"/>
        <w:numPr>
          <w:ilvl w:val="0"/>
          <w:numId w:val="54"/>
        </w:numPr>
        <w:spacing w:before="0" w:after="0" w:line="276" w:lineRule="auto"/>
      </w:pPr>
      <w:r w:rsidRPr="0082350A">
        <w:t xml:space="preserve"> </w:t>
      </w:r>
      <w:r w:rsidR="0082350A" w:rsidRPr="0082350A">
        <w:t xml:space="preserve">developing, implementing and managing nbn’s Medical Alarm Register, including </w:t>
      </w:r>
    </w:p>
    <w:p w14:paraId="06063BC7" w14:textId="77777777" w:rsidR="00076B51" w:rsidRDefault="0082350A" w:rsidP="00076B51">
      <w:pPr>
        <w:pStyle w:val="BodyText"/>
        <w:numPr>
          <w:ilvl w:val="1"/>
          <w:numId w:val="54"/>
        </w:numPr>
        <w:spacing w:before="0" w:after="0" w:line="276" w:lineRule="auto"/>
      </w:pPr>
      <w:r w:rsidRPr="0082350A">
        <w:t>obtaining the details of the premises at which a service is used to support a medical alarm</w:t>
      </w:r>
      <w:r w:rsidR="00076B51">
        <w:t xml:space="preserve"> and</w:t>
      </w:r>
    </w:p>
    <w:p w14:paraId="0CECBA97" w14:textId="38300448" w:rsidR="0082350A" w:rsidRDefault="0082350A" w:rsidP="00076B51">
      <w:pPr>
        <w:pStyle w:val="BodyText"/>
        <w:numPr>
          <w:ilvl w:val="1"/>
          <w:numId w:val="54"/>
        </w:numPr>
        <w:spacing w:before="0" w:after="0" w:line="276" w:lineRule="auto"/>
      </w:pPr>
      <w:r w:rsidRPr="0082350A">
        <w:t>maintaining that information by removing from the register premises which have been migrated</w:t>
      </w:r>
    </w:p>
    <w:p w14:paraId="73041EC9" w14:textId="65F63674" w:rsidR="00C77C96" w:rsidRDefault="00C77C96" w:rsidP="00C77C96">
      <w:pPr>
        <w:pStyle w:val="BodyText"/>
        <w:numPr>
          <w:ilvl w:val="0"/>
          <w:numId w:val="54"/>
        </w:numPr>
        <w:spacing w:before="0" w:after="0" w:line="276" w:lineRule="auto"/>
      </w:pPr>
      <w:r>
        <w:t>providing Telstra with the</w:t>
      </w:r>
      <w:r w:rsidR="0082350A">
        <w:t xml:space="preserve"> details of</w:t>
      </w:r>
      <w:r>
        <w:t xml:space="preserve"> relevant premises at which nbn has been informed a medical alarm service is </w:t>
      </w:r>
      <w:r w:rsidR="005A04CC">
        <w:t>present</w:t>
      </w:r>
      <w:r>
        <w:t xml:space="preserve">, including </w:t>
      </w:r>
      <w:r w:rsidR="003223C9">
        <w:t xml:space="preserve">regular </w:t>
      </w:r>
      <w:r>
        <w:t>updates to that information</w:t>
      </w:r>
      <w:r w:rsidR="00076B51">
        <w:t>.</w:t>
      </w:r>
    </w:p>
    <w:p w14:paraId="1657A92C" w14:textId="77777777" w:rsidR="004159BB" w:rsidRDefault="004159BB" w:rsidP="004159BB">
      <w:pPr>
        <w:spacing w:before="0"/>
        <w:rPr>
          <w:u w:val="single"/>
        </w:rPr>
      </w:pPr>
    </w:p>
    <w:p w14:paraId="6A557C1A" w14:textId="39CCCC08" w:rsidR="00C77C96" w:rsidRPr="006A3AF1" w:rsidRDefault="00C77C96" w:rsidP="004159BB">
      <w:pPr>
        <w:spacing w:before="0"/>
      </w:pPr>
      <w:r>
        <w:rPr>
          <w:u w:val="single"/>
        </w:rPr>
        <w:t xml:space="preserve">Role of </w:t>
      </w:r>
      <w:r w:rsidR="00082033">
        <w:rPr>
          <w:u w:val="single"/>
        </w:rPr>
        <w:t>m</w:t>
      </w:r>
      <w:r>
        <w:rPr>
          <w:u w:val="single"/>
        </w:rPr>
        <w:t xml:space="preserve">edical alarm service providers:  </w:t>
      </w:r>
    </w:p>
    <w:p w14:paraId="558FC4CD" w14:textId="2CFB4D98" w:rsidR="00076B51" w:rsidRDefault="00076B51" w:rsidP="004159BB">
      <w:pPr>
        <w:pStyle w:val="ListParagraph"/>
        <w:numPr>
          <w:ilvl w:val="0"/>
          <w:numId w:val="55"/>
        </w:numPr>
        <w:spacing w:before="0"/>
      </w:pPr>
      <w:r w:rsidRPr="00076B51">
        <w:t>developing products suitable for RSPs nbn based services, including performing tests to ensure that their devices and services continue to work after migration takes place, and develop adequate contingency plans in case of device or service fai</w:t>
      </w:r>
      <w:r>
        <w:t>lure after copper disconnection</w:t>
      </w:r>
    </w:p>
    <w:p w14:paraId="6C86E01D" w14:textId="099F6AB3" w:rsidR="00C77C96" w:rsidRDefault="00076B51" w:rsidP="00C77C96">
      <w:pPr>
        <w:pStyle w:val="BodyText"/>
        <w:numPr>
          <w:ilvl w:val="0"/>
          <w:numId w:val="55"/>
        </w:numPr>
        <w:spacing w:before="0" w:after="0" w:line="276" w:lineRule="auto"/>
      </w:pPr>
      <w:r>
        <w:t>a</w:t>
      </w:r>
      <w:r w:rsidR="00C77C96">
        <w:t xml:space="preserve">dvising their customers who are in an area where the nbn has become, or is about to become available, of the need to take action early in the migration window to ensure their medical alarm service continues to operate post disconnection </w:t>
      </w:r>
    </w:p>
    <w:p w14:paraId="0D509D3E" w14:textId="3AD3A3F4" w:rsidR="00C77C96" w:rsidRDefault="00C77C96" w:rsidP="0082350A">
      <w:pPr>
        <w:pStyle w:val="BodyText"/>
        <w:numPr>
          <w:ilvl w:val="0"/>
          <w:numId w:val="56"/>
        </w:numPr>
        <w:spacing w:before="0" w:after="0" w:line="276" w:lineRule="auto"/>
      </w:pPr>
      <w:r>
        <w:t>assisting their customers in finding an alternative, workable solution to their existing medical alarm service</w:t>
      </w:r>
      <w:r w:rsidR="0082350A" w:rsidRPr="0082350A">
        <w:t xml:space="preserve"> if the customer is agreeable  </w:t>
      </w:r>
      <w:r>
        <w:t xml:space="preserve"> </w:t>
      </w:r>
    </w:p>
    <w:p w14:paraId="68AD0BCB" w14:textId="04879473" w:rsidR="00C77C96" w:rsidRPr="0082350A" w:rsidRDefault="00C77C96" w:rsidP="0082350A">
      <w:pPr>
        <w:pStyle w:val="ListParagraph"/>
        <w:numPr>
          <w:ilvl w:val="0"/>
          <w:numId w:val="56"/>
        </w:numPr>
        <w:spacing w:before="0" w:line="276" w:lineRule="auto"/>
      </w:pPr>
      <w:r>
        <w:t>registering their customers on nbn</w:t>
      </w:r>
      <w:r w:rsidR="009B2FBC">
        <w:t>’s</w:t>
      </w:r>
      <w:r>
        <w:t xml:space="preserve"> Medical </w:t>
      </w:r>
      <w:r w:rsidRPr="0082350A">
        <w:t>Alarm Register as early as possible, including providing the relevant contact details for the service, and keeping that information up to date (including confirming a successful migration of the service to an alternative network</w:t>
      </w:r>
      <w:r w:rsidR="0082350A" w:rsidRPr="0082350A">
        <w:t xml:space="preserve"> so they can be removed from the register</w:t>
      </w:r>
      <w:r w:rsidR="00076B51">
        <w:t>).</w:t>
      </w:r>
    </w:p>
    <w:p w14:paraId="0E7484E1" w14:textId="2A40C6B2" w:rsidR="00C77C96" w:rsidRDefault="00C77C96" w:rsidP="00C77C96">
      <w:pPr>
        <w:pStyle w:val="BodyText"/>
        <w:spacing w:after="0" w:line="276" w:lineRule="auto"/>
      </w:pPr>
      <w:r>
        <w:rPr>
          <w:u w:val="single"/>
        </w:rPr>
        <w:t xml:space="preserve">Role of RSPs:  </w:t>
      </w:r>
    </w:p>
    <w:p w14:paraId="40ECBA5B" w14:textId="77777777" w:rsidR="004300FB" w:rsidRDefault="00C77C96" w:rsidP="00C77C96">
      <w:pPr>
        <w:pStyle w:val="ListParagraph"/>
        <w:numPr>
          <w:ilvl w:val="0"/>
          <w:numId w:val="56"/>
        </w:numPr>
        <w:spacing w:before="0" w:line="276" w:lineRule="auto"/>
      </w:pPr>
      <w:r>
        <w:t>as part of their communications to their residential end</w:t>
      </w:r>
      <w:r w:rsidR="00045783">
        <w:t xml:space="preserve"> </w:t>
      </w:r>
      <w:r>
        <w:t xml:space="preserve">users, informing their end users that the </w:t>
      </w:r>
      <w:r w:rsidR="009B2FBC">
        <w:t>migration</w:t>
      </w:r>
      <w:r>
        <w:t xml:space="preserve"> may impact an</w:t>
      </w:r>
      <w:r w:rsidR="004300FB">
        <w:t>y medical alarm they may have</w:t>
      </w:r>
    </w:p>
    <w:p w14:paraId="01D0926D" w14:textId="54B60215" w:rsidR="00045783" w:rsidRDefault="00C77C96" w:rsidP="004300FB">
      <w:pPr>
        <w:pStyle w:val="ListParagraph"/>
        <w:numPr>
          <w:ilvl w:val="1"/>
          <w:numId w:val="56"/>
        </w:numPr>
        <w:spacing w:before="0" w:line="276" w:lineRule="auto"/>
      </w:pPr>
      <w:r>
        <w:t xml:space="preserve">including that failure to migrate will result in a loss of service continuity as the copper service will be disconnected, and that they should register </w:t>
      </w:r>
      <w:r w:rsidR="009B2FBC">
        <w:t>their medical</w:t>
      </w:r>
      <w:r>
        <w:t xml:space="preserve"> alarm service </w:t>
      </w:r>
      <w:r w:rsidR="009B2FBC">
        <w:t>on nbn’s Medical Alarm Register</w:t>
      </w:r>
      <w:r>
        <w:t xml:space="preserve"> </w:t>
      </w:r>
    </w:p>
    <w:p w14:paraId="271A6B94" w14:textId="0E1EB969" w:rsidR="00C77C96" w:rsidRDefault="00C77C96" w:rsidP="00C77C96">
      <w:pPr>
        <w:pStyle w:val="ListParagraph"/>
        <w:numPr>
          <w:ilvl w:val="0"/>
          <w:numId w:val="56"/>
        </w:numPr>
        <w:spacing w:before="0" w:line="276" w:lineRule="auto"/>
      </w:pPr>
      <w:r>
        <w:t>informing the end</w:t>
      </w:r>
      <w:r w:rsidR="00045783">
        <w:t xml:space="preserve"> </w:t>
      </w:r>
      <w:r>
        <w:t>user to contact their medical alarm service provider if they have a medical alarm to ensure that the device will continue to operate post-migration</w:t>
      </w:r>
    </w:p>
    <w:p w14:paraId="16382635" w14:textId="6D307FBF" w:rsidR="00045783" w:rsidRPr="00131B74" w:rsidRDefault="00C77C96" w:rsidP="0082350A">
      <w:pPr>
        <w:pStyle w:val="ListParagraph"/>
        <w:numPr>
          <w:ilvl w:val="0"/>
          <w:numId w:val="56"/>
        </w:numPr>
        <w:spacing w:before="0" w:line="276" w:lineRule="auto"/>
      </w:pPr>
      <w:r>
        <w:t xml:space="preserve">assisting the customer of their telecommunications service to migrate that telecommunications service </w:t>
      </w:r>
      <w:r w:rsidR="009B2FBC">
        <w:t>off the copper network</w:t>
      </w:r>
      <w:r>
        <w:t xml:space="preserve">, if the customer </w:t>
      </w:r>
      <w:r w:rsidR="0082350A" w:rsidRPr="0082350A">
        <w:t>is in agreement and the RS</w:t>
      </w:r>
      <w:r w:rsidR="0082350A">
        <w:t>P supplies alternative services</w:t>
      </w:r>
      <w:r w:rsidR="00045783">
        <w:t>.</w:t>
      </w:r>
      <w:r>
        <w:t xml:space="preserve"> </w:t>
      </w:r>
    </w:p>
    <w:p w14:paraId="32402A05" w14:textId="372C80EE" w:rsidR="00C77C96" w:rsidRDefault="00C77C96" w:rsidP="00C77C96">
      <w:pPr>
        <w:pStyle w:val="BodyText"/>
        <w:spacing w:after="0" w:line="276" w:lineRule="auto"/>
      </w:pPr>
      <w:r>
        <w:rPr>
          <w:u w:val="single"/>
        </w:rPr>
        <w:t>Role of Telstra as Network Owner of Legacy Services:</w:t>
      </w:r>
    </w:p>
    <w:p w14:paraId="6298C121" w14:textId="0E7330F6" w:rsidR="00C77C96" w:rsidRDefault="00045783" w:rsidP="00C77C96">
      <w:pPr>
        <w:pStyle w:val="BodyText"/>
        <w:numPr>
          <w:ilvl w:val="0"/>
          <w:numId w:val="59"/>
        </w:numPr>
        <w:spacing w:before="0" w:after="0" w:line="276" w:lineRule="auto"/>
      </w:pPr>
      <w:r>
        <w:t>f</w:t>
      </w:r>
      <w:r w:rsidR="00C77C96">
        <w:t>lagging the premises that nbn advises are on its Medical Alarm Register, including updating that information as advised by nbn (e</w:t>
      </w:r>
      <w:r>
        <w:t>.</w:t>
      </w:r>
      <w:r w:rsidR="00C77C96">
        <w:t>g</w:t>
      </w:r>
      <w:r>
        <w:t>.</w:t>
      </w:r>
      <w:r w:rsidR="00C77C96">
        <w:t xml:space="preserve"> by removing the flag when nbn advises it has been informed of a successful migration of that service to another network)</w:t>
      </w:r>
    </w:p>
    <w:p w14:paraId="1935FB7D" w14:textId="056E69F9" w:rsidR="00C77C96" w:rsidRDefault="00045783" w:rsidP="00C77C96">
      <w:pPr>
        <w:pStyle w:val="BodyText"/>
        <w:numPr>
          <w:ilvl w:val="0"/>
          <w:numId w:val="59"/>
        </w:numPr>
        <w:spacing w:before="0" w:after="0" w:line="276" w:lineRule="auto"/>
      </w:pPr>
      <w:r>
        <w:t>a</w:t>
      </w:r>
      <w:r w:rsidR="00C77C96">
        <w:t>dvising its wholesale customers and Retail business units of the premises that are flagged as having a medical alarm as notified by nbn</w:t>
      </w:r>
    </w:p>
    <w:p w14:paraId="46FD9E7C" w14:textId="2A6709EC" w:rsidR="00C77C96" w:rsidRDefault="00960348" w:rsidP="00C77C96">
      <w:pPr>
        <w:pStyle w:val="BodyText"/>
        <w:numPr>
          <w:ilvl w:val="0"/>
          <w:numId w:val="59"/>
        </w:numPr>
        <w:spacing w:before="0" w:after="0" w:line="276" w:lineRule="auto"/>
      </w:pPr>
      <w:r>
        <w:t xml:space="preserve">using best endeavours to </w:t>
      </w:r>
      <w:r w:rsidR="00045783">
        <w:t>c</w:t>
      </w:r>
      <w:r>
        <w:t>heck</w:t>
      </w:r>
      <w:r w:rsidR="00C77C96">
        <w:t xml:space="preserve"> with a wholesale customer submitting a disconnection request for a service that is flagged as having a medical alarm that the disconnection of the service should occur, before processing a BAU disconnection request during the migration window. If the wholesale customer consents to the disconnection or does not respond, Telstra may proceed with the disconnection request</w:t>
      </w:r>
      <w:r w:rsidR="00045783">
        <w:t>.</w:t>
      </w:r>
    </w:p>
    <w:p w14:paraId="0AB5DE1B" w14:textId="4F9F63AB" w:rsidR="00C77C96" w:rsidRPr="00935EAB" w:rsidRDefault="00C77C96" w:rsidP="00C77C96">
      <w:pPr>
        <w:pStyle w:val="BodyText"/>
        <w:spacing w:after="0" w:line="276" w:lineRule="auto"/>
        <w:rPr>
          <w:i/>
        </w:rPr>
      </w:pPr>
      <w:r>
        <w:rPr>
          <w:b/>
          <w:i/>
        </w:rPr>
        <w:t>P</w:t>
      </w:r>
      <w:r w:rsidRPr="00935EAB">
        <w:rPr>
          <w:b/>
          <w:i/>
        </w:rPr>
        <w:t>lacing a premises on the register does not prevent it from being disconnected.</w:t>
      </w:r>
      <w:r w:rsidRPr="00935EAB">
        <w:rPr>
          <w:i/>
        </w:rPr>
        <w:t xml:space="preserve"> </w:t>
      </w:r>
      <w:r>
        <w:rPr>
          <w:i/>
        </w:rPr>
        <w:t xml:space="preserve">Telstra </w:t>
      </w:r>
      <w:r w:rsidR="00960348">
        <w:rPr>
          <w:i/>
        </w:rPr>
        <w:t>is required to</w:t>
      </w:r>
      <w:r>
        <w:rPr>
          <w:i/>
        </w:rPr>
        <w:t xml:space="preserve"> disconnect all premises after the </w:t>
      </w:r>
      <w:r w:rsidR="00C25C48">
        <w:rPr>
          <w:i/>
        </w:rPr>
        <w:t>D</w:t>
      </w:r>
      <w:r>
        <w:rPr>
          <w:i/>
        </w:rPr>
        <w:t xml:space="preserve">isconnection </w:t>
      </w:r>
      <w:r w:rsidR="00C25C48">
        <w:rPr>
          <w:i/>
        </w:rPr>
        <w:t>D</w:t>
      </w:r>
      <w:r>
        <w:rPr>
          <w:i/>
        </w:rPr>
        <w:t xml:space="preserve">ate (including those with </w:t>
      </w:r>
      <w:r w:rsidR="009B2FBC">
        <w:rPr>
          <w:i/>
        </w:rPr>
        <w:t xml:space="preserve">medical </w:t>
      </w:r>
      <w:r>
        <w:rPr>
          <w:i/>
        </w:rPr>
        <w:t xml:space="preserve">alarms) </w:t>
      </w:r>
      <w:r w:rsidRPr="00935EAB">
        <w:rPr>
          <w:i/>
        </w:rPr>
        <w:t xml:space="preserve">in accordance with its </w:t>
      </w:r>
      <w:r>
        <w:rPr>
          <w:i/>
        </w:rPr>
        <w:t xml:space="preserve">legal obligations under the </w:t>
      </w:r>
      <w:r w:rsidRPr="00935EAB">
        <w:rPr>
          <w:i/>
        </w:rPr>
        <w:t>Migration Plan and irrespective of whether those services are at premises that are flagged as having a medical alarm or are on the nbn Medical Alarm Register</w:t>
      </w:r>
      <w:r>
        <w:rPr>
          <w:i/>
        </w:rPr>
        <w:t>.</w:t>
      </w:r>
    </w:p>
    <w:p w14:paraId="7E166A3A" w14:textId="77777777" w:rsidR="00C77C96" w:rsidRDefault="00C77C96" w:rsidP="00C77C96">
      <w:pPr>
        <w:spacing w:after="120"/>
        <w:rPr>
          <w:b/>
        </w:rPr>
      </w:pPr>
      <w:r>
        <w:rPr>
          <w:b/>
        </w:rPr>
        <w:t>Priority Assistance</w:t>
      </w:r>
    </w:p>
    <w:p w14:paraId="3CF62AA8" w14:textId="4DAFC5C4" w:rsidR="00C77C96" w:rsidRDefault="00C77C96" w:rsidP="00C77C96">
      <w:pPr>
        <w:pStyle w:val="BodyText"/>
        <w:spacing w:before="0" w:after="0" w:line="276" w:lineRule="auto"/>
      </w:pPr>
      <w:r>
        <w:t xml:space="preserve">Priority assistance is a service offered by </w:t>
      </w:r>
      <w:r w:rsidR="009B2FBC">
        <w:t xml:space="preserve">some </w:t>
      </w:r>
      <w:r w:rsidR="00947165">
        <w:t>RSP</w:t>
      </w:r>
      <w:r>
        <w:t>s that gives a shorter timeframe for the connection and fault repair of a standard telephone service for end</w:t>
      </w:r>
      <w:r w:rsidR="00045783">
        <w:t xml:space="preserve"> </w:t>
      </w:r>
      <w:r>
        <w:t>users with a medical condition who are at risk of suffering a rapid, life-threatening deterioration in their condition. Consequently these end</w:t>
      </w:r>
      <w:r w:rsidR="00045783">
        <w:t xml:space="preserve"> </w:t>
      </w:r>
      <w:r>
        <w:t xml:space="preserve">users may be seeking the same level of assurance in relation to the connection and fault repair of the </w:t>
      </w:r>
      <w:r w:rsidR="009B2FBC">
        <w:t xml:space="preserve">new RSPs </w:t>
      </w:r>
      <w:r>
        <w:t xml:space="preserve">service as they currently obtain over their copper service. </w:t>
      </w:r>
    </w:p>
    <w:p w14:paraId="4ACF44F9" w14:textId="77777777" w:rsidR="00C77C96" w:rsidRDefault="00C77C96" w:rsidP="00C77C96">
      <w:pPr>
        <w:pStyle w:val="BodyText"/>
        <w:spacing w:before="0" w:after="0" w:line="276" w:lineRule="auto"/>
      </w:pPr>
    </w:p>
    <w:p w14:paraId="0C95EB69" w14:textId="0ECA4A59" w:rsidR="00C77C96" w:rsidRDefault="00C77C96" w:rsidP="00C77C96">
      <w:pPr>
        <w:pStyle w:val="BodyText"/>
        <w:spacing w:before="0" w:after="0" w:line="276" w:lineRule="auto"/>
        <w:rPr>
          <w:u w:val="single"/>
        </w:rPr>
      </w:pPr>
      <w:r>
        <w:t>As with other end</w:t>
      </w:r>
      <w:r w:rsidR="00045783">
        <w:t xml:space="preserve"> </w:t>
      </w:r>
      <w:r>
        <w:t>users, end</w:t>
      </w:r>
      <w:r w:rsidR="00045783">
        <w:t xml:space="preserve"> </w:t>
      </w:r>
      <w:r>
        <w:t xml:space="preserve">users of Priority Assistance services are responsible for ensuring their service is migrated prior to the </w:t>
      </w:r>
      <w:r w:rsidR="00C25C48">
        <w:t>D</w:t>
      </w:r>
      <w:r>
        <w:t xml:space="preserve">isconnection </w:t>
      </w:r>
      <w:r w:rsidR="00C25C48">
        <w:t>D</w:t>
      </w:r>
      <w:r>
        <w:t xml:space="preserve">ate – preferably early in the disconnection window. The MAP again gives some guidance as to how these customers may be assisted by others involved in the migration process to be aware of the actions they need to take to migrate their services to an alternate network prior to the </w:t>
      </w:r>
      <w:r w:rsidR="00C25C48">
        <w:t>D</w:t>
      </w:r>
      <w:r>
        <w:t xml:space="preserve">isconnection </w:t>
      </w:r>
      <w:r w:rsidR="00C25C48">
        <w:t>D</w:t>
      </w:r>
      <w:r>
        <w:t xml:space="preserve">ate, and to take the steps needed to effect that migration.  </w:t>
      </w:r>
    </w:p>
    <w:p w14:paraId="2C2A8E40" w14:textId="77777777" w:rsidR="004159BB" w:rsidRDefault="004159BB" w:rsidP="00C77C96">
      <w:pPr>
        <w:pStyle w:val="BodyText"/>
        <w:spacing w:after="0" w:line="276" w:lineRule="auto"/>
        <w:rPr>
          <w:u w:val="single"/>
        </w:rPr>
      </w:pPr>
      <w:r>
        <w:rPr>
          <w:u w:val="single"/>
        </w:rPr>
        <w:br/>
      </w:r>
    </w:p>
    <w:p w14:paraId="6E74E4A6" w14:textId="779FF52E" w:rsidR="00C77C96" w:rsidRDefault="00C77C96" w:rsidP="00C77C96">
      <w:pPr>
        <w:pStyle w:val="BodyText"/>
        <w:spacing w:after="0" w:line="276" w:lineRule="auto"/>
        <w:rPr>
          <w:u w:val="single"/>
        </w:rPr>
      </w:pPr>
      <w:r>
        <w:rPr>
          <w:u w:val="single"/>
        </w:rPr>
        <w:t>Role of Priority Assistance end</w:t>
      </w:r>
      <w:r w:rsidR="00045783">
        <w:rPr>
          <w:u w:val="single"/>
        </w:rPr>
        <w:t xml:space="preserve"> </w:t>
      </w:r>
      <w:r>
        <w:rPr>
          <w:u w:val="single"/>
        </w:rPr>
        <w:t>users:</w:t>
      </w:r>
    </w:p>
    <w:p w14:paraId="41BE9B3B" w14:textId="637F1AAD" w:rsidR="008A1CA2" w:rsidRDefault="00C77C96" w:rsidP="008A1CA2">
      <w:pPr>
        <w:numPr>
          <w:ilvl w:val="0"/>
          <w:numId w:val="56"/>
        </w:numPr>
        <w:spacing w:before="0" w:line="276" w:lineRule="auto"/>
      </w:pPr>
      <w:r>
        <w:t xml:space="preserve">informing their </w:t>
      </w:r>
      <w:r w:rsidR="00947165">
        <w:t>RSP</w:t>
      </w:r>
      <w:r>
        <w:t xml:space="preserve"> that they require this service (or a suitable offering) on any substitute service they acquire in migration and placing an order with a </w:t>
      </w:r>
      <w:r w:rsidR="00947165">
        <w:t>RSP</w:t>
      </w:r>
      <w:r>
        <w:t xml:space="preserve"> that offers those services.</w:t>
      </w:r>
    </w:p>
    <w:p w14:paraId="2252F49E" w14:textId="77777777" w:rsidR="008A1CA2" w:rsidRPr="00A45E93" w:rsidRDefault="008A1CA2" w:rsidP="008A1CA2">
      <w:pPr>
        <w:spacing w:before="0" w:line="276" w:lineRule="auto"/>
        <w:ind w:left="340"/>
      </w:pPr>
    </w:p>
    <w:p w14:paraId="4A929852" w14:textId="77777777" w:rsidR="00C77C96" w:rsidRDefault="00C77C96" w:rsidP="00C77C96">
      <w:pPr>
        <w:pStyle w:val="BodyText"/>
        <w:spacing w:before="0" w:after="0" w:line="276" w:lineRule="auto"/>
        <w:rPr>
          <w:u w:val="single"/>
        </w:rPr>
      </w:pPr>
      <w:r>
        <w:rPr>
          <w:u w:val="single"/>
        </w:rPr>
        <w:t xml:space="preserve">Role of nbn:  </w:t>
      </w:r>
    </w:p>
    <w:p w14:paraId="74EA4DFD" w14:textId="5B48EA9E" w:rsidR="00C77C96" w:rsidRDefault="00C77C96" w:rsidP="00C77C96">
      <w:pPr>
        <w:pStyle w:val="BodyText"/>
        <w:numPr>
          <w:ilvl w:val="0"/>
          <w:numId w:val="56"/>
        </w:numPr>
        <w:spacing w:before="0" w:after="0" w:line="276" w:lineRule="auto"/>
      </w:pPr>
      <w:r>
        <w:t>ensuring that nbn</w:t>
      </w:r>
      <w:r w:rsidR="008857FF">
        <w:t>’s wholesale layer 2</w:t>
      </w:r>
      <w:r>
        <w:t xml:space="preserve"> services are available for </w:t>
      </w:r>
      <w:r w:rsidR="00947165">
        <w:t>RSP</w:t>
      </w:r>
      <w:r w:rsidR="00E542C2">
        <w:t>s</w:t>
      </w:r>
      <w:r w:rsidR="008857FF" w:rsidDel="008857FF">
        <w:t xml:space="preserve"> </w:t>
      </w:r>
    </w:p>
    <w:p w14:paraId="6CA05A3B" w14:textId="158DFA21" w:rsidR="005303EF" w:rsidRDefault="005303EF" w:rsidP="005303EF">
      <w:pPr>
        <w:pStyle w:val="BodyText"/>
        <w:numPr>
          <w:ilvl w:val="0"/>
          <w:numId w:val="56"/>
        </w:numPr>
        <w:spacing w:before="0" w:after="0" w:line="276" w:lineRule="auto"/>
      </w:pPr>
      <w:r>
        <w:t>providing</w:t>
      </w:r>
      <w:r w:rsidRPr="005303EF">
        <w:t xml:space="preserve"> special service levels for </w:t>
      </w:r>
      <w:r>
        <w:t>Priority Assistance</w:t>
      </w:r>
      <w:r w:rsidRPr="005303EF">
        <w:t xml:space="preserve"> connections and </w:t>
      </w:r>
      <w:r>
        <w:t>Priority Assitance</w:t>
      </w:r>
      <w:r w:rsidRPr="005303EF">
        <w:t xml:space="preserve"> service assurance</w:t>
      </w:r>
    </w:p>
    <w:p w14:paraId="5BBED8B2" w14:textId="209A772B" w:rsidR="00C77C96" w:rsidRDefault="00C77C96" w:rsidP="00C77C96">
      <w:pPr>
        <w:pStyle w:val="BodyText"/>
        <w:numPr>
          <w:ilvl w:val="0"/>
          <w:numId w:val="56"/>
        </w:numPr>
        <w:spacing w:before="0" w:after="0" w:line="276" w:lineRule="auto"/>
      </w:pPr>
      <w:r>
        <w:t>making premises serviceable in a timely manner to allow the migration of the end user to occur well ahead of the Disconnection Date</w:t>
      </w:r>
      <w:r w:rsidR="00045783">
        <w:t>.</w:t>
      </w:r>
    </w:p>
    <w:p w14:paraId="6FC8C8D7" w14:textId="041ED3DC" w:rsidR="00C77C96" w:rsidRPr="00C77C96" w:rsidRDefault="00C77C96" w:rsidP="00C77C96">
      <w:pPr>
        <w:pStyle w:val="BodyText"/>
        <w:spacing w:before="0" w:after="0" w:line="276" w:lineRule="auto"/>
      </w:pPr>
    </w:p>
    <w:p w14:paraId="04CDC6FC" w14:textId="6DF6F445" w:rsidR="00C77C96" w:rsidRDefault="00C77C96" w:rsidP="00C77C96">
      <w:pPr>
        <w:pStyle w:val="BodyText"/>
        <w:spacing w:before="0" w:after="0" w:line="276" w:lineRule="auto"/>
        <w:rPr>
          <w:u w:val="single"/>
        </w:rPr>
      </w:pPr>
      <w:r>
        <w:rPr>
          <w:u w:val="single"/>
        </w:rPr>
        <w:t xml:space="preserve">Role of RSPs:  </w:t>
      </w:r>
    </w:p>
    <w:p w14:paraId="65577428" w14:textId="6D4F8668" w:rsidR="00C77C96" w:rsidRDefault="00045783" w:rsidP="00C77C96">
      <w:pPr>
        <w:pStyle w:val="BodyText"/>
        <w:numPr>
          <w:ilvl w:val="0"/>
          <w:numId w:val="56"/>
        </w:numPr>
        <w:spacing w:before="0" w:after="0" w:line="276" w:lineRule="auto"/>
      </w:pPr>
      <w:r>
        <w:t>i</w:t>
      </w:r>
      <w:r w:rsidR="00C77C96">
        <w:t>f requested, informing end</w:t>
      </w:r>
      <w:r>
        <w:t xml:space="preserve"> </w:t>
      </w:r>
      <w:r w:rsidR="00C77C96">
        <w:t xml:space="preserve">users whether they offer a Priority Assistance service and if not, advising of </w:t>
      </w:r>
      <w:r w:rsidR="00947165">
        <w:t>RSP</w:t>
      </w:r>
      <w:r w:rsidR="00C77C96">
        <w:t>s that do</w:t>
      </w:r>
    </w:p>
    <w:p w14:paraId="67100EBA" w14:textId="14BE224D" w:rsidR="00C77C96" w:rsidRDefault="00045783" w:rsidP="00C77C96">
      <w:pPr>
        <w:pStyle w:val="BodyText"/>
        <w:numPr>
          <w:ilvl w:val="0"/>
          <w:numId w:val="56"/>
        </w:numPr>
        <w:spacing w:before="0" w:after="0" w:line="276" w:lineRule="auto"/>
      </w:pPr>
      <w:r>
        <w:t>i</w:t>
      </w:r>
      <w:r w:rsidR="00C77C96">
        <w:t xml:space="preserve">f the </w:t>
      </w:r>
      <w:r w:rsidR="00947165">
        <w:t>RSP</w:t>
      </w:r>
      <w:r w:rsidR="00C77C96">
        <w:t xml:space="preserve"> does offer Priority Assistance services, advising relevant end</w:t>
      </w:r>
      <w:r>
        <w:t xml:space="preserve"> </w:t>
      </w:r>
      <w:r w:rsidR="00C77C96">
        <w:t xml:space="preserve">users of the impact, or likely impact, that the </w:t>
      </w:r>
      <w:r w:rsidR="008857FF">
        <w:t>migration</w:t>
      </w:r>
      <w:r w:rsidR="00C77C96">
        <w:t xml:space="preserve"> may have on their services, including that failure to migrate will result in the service being disconnected</w:t>
      </w:r>
      <w:r>
        <w:t>.</w:t>
      </w:r>
    </w:p>
    <w:p w14:paraId="6E11DA7F" w14:textId="77777777" w:rsidR="00C77C96" w:rsidRDefault="00C77C96" w:rsidP="00C77C96">
      <w:pPr>
        <w:pStyle w:val="Heading3"/>
        <w:numPr>
          <w:ilvl w:val="2"/>
          <w:numId w:val="39"/>
        </w:numPr>
        <w:spacing w:line="276" w:lineRule="auto"/>
        <w:rPr>
          <w:b w:val="0"/>
        </w:rPr>
      </w:pPr>
      <w:bookmarkStart w:id="61" w:name="_Toc422237729"/>
      <w:r>
        <w:rPr>
          <w:b w:val="0"/>
        </w:rPr>
        <w:t>Tier two vulnerable end users</w:t>
      </w:r>
      <w:bookmarkEnd w:id="61"/>
    </w:p>
    <w:p w14:paraId="3DF82DAD" w14:textId="426F1D27" w:rsidR="00C77C96" w:rsidRDefault="00C77C96" w:rsidP="00C77C96">
      <w:pPr>
        <w:spacing w:line="276" w:lineRule="auto"/>
        <w:rPr>
          <w:rFonts w:cstheme="minorHAnsi"/>
        </w:rPr>
      </w:pPr>
      <w:r>
        <w:rPr>
          <w:rFonts w:cstheme="minorHAnsi"/>
        </w:rPr>
        <w:t>Additionally, there are other end</w:t>
      </w:r>
      <w:r w:rsidR="00045783">
        <w:rPr>
          <w:rFonts w:cstheme="minorHAnsi"/>
        </w:rPr>
        <w:t xml:space="preserve"> </w:t>
      </w:r>
      <w:r>
        <w:rPr>
          <w:rFonts w:cstheme="minorHAnsi"/>
        </w:rPr>
        <w:t xml:space="preserve">user segments that could also be considered vulnerable because they may require information delivered in alternate formats and/or through alternate parties (other than their </w:t>
      </w:r>
      <w:r w:rsidR="00947165">
        <w:rPr>
          <w:rFonts w:cstheme="minorHAnsi"/>
        </w:rPr>
        <w:t>RSP</w:t>
      </w:r>
      <w:r>
        <w:rPr>
          <w:rFonts w:cstheme="minorHAnsi"/>
        </w:rPr>
        <w:t xml:space="preserve"> or nbn) in order to process information and take the required action to migrate. These segments include:</w:t>
      </w:r>
    </w:p>
    <w:p w14:paraId="74FD2348" w14:textId="77777777" w:rsidR="00C77C96" w:rsidRDefault="00C77C96" w:rsidP="00C77C96">
      <w:pPr>
        <w:pStyle w:val="ListParagraph"/>
        <w:numPr>
          <w:ilvl w:val="0"/>
          <w:numId w:val="57"/>
        </w:numPr>
        <w:spacing w:before="0" w:line="276" w:lineRule="auto"/>
        <w:rPr>
          <w:rFonts w:eastAsia="MS Mincho" w:cs="Calibri"/>
        </w:rPr>
      </w:pPr>
      <w:r>
        <w:rPr>
          <w:rFonts w:eastAsia="MS Mincho" w:cs="Calibri"/>
        </w:rPr>
        <w:t>those with a severe chronic illness, disability</w:t>
      </w:r>
      <w:r>
        <w:t>, or</w:t>
      </w:r>
      <w:r>
        <w:rPr>
          <w:rFonts w:eastAsia="MS Mincho" w:cs="Calibri"/>
        </w:rPr>
        <w:t xml:space="preserve"> some form of cognitive or sensory impairment (e.g. dementia, learning difficulties and blindness)</w:t>
      </w:r>
    </w:p>
    <w:p w14:paraId="2E3F6E67" w14:textId="77777777" w:rsidR="00C77C96" w:rsidRDefault="00C77C96" w:rsidP="00C77C96">
      <w:pPr>
        <w:pStyle w:val="ListParagraph"/>
        <w:numPr>
          <w:ilvl w:val="0"/>
          <w:numId w:val="57"/>
        </w:numPr>
        <w:spacing w:before="0" w:line="276" w:lineRule="auto"/>
        <w:rPr>
          <w:rFonts w:eastAsia="MS Mincho" w:cs="Calibri"/>
        </w:rPr>
      </w:pPr>
      <w:r>
        <w:rPr>
          <w:rFonts w:eastAsia="MS Mincho" w:cs="Calibri"/>
        </w:rPr>
        <w:t>the elderly (65+)</w:t>
      </w:r>
    </w:p>
    <w:p w14:paraId="527B38F6" w14:textId="77777777" w:rsidR="00C77C96" w:rsidRDefault="00C77C96" w:rsidP="00C77C96">
      <w:pPr>
        <w:pStyle w:val="ListParagraph"/>
        <w:numPr>
          <w:ilvl w:val="0"/>
          <w:numId w:val="57"/>
        </w:numPr>
        <w:spacing w:before="0" w:line="276" w:lineRule="auto"/>
        <w:rPr>
          <w:rFonts w:eastAsia="MS Mincho" w:cs="Calibri"/>
        </w:rPr>
      </w:pPr>
      <w:r>
        <w:rPr>
          <w:rFonts w:eastAsia="MS Mincho" w:cs="Calibri"/>
        </w:rPr>
        <w:t>those with limited English proficiency</w:t>
      </w:r>
    </w:p>
    <w:p w14:paraId="5C452383" w14:textId="77777777" w:rsidR="00C77C96" w:rsidRDefault="00C77C96" w:rsidP="00C77C96">
      <w:pPr>
        <w:pStyle w:val="ListParagraph"/>
        <w:numPr>
          <w:ilvl w:val="0"/>
          <w:numId w:val="57"/>
        </w:numPr>
        <w:spacing w:before="0" w:line="276" w:lineRule="auto"/>
        <w:rPr>
          <w:rFonts w:eastAsia="MS Mincho" w:cs="Calibri"/>
        </w:rPr>
      </w:pPr>
      <w:r>
        <w:rPr>
          <w:rFonts w:eastAsia="MS Mincho" w:cs="Calibri"/>
        </w:rPr>
        <w:t>those with mental and behavioural disorders (e.g. severe anxiety and depression).</w:t>
      </w:r>
    </w:p>
    <w:p w14:paraId="625CB6DB" w14:textId="512A6319" w:rsidR="00C77C96" w:rsidRDefault="00C77C96" w:rsidP="00C77C96">
      <w:pPr>
        <w:spacing w:after="146" w:line="276" w:lineRule="auto"/>
      </w:pPr>
      <w:r>
        <w:rPr>
          <w:rFonts w:cstheme="minorHAnsi"/>
        </w:rPr>
        <w:t xml:space="preserve">While acknowledging the significant efforts by nbn and </w:t>
      </w:r>
      <w:r w:rsidR="00947165">
        <w:rPr>
          <w:rFonts w:cstheme="minorHAnsi"/>
        </w:rPr>
        <w:t>RSP</w:t>
      </w:r>
      <w:r>
        <w:rPr>
          <w:rFonts w:cstheme="minorHAnsi"/>
        </w:rPr>
        <w:t xml:space="preserve">s to educate end users through standard communications, a more tailored approach may be helpful to effectively reach these end user segments as </w:t>
      </w:r>
      <w:r>
        <w:t>it is important that they receive information from a trusted source or in an accessible format. This approach recogni</w:t>
      </w:r>
      <w:r w:rsidR="00045783">
        <w:t>s</w:t>
      </w:r>
      <w:r>
        <w:t xml:space="preserve">es that identifying tier </w:t>
      </w:r>
      <w:r w:rsidR="00947165">
        <w:t>two</w:t>
      </w:r>
      <w:r>
        <w:t xml:space="preserve"> end users is difficult, and will largely be undetectable by </w:t>
      </w:r>
      <w:r w:rsidR="00947165">
        <w:t>RSP</w:t>
      </w:r>
      <w:r>
        <w:t>s. For this reason, the approach for these end</w:t>
      </w:r>
      <w:r w:rsidR="00045783">
        <w:t xml:space="preserve"> </w:t>
      </w:r>
      <w:r>
        <w:t xml:space="preserve">users involves nbn working with community groups to assist in the communications to these end users, as well as </w:t>
      </w:r>
      <w:r w:rsidR="00947165">
        <w:t>RSP</w:t>
      </w:r>
      <w:r>
        <w:t>s maintaining their communication efforts to their customers regarding their migration off the copper network, as noted above.</w:t>
      </w:r>
    </w:p>
    <w:p w14:paraId="19DFD696" w14:textId="77777777" w:rsidR="00C77C96" w:rsidRDefault="00C77C96" w:rsidP="008A1CA2">
      <w:pPr>
        <w:spacing w:line="276" w:lineRule="auto"/>
        <w:rPr>
          <w:rFonts w:cstheme="minorHAnsi"/>
          <w:u w:val="single"/>
        </w:rPr>
      </w:pPr>
      <w:r>
        <w:rPr>
          <w:rFonts w:cstheme="minorHAnsi"/>
          <w:u w:val="single"/>
        </w:rPr>
        <w:t xml:space="preserve">New commitments to improve communications to tier two vulnerable end users </w:t>
      </w:r>
    </w:p>
    <w:p w14:paraId="3B3808F7" w14:textId="751E4971" w:rsidR="00C77C96" w:rsidRDefault="008857FF" w:rsidP="008A1CA2">
      <w:pPr>
        <w:spacing w:before="0" w:line="276" w:lineRule="auto"/>
        <w:rPr>
          <w:rFonts w:cstheme="minorHAnsi"/>
        </w:rPr>
      </w:pPr>
      <w:r>
        <w:rPr>
          <w:rFonts w:cstheme="minorHAnsi"/>
        </w:rPr>
        <w:t>n</w:t>
      </w:r>
      <w:r w:rsidR="00C77C96">
        <w:rPr>
          <w:rFonts w:cstheme="minorHAnsi"/>
        </w:rPr>
        <w:t>bn is working with community groups to improve communications to vulnerable groups of end users within the community by providing consistent messaging frameworks for use by the groups, as well as seeking feedback on appropriate formats. These community groups may include but are not limited to:</w:t>
      </w:r>
    </w:p>
    <w:p w14:paraId="6FBCC8B7" w14:textId="77777777" w:rsidR="00C77C96" w:rsidRDefault="00C77C96" w:rsidP="008A1CA2">
      <w:pPr>
        <w:pStyle w:val="ListParagraph"/>
        <w:numPr>
          <w:ilvl w:val="0"/>
          <w:numId w:val="58"/>
        </w:numPr>
        <w:spacing w:before="0" w:after="146" w:line="276" w:lineRule="auto"/>
        <w:rPr>
          <w:rFonts w:cstheme="minorHAnsi"/>
        </w:rPr>
      </w:pPr>
      <w:r>
        <w:rPr>
          <w:rFonts w:cstheme="minorHAnsi"/>
        </w:rPr>
        <w:t>National Seniors Australia</w:t>
      </w:r>
    </w:p>
    <w:p w14:paraId="386CFE48" w14:textId="77777777" w:rsidR="00C77C96" w:rsidRDefault="00C77C96" w:rsidP="00C77C96">
      <w:pPr>
        <w:pStyle w:val="ListParagraph"/>
        <w:numPr>
          <w:ilvl w:val="0"/>
          <w:numId w:val="58"/>
        </w:numPr>
        <w:spacing w:after="146" w:line="276" w:lineRule="auto"/>
        <w:rPr>
          <w:rFonts w:cstheme="minorHAnsi"/>
        </w:rPr>
      </w:pPr>
      <w:r>
        <w:rPr>
          <w:rFonts w:cstheme="minorHAnsi"/>
        </w:rPr>
        <w:t>Australian Council of Social Services</w:t>
      </w:r>
    </w:p>
    <w:p w14:paraId="4863D5EA" w14:textId="77777777" w:rsidR="00C77C96" w:rsidRDefault="00C77C96" w:rsidP="00C77C96">
      <w:pPr>
        <w:pStyle w:val="ListParagraph"/>
        <w:numPr>
          <w:ilvl w:val="0"/>
          <w:numId w:val="58"/>
        </w:numPr>
        <w:spacing w:after="146" w:line="276" w:lineRule="auto"/>
        <w:rPr>
          <w:rFonts w:cstheme="minorHAnsi"/>
        </w:rPr>
      </w:pPr>
      <w:r>
        <w:rPr>
          <w:rFonts w:cstheme="minorHAnsi"/>
        </w:rPr>
        <w:t>Federation of Ethnic Communities Councils of Australia</w:t>
      </w:r>
    </w:p>
    <w:p w14:paraId="39124FF8" w14:textId="77777777" w:rsidR="00C77C96" w:rsidRDefault="00C77C96" w:rsidP="00C77C96">
      <w:pPr>
        <w:pStyle w:val="ListParagraph"/>
        <w:numPr>
          <w:ilvl w:val="0"/>
          <w:numId w:val="58"/>
        </w:numPr>
        <w:spacing w:after="146" w:line="276" w:lineRule="auto"/>
        <w:rPr>
          <w:rFonts w:cstheme="minorHAnsi"/>
        </w:rPr>
      </w:pPr>
      <w:r>
        <w:rPr>
          <w:rFonts w:cstheme="minorHAnsi"/>
        </w:rPr>
        <w:t>Australian Multicultural Community Services</w:t>
      </w:r>
    </w:p>
    <w:p w14:paraId="0E92AE65" w14:textId="77777777" w:rsidR="00C77C96" w:rsidRDefault="00C77C96" w:rsidP="00C77C96">
      <w:pPr>
        <w:pStyle w:val="ListParagraph"/>
        <w:numPr>
          <w:ilvl w:val="0"/>
          <w:numId w:val="58"/>
        </w:numPr>
        <w:spacing w:after="146" w:line="276" w:lineRule="auto"/>
        <w:rPr>
          <w:rFonts w:cstheme="minorHAnsi"/>
        </w:rPr>
      </w:pPr>
      <w:r>
        <w:rPr>
          <w:rFonts w:cstheme="minorHAnsi"/>
        </w:rPr>
        <w:t>Vision Australia</w:t>
      </w:r>
    </w:p>
    <w:p w14:paraId="2C390F3E" w14:textId="77777777" w:rsidR="00C77C96" w:rsidRDefault="00C77C96" w:rsidP="00C77C96">
      <w:pPr>
        <w:pStyle w:val="ListParagraph"/>
        <w:numPr>
          <w:ilvl w:val="0"/>
          <w:numId w:val="58"/>
        </w:numPr>
        <w:spacing w:after="146" w:line="276" w:lineRule="auto"/>
        <w:rPr>
          <w:rFonts w:cstheme="minorHAnsi"/>
        </w:rPr>
      </w:pPr>
      <w:r>
        <w:rPr>
          <w:rFonts w:cstheme="minorHAnsi"/>
        </w:rPr>
        <w:t>Meals on Wheels</w:t>
      </w:r>
    </w:p>
    <w:p w14:paraId="240A79FE" w14:textId="77777777" w:rsidR="00C77C96" w:rsidRDefault="00C77C96" w:rsidP="00C77C96">
      <w:pPr>
        <w:pStyle w:val="ListParagraph"/>
        <w:numPr>
          <w:ilvl w:val="0"/>
          <w:numId w:val="58"/>
        </w:numPr>
        <w:spacing w:after="146" w:line="276" w:lineRule="auto"/>
        <w:rPr>
          <w:rFonts w:cstheme="minorHAnsi"/>
        </w:rPr>
      </w:pPr>
      <w:r>
        <w:rPr>
          <w:rFonts w:cstheme="minorHAnsi"/>
        </w:rPr>
        <w:t>Legacy</w:t>
      </w:r>
    </w:p>
    <w:p w14:paraId="43AE363C" w14:textId="11DFD7A4" w:rsidR="00717646" w:rsidRDefault="00717646" w:rsidP="009475AE">
      <w:pPr>
        <w:pStyle w:val="Heading2"/>
        <w:spacing w:line="276" w:lineRule="auto"/>
      </w:pPr>
      <w:bookmarkStart w:id="62" w:name="_Toc422237730"/>
      <w:r>
        <w:t>Management of safety critical services (fire alarm panels and lift phones)</w:t>
      </w:r>
      <w:bookmarkEnd w:id="62"/>
    </w:p>
    <w:p w14:paraId="094E6418" w14:textId="77777777" w:rsidR="00C10316" w:rsidRDefault="00C10316" w:rsidP="00C10316">
      <w:pPr>
        <w:spacing w:after="240" w:line="276" w:lineRule="auto"/>
        <w:rPr>
          <w:rFonts w:eastAsia="Calibri" w:cs="Times New Roman"/>
        </w:rPr>
      </w:pPr>
      <w:r w:rsidRPr="007D3132">
        <w:rPr>
          <w:rFonts w:eastAsia="Calibri" w:cs="Times New Roman"/>
        </w:rPr>
        <w:t xml:space="preserve">If a fire alarm or lift phone service is not successfully migrated off the copper network prior to disconnection, the resulting service disruption could present a significant risk to building occupants or lift passengers </w:t>
      </w:r>
      <w:r>
        <w:rPr>
          <w:rFonts w:eastAsia="Calibri" w:cs="Times New Roman"/>
        </w:rPr>
        <w:t>in the event of an emergency. Consequently, t</w:t>
      </w:r>
      <w:r w:rsidRPr="007D3132">
        <w:rPr>
          <w:rFonts w:eastAsia="Calibri" w:cs="Times New Roman"/>
        </w:rPr>
        <w:t xml:space="preserve">he successful migration of these services is reliant upon </w:t>
      </w:r>
      <w:r>
        <w:rPr>
          <w:rFonts w:eastAsia="Calibri" w:cs="Times New Roman"/>
        </w:rPr>
        <w:t xml:space="preserve">the responsible </w:t>
      </w:r>
      <w:r w:rsidRPr="007D3132">
        <w:rPr>
          <w:rFonts w:eastAsia="Calibri" w:cs="Times New Roman"/>
        </w:rPr>
        <w:t xml:space="preserve">parties receiving the necessary information and taking the appropriate action </w:t>
      </w:r>
      <w:r>
        <w:rPr>
          <w:rFonts w:eastAsia="Calibri" w:cs="Times New Roman"/>
        </w:rPr>
        <w:t xml:space="preserve">to migrate these services before they </w:t>
      </w:r>
      <w:r w:rsidRPr="007D3132">
        <w:rPr>
          <w:rFonts w:eastAsia="Calibri" w:cs="Times New Roman"/>
        </w:rPr>
        <w:t xml:space="preserve">are disconnected. </w:t>
      </w:r>
    </w:p>
    <w:p w14:paraId="1F62AB36" w14:textId="77777777" w:rsidR="00C10316" w:rsidRPr="007D3132" w:rsidRDefault="00C10316" w:rsidP="00C10316">
      <w:pPr>
        <w:spacing w:after="240" w:line="276" w:lineRule="auto"/>
        <w:rPr>
          <w:rFonts w:eastAsia="Calibri" w:cs="Times New Roman"/>
        </w:rPr>
      </w:pPr>
      <w:r w:rsidRPr="007D3132">
        <w:rPr>
          <w:rFonts w:eastAsia="Calibri" w:cs="Times New Roman"/>
        </w:rPr>
        <w:t xml:space="preserve">In general terms, </w:t>
      </w:r>
      <w:r>
        <w:rPr>
          <w:rFonts w:eastAsia="Calibri" w:cs="Times New Roman"/>
        </w:rPr>
        <w:t xml:space="preserve">the end user responsible for ordering </w:t>
      </w:r>
      <w:r w:rsidRPr="007D3132">
        <w:rPr>
          <w:rFonts w:eastAsia="Calibri" w:cs="Times New Roman"/>
        </w:rPr>
        <w:t>the telecommunications service</w:t>
      </w:r>
      <w:r w:rsidRPr="004F2461">
        <w:t xml:space="preserve"> </w:t>
      </w:r>
      <w:r w:rsidRPr="004F2461">
        <w:rPr>
          <w:rFonts w:eastAsia="Calibri" w:cs="Times New Roman"/>
        </w:rPr>
        <w:t>including any over-the-top service such as a fire alarm or lift phone</w:t>
      </w:r>
      <w:r w:rsidRPr="007D3132">
        <w:rPr>
          <w:rFonts w:eastAsia="Calibri" w:cs="Times New Roman"/>
        </w:rPr>
        <w:t xml:space="preserve"> is responsible for </w:t>
      </w:r>
      <w:r>
        <w:rPr>
          <w:rFonts w:eastAsia="Calibri" w:cs="Times New Roman"/>
        </w:rPr>
        <w:t>the migration of the service</w:t>
      </w:r>
      <w:r w:rsidRPr="007D3132">
        <w:rPr>
          <w:rFonts w:eastAsia="Calibri" w:cs="Times New Roman"/>
        </w:rPr>
        <w:t xml:space="preserve">.  </w:t>
      </w:r>
      <w:r>
        <w:rPr>
          <w:rFonts w:eastAsia="Calibri" w:cs="Times New Roman"/>
        </w:rPr>
        <w:t>This is usually the building manager or owner/s.</w:t>
      </w:r>
    </w:p>
    <w:p w14:paraId="274EFCD4" w14:textId="77777777" w:rsidR="00C10316" w:rsidRPr="007D3132" w:rsidRDefault="00C10316" w:rsidP="00C10316">
      <w:pPr>
        <w:spacing w:line="276" w:lineRule="auto"/>
        <w:rPr>
          <w:rFonts w:eastAsia="Calibri" w:cs="Times New Roman"/>
        </w:rPr>
      </w:pPr>
      <w:r w:rsidRPr="007D3132">
        <w:rPr>
          <w:rFonts w:eastAsia="Calibri" w:cs="Times New Roman"/>
        </w:rPr>
        <w:t xml:space="preserve">All buildings that have a lift must comply with relevant building codes and Australian Standards, including workplace health and safety standards. Under these standards, lifts must be equipped in such a way that assistance can be sought in the case of an emergency. Responsibility for ensuring that these obligations are met rests with the building owner, or in the case of a strata title, the relevant body corporate (together referred to as the relevant building manager). Similarly, the building codes and relevant Australian Standards establish requirements for fire alarms, including fire alarm monitoring, within buildings. It is the responsibility of the relevant building manager, to ensure these requirements are met. </w:t>
      </w:r>
    </w:p>
    <w:p w14:paraId="1C460C10" w14:textId="77777777" w:rsidR="00C10316" w:rsidRPr="007D3132" w:rsidRDefault="00C10316" w:rsidP="00C10316">
      <w:pPr>
        <w:spacing w:line="276" w:lineRule="auto"/>
        <w:rPr>
          <w:rFonts w:eastAsia="Calibri" w:cs="Times New Roman"/>
        </w:rPr>
      </w:pPr>
      <w:r w:rsidRPr="007D3132">
        <w:rPr>
          <w:rFonts w:eastAsia="Calibri" w:cs="Times New Roman"/>
        </w:rPr>
        <w:t xml:space="preserve">It is the relevant building manager’s responsibility to ensure any fire alarm or lift phone service is in good working order and meets all regulatory requirements, both pre and post migration. If the relevant building manager is not also the </w:t>
      </w:r>
      <w:r>
        <w:rPr>
          <w:rFonts w:eastAsia="Calibri" w:cs="Times New Roman"/>
        </w:rPr>
        <w:t xml:space="preserve">end user responsible for </w:t>
      </w:r>
      <w:r w:rsidRPr="007D3132">
        <w:rPr>
          <w:rFonts w:eastAsia="Calibri" w:cs="Times New Roman"/>
        </w:rPr>
        <w:t xml:space="preserve">the telecommunications service on which the fire alarm or lift phone is provided, then it is expected that the relevant building manager will work with the </w:t>
      </w:r>
      <w:r>
        <w:rPr>
          <w:rFonts w:eastAsia="Calibri" w:cs="Times New Roman"/>
        </w:rPr>
        <w:t>end user</w:t>
      </w:r>
      <w:r w:rsidRPr="007D3132">
        <w:rPr>
          <w:rFonts w:eastAsia="Calibri" w:cs="Times New Roman"/>
        </w:rPr>
        <w:t xml:space="preserve"> to ensure the fire alarm or lift phone service is maintained according to the relevant regulatory standards.</w:t>
      </w:r>
    </w:p>
    <w:p w14:paraId="46497A62" w14:textId="77777777" w:rsidR="00C10316" w:rsidRDefault="00C10316" w:rsidP="00C10316">
      <w:pPr>
        <w:spacing w:after="120" w:line="276" w:lineRule="auto"/>
        <w:rPr>
          <w:rFonts w:eastAsia="Calibri" w:cs="Times New Roman"/>
        </w:rPr>
      </w:pPr>
      <w:r w:rsidRPr="007D3132">
        <w:rPr>
          <w:rFonts w:eastAsia="Calibri" w:cs="Times New Roman"/>
        </w:rPr>
        <w:t>To carry out their obligations effectively, the building managers responsible for the maintenance of a fire alarm or lift phone service need</w:t>
      </w:r>
      <w:r>
        <w:rPr>
          <w:rFonts w:eastAsia="Calibri" w:cs="Times New Roman"/>
        </w:rPr>
        <w:t>s</w:t>
      </w:r>
      <w:r w:rsidRPr="007D3132">
        <w:rPr>
          <w:rFonts w:eastAsia="Calibri" w:cs="Times New Roman"/>
        </w:rPr>
        <w:t xml:space="preserve"> to be informed of the disconnection risk, and be aware of the steps they need to take to promote compliance with their obligations.     </w:t>
      </w:r>
    </w:p>
    <w:p w14:paraId="6C57C217" w14:textId="77777777" w:rsidR="00C10316" w:rsidRDefault="00C10316" w:rsidP="00C10316">
      <w:pPr>
        <w:spacing w:after="120" w:line="276" w:lineRule="auto"/>
        <w:rPr>
          <w:rFonts w:eastAsia="Calibri" w:cs="Times New Roman"/>
        </w:rPr>
      </w:pPr>
      <w:r w:rsidRPr="007D3132">
        <w:rPr>
          <w:rFonts w:eastAsia="Calibri" w:cs="Times New Roman"/>
        </w:rPr>
        <w:t>Below sets out suggested actions that should be taken by various parties engaged in the migration process (e.g. end users, relevant building managers, alarm service providers, RSPs, nbn etc.) to minimise the risk of the services being disconnected before they have migrated.</w:t>
      </w:r>
    </w:p>
    <w:p w14:paraId="0003668B" w14:textId="7DBDD8A0" w:rsidR="00C10316" w:rsidRPr="00C10316" w:rsidRDefault="00C10316" w:rsidP="00C10316">
      <w:pPr>
        <w:spacing w:line="276" w:lineRule="auto"/>
        <w:rPr>
          <w:rFonts w:eastAsia="Calibri" w:cs="Times New Roman"/>
        </w:rPr>
      </w:pPr>
      <w:r>
        <w:rPr>
          <w:rFonts w:eastAsia="Calibri" w:cs="Times New Roman"/>
          <w:b/>
        </w:rPr>
        <w:t>Disconnection arrangements for identified fire alarm and lift phone services</w:t>
      </w:r>
    </w:p>
    <w:p w14:paraId="1D81A3D6" w14:textId="77777777" w:rsidR="00C10316" w:rsidRPr="007D3132" w:rsidRDefault="00C10316" w:rsidP="00C10316">
      <w:pPr>
        <w:spacing w:before="0" w:line="276" w:lineRule="auto"/>
        <w:rPr>
          <w:rFonts w:eastAsia="Calibri" w:cs="Times New Roman"/>
        </w:rPr>
      </w:pPr>
      <w:r w:rsidRPr="007D3132">
        <w:rPr>
          <w:rFonts w:eastAsia="Calibri" w:cs="Times New Roman"/>
        </w:rPr>
        <w:t xml:space="preserve">To allow time for the below roles and responsibilities to be understood by the relevant parties, Telstra and nbn have agreed the following interim </w:t>
      </w:r>
      <w:r w:rsidRPr="000644A1">
        <w:rPr>
          <w:rFonts w:eastAsia="Calibri" w:cs="Times New Roman"/>
        </w:rPr>
        <w:t>arrangements to apply for services with a Disconnection Date falling in 2015.</w:t>
      </w:r>
    </w:p>
    <w:p w14:paraId="11770B35" w14:textId="77777777" w:rsidR="00C10316" w:rsidRPr="007D3132" w:rsidRDefault="00C10316" w:rsidP="00C10316">
      <w:pPr>
        <w:spacing w:line="276" w:lineRule="auto"/>
        <w:rPr>
          <w:rFonts w:eastAsia="Calibri" w:cs="Times New Roman"/>
        </w:rPr>
      </w:pPr>
      <w:r w:rsidRPr="007D3132">
        <w:rPr>
          <w:rFonts w:eastAsia="Calibri" w:cs="Times New Roman"/>
        </w:rPr>
        <w:t xml:space="preserve">Where Telstra is notified by nbn that a copper service is being used to supply a registered fire alarm or a lift phone at a premises, Telstra may continue to supply copper services to that premises until the copper service is cancelled (under business as usual processes), or up to 120 business days after the Disconnection Date. In order to benefit from this extension, fire alarms and lift phones must be registered with nbn no later than 25 business days after the Disconnection Date. </w:t>
      </w:r>
    </w:p>
    <w:p w14:paraId="2F0FE840" w14:textId="472516FF" w:rsidR="001D6C79" w:rsidRPr="00C10316" w:rsidRDefault="00C10316" w:rsidP="001D6C79">
      <w:pPr>
        <w:spacing w:after="120"/>
        <w:rPr>
          <w:rFonts w:eastAsia="Calibri" w:cs="Times New Roman"/>
        </w:rPr>
      </w:pPr>
      <w:r w:rsidRPr="007D3132">
        <w:rPr>
          <w:rFonts w:eastAsia="Calibri" w:cs="Times New Roman"/>
        </w:rPr>
        <w:t>The</w:t>
      </w:r>
      <w:r>
        <w:rPr>
          <w:rFonts w:eastAsia="Calibri" w:cs="Times New Roman"/>
        </w:rPr>
        <w:t xml:space="preserve"> interim</w:t>
      </w:r>
      <w:r w:rsidRPr="007D3132">
        <w:rPr>
          <w:rFonts w:eastAsia="Calibri" w:cs="Times New Roman"/>
        </w:rPr>
        <w:t xml:space="preserve"> arrangements are intended to encourage stakeholders to participate in the development of industry measures to manage these services (early in the migration window), at the same time ensuring that end users have enough time to migrate these services while the engagement and communications process around fire alarm and lift phone services takes place.</w:t>
      </w:r>
    </w:p>
    <w:p w14:paraId="3211E213" w14:textId="76C47223" w:rsidR="00C10316" w:rsidRPr="007D3132" w:rsidRDefault="00C10316" w:rsidP="00C10316">
      <w:pPr>
        <w:spacing w:before="0" w:line="276" w:lineRule="auto"/>
        <w:rPr>
          <w:rFonts w:eastAsia="Calibri" w:cs="Times New Roman"/>
          <w:u w:val="single"/>
        </w:rPr>
      </w:pPr>
      <w:r w:rsidRPr="007D3132">
        <w:rPr>
          <w:rFonts w:eastAsia="Calibri" w:cs="Times New Roman"/>
          <w:u w:val="single"/>
        </w:rPr>
        <w:t xml:space="preserve">Role of relevant </w:t>
      </w:r>
      <w:r w:rsidR="00960348">
        <w:rPr>
          <w:rFonts w:eastAsia="Calibri" w:cs="Times New Roman"/>
          <w:u w:val="single"/>
        </w:rPr>
        <w:t>building managers</w:t>
      </w:r>
      <w:r w:rsidRPr="007D3132">
        <w:rPr>
          <w:rFonts w:eastAsia="Calibri" w:cs="Times New Roman"/>
          <w:u w:val="single"/>
        </w:rPr>
        <w:t>:</w:t>
      </w:r>
    </w:p>
    <w:p w14:paraId="731ACFA9" w14:textId="77777777" w:rsidR="00C10316" w:rsidRPr="007D3132" w:rsidRDefault="00C10316" w:rsidP="00C10316">
      <w:pPr>
        <w:numPr>
          <w:ilvl w:val="0"/>
          <w:numId w:val="30"/>
        </w:numPr>
        <w:spacing w:before="0" w:line="276" w:lineRule="auto"/>
        <w:rPr>
          <w:rFonts w:eastAsia="Calibri" w:cs="Times New Roman"/>
        </w:rPr>
      </w:pPr>
      <w:r w:rsidRPr="007D3132">
        <w:rPr>
          <w:rFonts w:eastAsia="Calibri" w:cs="Times New Roman"/>
        </w:rPr>
        <w:t xml:space="preserve">taking action to inform themselves </w:t>
      </w:r>
      <w:r>
        <w:rPr>
          <w:rFonts w:eastAsia="Calibri" w:cs="Times New Roman"/>
        </w:rPr>
        <w:t>of</w:t>
      </w:r>
      <w:r w:rsidRPr="007D3132">
        <w:rPr>
          <w:rFonts w:eastAsia="Calibri" w:cs="Times New Roman"/>
        </w:rPr>
        <w:t xml:space="preserve"> migration requirements, including when the </w:t>
      </w:r>
      <w:r>
        <w:rPr>
          <w:rFonts w:eastAsia="Calibri" w:cs="Times New Roman"/>
        </w:rPr>
        <w:t>national broadband network</w:t>
      </w:r>
      <w:r w:rsidRPr="007D3132">
        <w:rPr>
          <w:rFonts w:eastAsia="Calibri" w:cs="Times New Roman"/>
        </w:rPr>
        <w:t xml:space="preserve"> may be available in their area</w:t>
      </w:r>
      <w:r>
        <w:rPr>
          <w:rFonts w:eastAsia="Calibri" w:cs="Times New Roman"/>
        </w:rPr>
        <w:t>,</w:t>
      </w:r>
      <w:r w:rsidRPr="007D3132">
        <w:rPr>
          <w:rFonts w:eastAsia="Calibri" w:cs="Times New Roman"/>
        </w:rPr>
        <w:t xml:space="preserve"> and when action may need to be taken to maintain their fire alarm or lift phone service  </w:t>
      </w:r>
    </w:p>
    <w:p w14:paraId="669D81A6" w14:textId="77777777" w:rsidR="00C10316" w:rsidRDefault="00C10316" w:rsidP="00C10316">
      <w:pPr>
        <w:numPr>
          <w:ilvl w:val="0"/>
          <w:numId w:val="30"/>
        </w:numPr>
        <w:spacing w:line="276" w:lineRule="auto"/>
        <w:rPr>
          <w:rFonts w:eastAsia="Calibri" w:cs="Times New Roman"/>
        </w:rPr>
      </w:pPr>
      <w:r w:rsidRPr="007D3132">
        <w:rPr>
          <w:rFonts w:eastAsia="Calibri" w:cs="Times New Roman"/>
        </w:rPr>
        <w:t xml:space="preserve">taking responsibility for migrating and promoting the continuity of their fire alarm or lift phone services during the migration window, whether to a service over nbn’s network, or a service provided over a different network. </w:t>
      </w:r>
    </w:p>
    <w:p w14:paraId="4383B5DD" w14:textId="77777777" w:rsidR="00C10316" w:rsidRDefault="00C10316" w:rsidP="00C10316">
      <w:pPr>
        <w:numPr>
          <w:ilvl w:val="1"/>
          <w:numId w:val="30"/>
        </w:numPr>
        <w:spacing w:before="0" w:line="276" w:lineRule="auto"/>
        <w:rPr>
          <w:rFonts w:eastAsia="Calibri" w:cs="Times New Roman"/>
        </w:rPr>
      </w:pPr>
      <w:r w:rsidRPr="007D3132">
        <w:rPr>
          <w:rFonts w:eastAsia="Calibri" w:cs="Times New Roman"/>
        </w:rPr>
        <w:t>This includes obtaining the assistance of any party (such as a registered cabler,</w:t>
      </w:r>
      <w:r>
        <w:rPr>
          <w:rFonts w:eastAsia="Calibri" w:cs="Times New Roman"/>
        </w:rPr>
        <w:t xml:space="preserve"> lift phone or fire alarm monitoring service p</w:t>
      </w:r>
      <w:r w:rsidRPr="007D3132">
        <w:rPr>
          <w:rFonts w:eastAsia="Calibri" w:cs="Times New Roman"/>
        </w:rPr>
        <w:t xml:space="preserve">rovider or an RSP) required to ensure a successful migration of the service </w:t>
      </w:r>
    </w:p>
    <w:p w14:paraId="31A44815" w14:textId="77777777" w:rsidR="001D6C79" w:rsidRPr="007D3132" w:rsidRDefault="001D6C79" w:rsidP="001D6C79">
      <w:pPr>
        <w:spacing w:before="0" w:line="276" w:lineRule="auto"/>
        <w:ind w:left="1440"/>
        <w:rPr>
          <w:rFonts w:eastAsia="Calibri" w:cs="Times New Roman"/>
        </w:rPr>
      </w:pPr>
    </w:p>
    <w:p w14:paraId="2EE4C317" w14:textId="77777777" w:rsidR="00C10316" w:rsidRPr="00B74ADE" w:rsidRDefault="00C10316" w:rsidP="00C10316">
      <w:pPr>
        <w:pStyle w:val="ListParagraph"/>
        <w:numPr>
          <w:ilvl w:val="0"/>
          <w:numId w:val="30"/>
        </w:numPr>
        <w:spacing w:before="0" w:after="160" w:line="276" w:lineRule="auto"/>
        <w:rPr>
          <w:rFonts w:eastAsia="Calibri" w:cs="Times New Roman"/>
        </w:rPr>
      </w:pPr>
      <w:r w:rsidRPr="00B74ADE">
        <w:rPr>
          <w:rFonts w:eastAsia="Calibri" w:cs="Times New Roman"/>
        </w:rPr>
        <w:t xml:space="preserve">working with their application service provider and their RSP to obtain a suitable alternative service for fire alarm or lift phone services subject to disconnection </w:t>
      </w:r>
    </w:p>
    <w:p w14:paraId="191D2119" w14:textId="77777777" w:rsidR="00C10316" w:rsidRDefault="00C10316" w:rsidP="00C10316">
      <w:pPr>
        <w:numPr>
          <w:ilvl w:val="0"/>
          <w:numId w:val="30"/>
        </w:numPr>
        <w:spacing w:line="276" w:lineRule="auto"/>
        <w:rPr>
          <w:rFonts w:eastAsia="Calibri" w:cs="Times New Roman"/>
        </w:rPr>
      </w:pPr>
      <w:r w:rsidRPr="007D3132">
        <w:rPr>
          <w:rFonts w:eastAsia="Calibri" w:cs="Times New Roman"/>
        </w:rPr>
        <w:t>registering their fire alarm or lift phone services on nbn’s Fire Alarm and Lift Phone Register (which includes providing the correct telephone numbers of the relevant services) and updating the register to confirm the fire alarm or lift phone has been successfully migrated off the copper network when that occurs</w:t>
      </w:r>
    </w:p>
    <w:p w14:paraId="617A3535" w14:textId="65FBFE2C" w:rsidR="00960348" w:rsidRPr="007D3132" w:rsidRDefault="00960348" w:rsidP="00960348">
      <w:pPr>
        <w:numPr>
          <w:ilvl w:val="0"/>
          <w:numId w:val="30"/>
        </w:numPr>
        <w:spacing w:line="276" w:lineRule="auto"/>
        <w:rPr>
          <w:rFonts w:eastAsia="Calibri" w:cs="Times New Roman"/>
        </w:rPr>
      </w:pPr>
      <w:r w:rsidRPr="00960348">
        <w:rPr>
          <w:rFonts w:eastAsia="Calibri" w:cs="Times New Roman"/>
        </w:rPr>
        <w:t xml:space="preserve">working with the customer of the telecommunications service over which the </w:t>
      </w:r>
      <w:r w:rsidR="00E542C2">
        <w:rPr>
          <w:rFonts w:eastAsia="Calibri" w:cs="Times New Roman"/>
        </w:rPr>
        <w:t>fire alarm</w:t>
      </w:r>
      <w:r w:rsidRPr="00960348">
        <w:rPr>
          <w:rFonts w:eastAsia="Calibri" w:cs="Times New Roman"/>
        </w:rPr>
        <w:t xml:space="preserve"> or </w:t>
      </w:r>
      <w:r w:rsidR="00E542C2">
        <w:rPr>
          <w:rFonts w:eastAsia="Calibri" w:cs="Times New Roman"/>
        </w:rPr>
        <w:t>lift phone</w:t>
      </w:r>
      <w:r w:rsidRPr="00960348">
        <w:rPr>
          <w:rFonts w:eastAsia="Calibri" w:cs="Times New Roman"/>
        </w:rPr>
        <w:t xml:space="preserve"> is provided to ensure the above takes place (in circumstances where for some reason the customer of the telecommunications service is not the relevant building manager).</w:t>
      </w:r>
    </w:p>
    <w:p w14:paraId="0D8B8A76" w14:textId="77777777" w:rsidR="00C10316" w:rsidRPr="007D3132" w:rsidRDefault="00C10316" w:rsidP="00C10316">
      <w:pPr>
        <w:numPr>
          <w:ilvl w:val="0"/>
          <w:numId w:val="30"/>
        </w:numPr>
        <w:spacing w:line="276" w:lineRule="auto"/>
        <w:rPr>
          <w:rFonts w:eastAsia="Calibri" w:cs="Times New Roman"/>
        </w:rPr>
      </w:pPr>
      <w:r>
        <w:rPr>
          <w:rFonts w:eastAsia="Calibri" w:cs="Times New Roman"/>
        </w:rPr>
        <w:t xml:space="preserve">after </w:t>
      </w:r>
      <w:r w:rsidRPr="007D3132">
        <w:rPr>
          <w:rFonts w:eastAsia="Calibri" w:cs="Times New Roman"/>
        </w:rPr>
        <w:t xml:space="preserve">fire alarm and lift phone services have been migrated off the copper network, informing their lift phone or fire alarm monitoring service provider of the fact and requesting a test be carried out to ensure </w:t>
      </w:r>
      <w:r>
        <w:rPr>
          <w:rFonts w:eastAsia="Calibri" w:cs="Times New Roman"/>
        </w:rPr>
        <w:t>successful migration</w:t>
      </w:r>
      <w:r w:rsidRPr="007D3132">
        <w:rPr>
          <w:rFonts w:eastAsia="Calibri" w:cs="Times New Roman"/>
        </w:rPr>
        <w:t xml:space="preserve"> to the alternative service.</w:t>
      </w:r>
    </w:p>
    <w:p w14:paraId="151B35E7" w14:textId="66FA434F" w:rsidR="00C10316" w:rsidRPr="00A8686F" w:rsidRDefault="00C10316" w:rsidP="00A8686F">
      <w:pPr>
        <w:spacing w:after="120"/>
        <w:rPr>
          <w:rFonts w:eastAsia="Calibri" w:cs="Times New Roman"/>
        </w:rPr>
      </w:pPr>
      <w:r w:rsidRPr="007D3132">
        <w:rPr>
          <w:rFonts w:eastAsia="Calibri" w:cs="Times New Roman"/>
          <w:u w:val="single"/>
        </w:rPr>
        <w:t>Roles</w:t>
      </w:r>
      <w:r>
        <w:rPr>
          <w:rFonts w:eastAsia="Calibri" w:cs="Times New Roman"/>
          <w:u w:val="single"/>
        </w:rPr>
        <w:t xml:space="preserve"> of lift p</w:t>
      </w:r>
      <w:r w:rsidRPr="007D3132">
        <w:rPr>
          <w:rFonts w:eastAsia="Calibri" w:cs="Times New Roman"/>
          <w:u w:val="single"/>
        </w:rPr>
        <w:t xml:space="preserve">hone </w:t>
      </w:r>
      <w:r>
        <w:rPr>
          <w:rFonts w:eastAsia="Calibri" w:cs="Times New Roman"/>
          <w:u w:val="single"/>
        </w:rPr>
        <w:t>maintenance service p</w:t>
      </w:r>
      <w:r w:rsidRPr="007D3132">
        <w:rPr>
          <w:rFonts w:eastAsia="Calibri" w:cs="Times New Roman"/>
          <w:u w:val="single"/>
        </w:rPr>
        <w:t xml:space="preserve">roviders </w:t>
      </w:r>
      <w:r>
        <w:rPr>
          <w:rFonts w:eastAsia="Calibri" w:cs="Times New Roman"/>
          <w:u w:val="single"/>
        </w:rPr>
        <w:t>&amp; fire alarm monitoring service p</w:t>
      </w:r>
      <w:r w:rsidRPr="007D3132">
        <w:rPr>
          <w:rFonts w:eastAsia="Calibri" w:cs="Times New Roman"/>
          <w:u w:val="single"/>
        </w:rPr>
        <w:t>roviders:</w:t>
      </w:r>
    </w:p>
    <w:p w14:paraId="4FEF9A30" w14:textId="77777777" w:rsidR="00C10316" w:rsidRDefault="00C10316" w:rsidP="00C10316">
      <w:pPr>
        <w:numPr>
          <w:ilvl w:val="0"/>
          <w:numId w:val="30"/>
        </w:numPr>
        <w:spacing w:line="276" w:lineRule="auto"/>
        <w:contextualSpacing/>
        <w:rPr>
          <w:rFonts w:eastAsia="Calibri" w:cs="Times New Roman"/>
        </w:rPr>
      </w:pPr>
      <w:r w:rsidRPr="007D3132">
        <w:rPr>
          <w:rFonts w:eastAsia="Calibri" w:cs="Times New Roman"/>
        </w:rPr>
        <w:t>registering details of all fire alarm and lift phone services they provide</w:t>
      </w:r>
      <w:r w:rsidRPr="00B74ADE">
        <w:t xml:space="preserve"> </w:t>
      </w:r>
      <w:r w:rsidRPr="00B74ADE">
        <w:rPr>
          <w:rFonts w:eastAsia="Calibri" w:cs="Times New Roman"/>
        </w:rPr>
        <w:t>on nbn’s Fire Alarm and Lift Phone Register</w:t>
      </w:r>
      <w:r>
        <w:rPr>
          <w:rFonts w:eastAsia="Calibri" w:cs="Times New Roman"/>
        </w:rPr>
        <w:t xml:space="preserve">. </w:t>
      </w:r>
      <w:r w:rsidRPr="00B74ADE">
        <w:rPr>
          <w:rFonts w:eastAsia="Calibri" w:cs="Times New Roman"/>
        </w:rPr>
        <w:t>This  includes</w:t>
      </w:r>
      <w:r>
        <w:rPr>
          <w:rFonts w:eastAsia="Calibri" w:cs="Times New Roman"/>
        </w:rPr>
        <w:t>:</w:t>
      </w:r>
    </w:p>
    <w:p w14:paraId="35FAF0EA" w14:textId="77777777" w:rsidR="00C10316" w:rsidRDefault="00C10316" w:rsidP="00C10316">
      <w:pPr>
        <w:numPr>
          <w:ilvl w:val="1"/>
          <w:numId w:val="30"/>
        </w:numPr>
        <w:spacing w:line="276" w:lineRule="auto"/>
        <w:contextualSpacing/>
        <w:rPr>
          <w:rFonts w:eastAsia="Calibri" w:cs="Times New Roman"/>
        </w:rPr>
      </w:pPr>
      <w:r w:rsidRPr="00B74ADE">
        <w:rPr>
          <w:rFonts w:eastAsia="Calibri" w:cs="Times New Roman"/>
        </w:rPr>
        <w:t xml:space="preserve">providing </w:t>
      </w:r>
      <w:r w:rsidRPr="007D3132">
        <w:rPr>
          <w:rFonts w:eastAsia="Calibri" w:cs="Times New Roman"/>
        </w:rPr>
        <w:t>the relevant te</w:t>
      </w:r>
      <w:r>
        <w:rPr>
          <w:rFonts w:eastAsia="Calibri" w:cs="Times New Roman"/>
        </w:rPr>
        <w:t>lephone number for the service,</w:t>
      </w:r>
    </w:p>
    <w:p w14:paraId="76F913CD" w14:textId="77777777" w:rsidR="00C10316" w:rsidRDefault="00C10316" w:rsidP="00C10316">
      <w:pPr>
        <w:numPr>
          <w:ilvl w:val="1"/>
          <w:numId w:val="30"/>
        </w:numPr>
        <w:spacing w:line="276" w:lineRule="auto"/>
        <w:contextualSpacing/>
        <w:rPr>
          <w:rFonts w:eastAsia="Calibri" w:cs="Times New Roman"/>
        </w:rPr>
      </w:pPr>
      <w:r>
        <w:rPr>
          <w:rFonts w:eastAsia="Calibri" w:cs="Times New Roman"/>
        </w:rPr>
        <w:t xml:space="preserve">providing </w:t>
      </w:r>
      <w:r w:rsidRPr="007D3132">
        <w:rPr>
          <w:rFonts w:eastAsia="Calibri" w:cs="Times New Roman"/>
        </w:rPr>
        <w:t>the relevant c</w:t>
      </w:r>
      <w:r>
        <w:rPr>
          <w:rFonts w:eastAsia="Calibri" w:cs="Times New Roman"/>
        </w:rPr>
        <w:t>ontact details for the service</w:t>
      </w:r>
    </w:p>
    <w:p w14:paraId="4C7994A9" w14:textId="77777777" w:rsidR="00C10316" w:rsidRDefault="00C10316" w:rsidP="00C10316">
      <w:pPr>
        <w:numPr>
          <w:ilvl w:val="1"/>
          <w:numId w:val="30"/>
        </w:numPr>
        <w:spacing w:line="276" w:lineRule="auto"/>
        <w:contextualSpacing/>
        <w:rPr>
          <w:rFonts w:eastAsia="Calibri" w:cs="Times New Roman"/>
        </w:rPr>
      </w:pPr>
      <w:r>
        <w:rPr>
          <w:rFonts w:eastAsia="Calibri" w:cs="Times New Roman"/>
        </w:rPr>
        <w:t>keeping registered</w:t>
      </w:r>
      <w:r w:rsidRPr="007D3132">
        <w:rPr>
          <w:rFonts w:eastAsia="Calibri" w:cs="Times New Roman"/>
        </w:rPr>
        <w:t xml:space="preserve"> information up to date </w:t>
      </w:r>
    </w:p>
    <w:p w14:paraId="5CD9D6C7" w14:textId="358F5D31" w:rsidR="00C10316" w:rsidRPr="00C10316" w:rsidRDefault="00C10316" w:rsidP="00C10316">
      <w:pPr>
        <w:numPr>
          <w:ilvl w:val="1"/>
          <w:numId w:val="30"/>
        </w:numPr>
        <w:spacing w:line="276" w:lineRule="auto"/>
        <w:contextualSpacing/>
        <w:rPr>
          <w:rFonts w:eastAsia="Calibri" w:cs="Times New Roman"/>
        </w:rPr>
      </w:pPr>
      <w:r w:rsidRPr="007D3132">
        <w:rPr>
          <w:rFonts w:eastAsia="Calibri" w:cs="Times New Roman"/>
        </w:rPr>
        <w:t xml:space="preserve">providing confirmation </w:t>
      </w:r>
      <w:r w:rsidRPr="00B74ADE">
        <w:rPr>
          <w:rFonts w:eastAsia="Calibri" w:cs="Times New Roman"/>
        </w:rPr>
        <w:t>through the r</w:t>
      </w:r>
      <w:r w:rsidRPr="007D3132">
        <w:rPr>
          <w:rFonts w:eastAsia="Calibri" w:cs="Times New Roman"/>
        </w:rPr>
        <w:t xml:space="preserve">egister </w:t>
      </w:r>
      <w:r>
        <w:rPr>
          <w:rFonts w:eastAsia="Calibri" w:cs="Times New Roman"/>
        </w:rPr>
        <w:t>when the service has been successfully migrated</w:t>
      </w:r>
      <w:r w:rsidRPr="00B74ADE">
        <w:rPr>
          <w:rFonts w:eastAsia="Calibri" w:cs="Times New Roman"/>
        </w:rPr>
        <w:t>.</w:t>
      </w:r>
      <w:r w:rsidRPr="007D3132">
        <w:rPr>
          <w:rFonts w:eastAsia="Calibri" w:cs="Times New Roman"/>
        </w:rPr>
        <w:t xml:space="preserve"> </w:t>
      </w:r>
    </w:p>
    <w:p w14:paraId="2C117453" w14:textId="77777777" w:rsidR="00C10316" w:rsidRDefault="00C10316" w:rsidP="00C10316">
      <w:pPr>
        <w:numPr>
          <w:ilvl w:val="0"/>
          <w:numId w:val="30"/>
        </w:numPr>
        <w:spacing w:before="0" w:line="276" w:lineRule="auto"/>
        <w:contextualSpacing/>
        <w:rPr>
          <w:rFonts w:eastAsia="Calibri" w:cs="Times New Roman"/>
        </w:rPr>
      </w:pPr>
      <w:r w:rsidRPr="007D3132">
        <w:rPr>
          <w:rFonts w:eastAsia="Calibri" w:cs="Times New Roman"/>
        </w:rPr>
        <w:t xml:space="preserve">advising their customers who are in an area where the </w:t>
      </w:r>
      <w:r>
        <w:rPr>
          <w:rFonts w:eastAsia="Calibri" w:cs="Times New Roman"/>
        </w:rPr>
        <w:t xml:space="preserve">national broadband network </w:t>
      </w:r>
      <w:r w:rsidRPr="007D3132">
        <w:rPr>
          <w:rFonts w:eastAsia="Calibri" w:cs="Times New Roman"/>
        </w:rPr>
        <w:t xml:space="preserve">has become, or is about to become available, of the need to take action early in the migration window if they are impacted by the migration </w:t>
      </w:r>
    </w:p>
    <w:p w14:paraId="34A85A70" w14:textId="77777777" w:rsidR="00C10316" w:rsidRPr="007D3132" w:rsidRDefault="00C10316" w:rsidP="00C10316">
      <w:pPr>
        <w:spacing w:line="276" w:lineRule="auto"/>
        <w:contextualSpacing/>
        <w:rPr>
          <w:rFonts w:eastAsia="Calibri" w:cs="Times New Roman"/>
        </w:rPr>
      </w:pPr>
    </w:p>
    <w:p w14:paraId="39A23CB3" w14:textId="77777777" w:rsidR="00C10316" w:rsidRPr="00313121" w:rsidRDefault="00C10316" w:rsidP="00C10316">
      <w:pPr>
        <w:numPr>
          <w:ilvl w:val="0"/>
          <w:numId w:val="30"/>
        </w:numPr>
        <w:spacing w:line="276" w:lineRule="auto"/>
        <w:contextualSpacing/>
        <w:rPr>
          <w:rFonts w:eastAsia="Calibri" w:cs="Times New Roman"/>
        </w:rPr>
      </w:pPr>
      <w:r w:rsidRPr="007D3132">
        <w:rPr>
          <w:rFonts w:eastAsia="Calibri" w:cs="Times New Roman"/>
        </w:rPr>
        <w:t xml:space="preserve">assisting their customer in finding an alternative, workable solution to their existing fire alarm or lift </w:t>
      </w:r>
      <w:r w:rsidRPr="00313121">
        <w:rPr>
          <w:rFonts w:eastAsia="Calibri" w:cs="Times New Roman"/>
        </w:rPr>
        <w:t xml:space="preserve">phone service where requested by their customer </w:t>
      </w:r>
    </w:p>
    <w:p w14:paraId="1FFF79D8" w14:textId="77777777" w:rsidR="00C10316" w:rsidRPr="00313121" w:rsidRDefault="00C10316" w:rsidP="00C10316">
      <w:pPr>
        <w:spacing w:line="276" w:lineRule="auto"/>
        <w:contextualSpacing/>
        <w:rPr>
          <w:rFonts w:eastAsia="Calibri" w:cs="Times New Roman"/>
        </w:rPr>
      </w:pPr>
    </w:p>
    <w:p w14:paraId="26F20CA4" w14:textId="77777777" w:rsidR="00C10316" w:rsidRPr="00313121" w:rsidRDefault="00C10316" w:rsidP="00C10316">
      <w:pPr>
        <w:numPr>
          <w:ilvl w:val="0"/>
          <w:numId w:val="30"/>
        </w:numPr>
        <w:spacing w:line="276" w:lineRule="auto"/>
        <w:contextualSpacing/>
        <w:rPr>
          <w:rFonts w:eastAsia="Calibri" w:cs="Times New Roman"/>
        </w:rPr>
      </w:pPr>
      <w:r w:rsidRPr="00313121">
        <w:rPr>
          <w:rFonts w:eastAsia="Calibri" w:cs="Times New Roman"/>
        </w:rPr>
        <w:t>developing products suitable for the ongoing support of fire alarm and lift phone services</w:t>
      </w:r>
    </w:p>
    <w:p w14:paraId="2EDBB9C2" w14:textId="77777777" w:rsidR="00C10316" w:rsidRDefault="00C10316" w:rsidP="00C10316">
      <w:pPr>
        <w:numPr>
          <w:ilvl w:val="0"/>
          <w:numId w:val="30"/>
        </w:numPr>
        <w:spacing w:line="276" w:lineRule="auto"/>
        <w:rPr>
          <w:rFonts w:eastAsia="Calibri" w:cs="Times New Roman"/>
        </w:rPr>
      </w:pPr>
      <w:r w:rsidRPr="00313121">
        <w:rPr>
          <w:rFonts w:eastAsia="Calibri" w:cs="Times New Roman"/>
        </w:rPr>
        <w:t>where they have been advised that a service has migrated, performing tests to ensure that the fire alarm or lift phone service continues to work after migration</w:t>
      </w:r>
      <w:r w:rsidRPr="007D3132">
        <w:rPr>
          <w:rFonts w:eastAsia="Calibri" w:cs="Times New Roman"/>
        </w:rPr>
        <w:t xml:space="preserve"> takes place</w:t>
      </w:r>
      <w:r>
        <w:rPr>
          <w:rFonts w:eastAsia="Calibri" w:cs="Times New Roman"/>
        </w:rPr>
        <w:t xml:space="preserve">. This includes </w:t>
      </w:r>
    </w:p>
    <w:p w14:paraId="3E721A93" w14:textId="77777777" w:rsidR="00C10316" w:rsidRDefault="00C10316" w:rsidP="00C10316">
      <w:pPr>
        <w:numPr>
          <w:ilvl w:val="1"/>
          <w:numId w:val="30"/>
        </w:numPr>
        <w:spacing w:before="0" w:line="276" w:lineRule="auto"/>
        <w:rPr>
          <w:rFonts w:eastAsia="Calibri" w:cs="Times New Roman"/>
        </w:rPr>
      </w:pPr>
      <w:r w:rsidRPr="007D3132">
        <w:rPr>
          <w:rFonts w:eastAsia="Calibri" w:cs="Times New Roman"/>
        </w:rPr>
        <w:t>develop</w:t>
      </w:r>
      <w:r>
        <w:rPr>
          <w:rFonts w:eastAsia="Calibri" w:cs="Times New Roman"/>
        </w:rPr>
        <w:t>ing</w:t>
      </w:r>
      <w:r w:rsidRPr="007D3132">
        <w:rPr>
          <w:rFonts w:eastAsia="Calibri" w:cs="Times New Roman"/>
        </w:rPr>
        <w:t xml:space="preserve"> adequate contingency plans in case of device or service failure after copper disconnection</w:t>
      </w:r>
      <w:r>
        <w:rPr>
          <w:rFonts w:eastAsia="Calibri" w:cs="Times New Roman"/>
        </w:rPr>
        <w:t xml:space="preserve"> </w:t>
      </w:r>
    </w:p>
    <w:p w14:paraId="3A723DBD" w14:textId="77777777" w:rsidR="00C10316" w:rsidRPr="00F1142D" w:rsidRDefault="00C10316" w:rsidP="00C10316">
      <w:pPr>
        <w:numPr>
          <w:ilvl w:val="1"/>
          <w:numId w:val="30"/>
        </w:numPr>
        <w:spacing w:before="0" w:line="276" w:lineRule="auto"/>
        <w:rPr>
          <w:rFonts w:eastAsia="Calibri" w:cs="Times New Roman"/>
        </w:rPr>
      </w:pPr>
      <w:r w:rsidRPr="007D3132">
        <w:rPr>
          <w:rFonts w:eastAsia="Calibri" w:cs="Times New Roman"/>
        </w:rPr>
        <w:t>ensuring that migrated services are maintained and continue to operate in accordance with relevant standards.</w:t>
      </w:r>
    </w:p>
    <w:p w14:paraId="57F70009" w14:textId="77777777" w:rsidR="00C10316" w:rsidRDefault="00C10316" w:rsidP="00C10316">
      <w:pPr>
        <w:spacing w:before="0" w:line="276" w:lineRule="auto"/>
        <w:rPr>
          <w:rFonts w:eastAsia="Calibri" w:cs="Times New Roman"/>
          <w:u w:val="single"/>
        </w:rPr>
      </w:pPr>
    </w:p>
    <w:p w14:paraId="4BB74850" w14:textId="77777777" w:rsidR="00C10316" w:rsidRPr="007D3132" w:rsidRDefault="00C10316" w:rsidP="00C10316">
      <w:pPr>
        <w:spacing w:before="0" w:line="276" w:lineRule="auto"/>
        <w:rPr>
          <w:rFonts w:eastAsia="Calibri" w:cs="Times New Roman"/>
          <w:u w:val="single"/>
        </w:rPr>
      </w:pPr>
      <w:r w:rsidRPr="007D3132">
        <w:rPr>
          <w:rFonts w:eastAsia="Calibri" w:cs="Times New Roman"/>
          <w:u w:val="single"/>
        </w:rPr>
        <w:t xml:space="preserve">Role of nbn:  </w:t>
      </w:r>
    </w:p>
    <w:p w14:paraId="515DF7EF" w14:textId="7296B8BA" w:rsidR="00C10316" w:rsidRDefault="00C10316" w:rsidP="000512BE">
      <w:pPr>
        <w:numPr>
          <w:ilvl w:val="0"/>
          <w:numId w:val="26"/>
        </w:numPr>
        <w:spacing w:before="0" w:line="276" w:lineRule="auto"/>
        <w:rPr>
          <w:rFonts w:eastAsia="Calibri" w:cs="Times New Roman"/>
        </w:rPr>
      </w:pPr>
      <w:r w:rsidRPr="007D3132">
        <w:rPr>
          <w:rFonts w:eastAsia="Calibri" w:cs="Times New Roman"/>
        </w:rPr>
        <w:t>promoting awareness</w:t>
      </w:r>
      <w:r w:rsidR="000512BE" w:rsidRPr="000512BE">
        <w:rPr>
          <w:rFonts w:eastAsia="Calibri" w:cs="Times New Roman"/>
        </w:rPr>
        <w:t xml:space="preserve">, including via the PIM, </w:t>
      </w:r>
      <w:r w:rsidRPr="007D3132">
        <w:rPr>
          <w:rFonts w:eastAsia="Calibri" w:cs="Times New Roman"/>
        </w:rPr>
        <w:t xml:space="preserve">of the impact of migration </w:t>
      </w:r>
      <w:r>
        <w:rPr>
          <w:rFonts w:eastAsia="Calibri" w:cs="Times New Roman"/>
        </w:rPr>
        <w:t>on</w:t>
      </w:r>
      <w:r w:rsidRPr="007D3132">
        <w:rPr>
          <w:rFonts w:eastAsia="Calibri" w:cs="Times New Roman"/>
        </w:rPr>
        <w:t xml:space="preserve"> </w:t>
      </w:r>
      <w:r>
        <w:rPr>
          <w:rFonts w:eastAsia="Calibri" w:cs="Times New Roman"/>
        </w:rPr>
        <w:t>end users</w:t>
      </w:r>
      <w:r w:rsidRPr="007D3132">
        <w:rPr>
          <w:rFonts w:eastAsia="Calibri" w:cs="Times New Roman"/>
        </w:rPr>
        <w:t>’ services, including the action that needs to be taken to ensure services such as fire alarms and lift phones</w:t>
      </w:r>
      <w:r w:rsidR="000512BE">
        <w:rPr>
          <w:rFonts w:eastAsia="Calibri" w:cs="Times New Roman"/>
        </w:rPr>
        <w:t xml:space="preserve"> are successfully migrated to </w:t>
      </w:r>
      <w:r w:rsidRPr="007D3132">
        <w:rPr>
          <w:rFonts w:eastAsia="Calibri" w:cs="Times New Roman"/>
        </w:rPr>
        <w:t xml:space="preserve">suitable alternative </w:t>
      </w:r>
      <w:r w:rsidR="000512BE">
        <w:rPr>
          <w:rFonts w:eastAsia="Calibri" w:cs="Times New Roman"/>
        </w:rPr>
        <w:t xml:space="preserve">services </w:t>
      </w:r>
      <w:r w:rsidR="000512BE" w:rsidRPr="000512BE">
        <w:rPr>
          <w:rFonts w:eastAsia="Calibri" w:cs="Times New Roman"/>
        </w:rPr>
        <w:t>early in the migration window, and</w:t>
      </w:r>
      <w:r w:rsidR="000512BE">
        <w:rPr>
          <w:rFonts w:eastAsia="Calibri" w:cs="Times New Roman"/>
        </w:rPr>
        <w:t xml:space="preserve"> well in </w:t>
      </w:r>
      <w:r w:rsidRPr="00B35E7F">
        <w:rPr>
          <w:rFonts w:eastAsia="Calibri" w:cs="Times New Roman"/>
        </w:rPr>
        <w:t>advance of the Disconnection Date for their rollout region</w:t>
      </w:r>
      <w:r>
        <w:rPr>
          <w:rFonts w:eastAsia="Calibri" w:cs="Times New Roman"/>
        </w:rPr>
        <w:t>.</w:t>
      </w:r>
      <w:r w:rsidRPr="00B35E7F">
        <w:rPr>
          <w:rFonts w:eastAsia="Calibri" w:cs="Times New Roman"/>
        </w:rPr>
        <w:t xml:space="preserve"> </w:t>
      </w:r>
      <w:r>
        <w:rPr>
          <w:rFonts w:eastAsia="Calibri" w:cs="Times New Roman"/>
        </w:rPr>
        <w:t>This includes:</w:t>
      </w:r>
    </w:p>
    <w:p w14:paraId="1CFD619F" w14:textId="52302974" w:rsidR="00C10316" w:rsidRDefault="00C10316" w:rsidP="000512BE">
      <w:pPr>
        <w:pStyle w:val="ListParagraph"/>
        <w:numPr>
          <w:ilvl w:val="1"/>
          <w:numId w:val="26"/>
        </w:numPr>
        <w:spacing w:before="0" w:after="160" w:line="276" w:lineRule="auto"/>
        <w:rPr>
          <w:rFonts w:eastAsia="Calibri" w:cs="Times New Roman"/>
        </w:rPr>
      </w:pPr>
      <w:r w:rsidRPr="002C020E">
        <w:rPr>
          <w:rFonts w:eastAsia="Calibri" w:cs="Times New Roman"/>
        </w:rPr>
        <w:t xml:space="preserve">developing </w:t>
      </w:r>
      <w:r w:rsidRPr="00F1142D">
        <w:rPr>
          <w:rFonts w:eastAsia="Calibri" w:cs="Times New Roman"/>
        </w:rPr>
        <w:t>ways to notify building managers/owners, bodies corporates,</w:t>
      </w:r>
      <w:r w:rsidR="000512BE">
        <w:rPr>
          <w:rFonts w:eastAsia="Calibri" w:cs="Times New Roman"/>
        </w:rPr>
        <w:t xml:space="preserve"> lift maintenance providers, </w:t>
      </w:r>
      <w:r w:rsidRPr="00F1142D">
        <w:rPr>
          <w:rFonts w:eastAsia="Calibri" w:cs="Times New Roman"/>
        </w:rPr>
        <w:t xml:space="preserve">fire alarm monitoring companies </w:t>
      </w:r>
      <w:r w:rsidR="000512BE" w:rsidRPr="000512BE">
        <w:rPr>
          <w:rFonts w:eastAsia="Calibri" w:cs="Times New Roman"/>
        </w:rPr>
        <w:t xml:space="preserve">and end users </w:t>
      </w:r>
      <w:r w:rsidRPr="00F1142D">
        <w:rPr>
          <w:rFonts w:eastAsia="Calibri" w:cs="Times New Roman"/>
        </w:rPr>
        <w:t>about the impact, or likely impact, of migration on their services, and the need to migrate</w:t>
      </w:r>
      <w:r w:rsidR="000512BE">
        <w:rPr>
          <w:rFonts w:eastAsia="Calibri" w:cs="Times New Roman"/>
        </w:rPr>
        <w:t xml:space="preserve"> early</w:t>
      </w:r>
      <w:r w:rsidRPr="00F1142D">
        <w:rPr>
          <w:rFonts w:eastAsia="Calibri" w:cs="Times New Roman"/>
        </w:rPr>
        <w:t>, and encouraging them to register on nbn’s Fire Alarm and Lift Phone Register</w:t>
      </w:r>
      <w:r w:rsidRPr="00F1142D">
        <w:t xml:space="preserve"> </w:t>
      </w:r>
      <w:r w:rsidR="000512BE">
        <w:t xml:space="preserve">early </w:t>
      </w:r>
      <w:r>
        <w:t xml:space="preserve">and </w:t>
      </w:r>
      <w:r w:rsidRPr="00F1142D">
        <w:rPr>
          <w:rFonts w:eastAsia="Calibri" w:cs="Times New Roman"/>
        </w:rPr>
        <w:t>to confirm with nbn when the service has been successfully migrated to another network</w:t>
      </w:r>
      <w:r w:rsidR="000512BE">
        <w:rPr>
          <w:rFonts w:eastAsia="Calibri" w:cs="Times New Roman"/>
        </w:rPr>
        <w:t>; and</w:t>
      </w:r>
      <w:r w:rsidRPr="00F1142D">
        <w:rPr>
          <w:rFonts w:eastAsia="Calibri" w:cs="Times New Roman"/>
        </w:rPr>
        <w:t xml:space="preserve"> </w:t>
      </w:r>
    </w:p>
    <w:p w14:paraId="3F96C36A" w14:textId="2C957DBD" w:rsidR="00C10316" w:rsidRPr="002C020E" w:rsidRDefault="00C10316" w:rsidP="00C10316">
      <w:pPr>
        <w:pStyle w:val="ListParagraph"/>
        <w:numPr>
          <w:ilvl w:val="1"/>
          <w:numId w:val="26"/>
        </w:numPr>
        <w:spacing w:before="0" w:after="160" w:line="276" w:lineRule="auto"/>
        <w:rPr>
          <w:rFonts w:eastAsia="Calibri" w:cs="Times New Roman"/>
        </w:rPr>
      </w:pPr>
      <w:r>
        <w:rPr>
          <w:rFonts w:eastAsia="Calibri" w:cs="Times New Roman"/>
        </w:rPr>
        <w:t xml:space="preserve">encouraging </w:t>
      </w:r>
      <w:r w:rsidRPr="002C020E">
        <w:rPr>
          <w:rFonts w:eastAsia="Calibri" w:cs="Times New Roman"/>
        </w:rPr>
        <w:t xml:space="preserve">end users and building managers to contact their </w:t>
      </w:r>
      <w:r>
        <w:rPr>
          <w:rFonts w:eastAsia="Calibri" w:cs="Times New Roman"/>
        </w:rPr>
        <w:t xml:space="preserve">lift maintenance provider, </w:t>
      </w:r>
      <w:r w:rsidRPr="002C020E">
        <w:rPr>
          <w:rFonts w:eastAsia="Calibri" w:cs="Times New Roman"/>
        </w:rPr>
        <w:t xml:space="preserve">fire alarm monitoring </w:t>
      </w:r>
      <w:r>
        <w:rPr>
          <w:rFonts w:eastAsia="Calibri" w:cs="Times New Roman"/>
        </w:rPr>
        <w:t>provider and</w:t>
      </w:r>
      <w:r w:rsidRPr="002C020E">
        <w:rPr>
          <w:rFonts w:eastAsia="Calibri" w:cs="Times New Roman"/>
        </w:rPr>
        <w:t xml:space="preserve"> preferred RSP early in the migration window to reduce the ch</w:t>
      </w:r>
      <w:r w:rsidR="000512BE">
        <w:rPr>
          <w:rFonts w:eastAsia="Calibri" w:cs="Times New Roman"/>
        </w:rPr>
        <w:t>ance of migration difficulties; and</w:t>
      </w:r>
      <w:r w:rsidRPr="002C020E">
        <w:rPr>
          <w:rFonts w:eastAsia="Calibri" w:cs="Times New Roman"/>
        </w:rPr>
        <w:t xml:space="preserve"> </w:t>
      </w:r>
    </w:p>
    <w:p w14:paraId="14BA8C83" w14:textId="07A3EEB2" w:rsidR="000512BE" w:rsidRDefault="000512BE" w:rsidP="000512BE">
      <w:pPr>
        <w:pStyle w:val="ListParagraph"/>
        <w:numPr>
          <w:ilvl w:val="1"/>
          <w:numId w:val="26"/>
        </w:numPr>
        <w:spacing w:before="0" w:after="160" w:line="276" w:lineRule="auto"/>
        <w:rPr>
          <w:rFonts w:eastAsia="Calibri" w:cs="Times New Roman"/>
        </w:rPr>
      </w:pPr>
      <w:r w:rsidRPr="002C020E">
        <w:rPr>
          <w:rFonts w:eastAsia="Calibri" w:cs="Times New Roman"/>
        </w:rPr>
        <w:t xml:space="preserve">developing communication approaches for those </w:t>
      </w:r>
      <w:r>
        <w:rPr>
          <w:rFonts w:eastAsia="Calibri" w:cs="Times New Roman"/>
        </w:rPr>
        <w:t>end</w:t>
      </w:r>
      <w:r w:rsidR="0077429F">
        <w:rPr>
          <w:rFonts w:eastAsia="Calibri" w:cs="Times New Roman"/>
        </w:rPr>
        <w:t xml:space="preserve"> </w:t>
      </w:r>
      <w:r>
        <w:rPr>
          <w:rFonts w:eastAsia="Calibri" w:cs="Times New Roman"/>
        </w:rPr>
        <w:t>users who still have</w:t>
      </w:r>
      <w:r w:rsidRPr="002C020E">
        <w:rPr>
          <w:rFonts w:eastAsia="Calibri" w:cs="Times New Roman"/>
        </w:rPr>
        <w:t xml:space="preserve"> remaining active copper </w:t>
      </w:r>
      <w:r>
        <w:rPr>
          <w:rFonts w:eastAsia="Calibri" w:cs="Times New Roman"/>
        </w:rPr>
        <w:t xml:space="preserve">close </w:t>
      </w:r>
      <w:r w:rsidRPr="002C020E">
        <w:rPr>
          <w:rFonts w:eastAsia="Calibri" w:cs="Times New Roman"/>
        </w:rPr>
        <w:t>to the Disconnection Date</w:t>
      </w:r>
      <w:r>
        <w:rPr>
          <w:rFonts w:eastAsia="Calibri" w:cs="Times New Roman"/>
        </w:rPr>
        <w:t xml:space="preserve"> to encourage migration before mandatory disconnection occurs</w:t>
      </w:r>
      <w:r w:rsidRPr="002C020E">
        <w:rPr>
          <w:rFonts w:eastAsia="Calibri" w:cs="Times New Roman"/>
        </w:rPr>
        <w:t>.</w:t>
      </w:r>
    </w:p>
    <w:p w14:paraId="287AC83B" w14:textId="77777777" w:rsidR="00960348" w:rsidRPr="00960348" w:rsidRDefault="00960348" w:rsidP="00960348">
      <w:pPr>
        <w:pStyle w:val="ListParagraph"/>
        <w:spacing w:before="0" w:after="160" w:line="276" w:lineRule="auto"/>
        <w:ind w:left="907"/>
        <w:rPr>
          <w:rFonts w:eastAsia="Calibri" w:cs="Times New Roman"/>
        </w:rPr>
      </w:pPr>
    </w:p>
    <w:p w14:paraId="4895CE84" w14:textId="738E0962" w:rsidR="00C10316" w:rsidRDefault="00C10316" w:rsidP="00960348">
      <w:pPr>
        <w:pStyle w:val="ListParagraph"/>
        <w:numPr>
          <w:ilvl w:val="0"/>
          <w:numId w:val="26"/>
        </w:numPr>
        <w:spacing w:before="0" w:line="276" w:lineRule="auto"/>
        <w:rPr>
          <w:rFonts w:eastAsia="Calibri" w:cs="Times New Roman"/>
        </w:rPr>
      </w:pPr>
      <w:r w:rsidRPr="00F1142D">
        <w:rPr>
          <w:rFonts w:eastAsia="Calibri" w:cs="Times New Roman"/>
        </w:rPr>
        <w:t>developing, implementing and managing the Fire Alarm and Lift Phone Register, including</w:t>
      </w:r>
      <w:r w:rsidR="00E542C2">
        <w:rPr>
          <w:rFonts w:eastAsia="Calibri" w:cs="Times New Roman"/>
        </w:rPr>
        <w:t xml:space="preserve"> seeking to</w:t>
      </w:r>
      <w:r w:rsidRPr="00F1142D">
        <w:rPr>
          <w:rFonts w:eastAsia="Calibri" w:cs="Times New Roman"/>
        </w:rPr>
        <w:t xml:space="preserve"> obtain the telephone number of fire alarm and lift phone services from parties registering </w:t>
      </w:r>
    </w:p>
    <w:p w14:paraId="310287AA" w14:textId="77777777" w:rsidR="00960348" w:rsidRPr="00960348" w:rsidRDefault="00960348" w:rsidP="00960348">
      <w:pPr>
        <w:pStyle w:val="ListParagraph"/>
        <w:spacing w:before="0" w:line="276" w:lineRule="auto"/>
        <w:ind w:left="340"/>
        <w:rPr>
          <w:rFonts w:eastAsia="Calibri" w:cs="Times New Roman"/>
        </w:rPr>
      </w:pPr>
    </w:p>
    <w:p w14:paraId="36206D61" w14:textId="2B0ADCE7" w:rsidR="00C10316" w:rsidRPr="00F1142D" w:rsidRDefault="00C10316" w:rsidP="00C10316">
      <w:pPr>
        <w:pStyle w:val="ListParagraph"/>
        <w:numPr>
          <w:ilvl w:val="0"/>
          <w:numId w:val="26"/>
        </w:numPr>
        <w:spacing w:before="0" w:after="160" w:line="276" w:lineRule="auto"/>
        <w:rPr>
          <w:rFonts w:eastAsia="Calibri" w:cs="Times New Roman"/>
        </w:rPr>
      </w:pPr>
      <w:r w:rsidRPr="00F1142D">
        <w:rPr>
          <w:rFonts w:eastAsia="Calibri" w:cs="Times New Roman"/>
        </w:rPr>
        <w:t xml:space="preserve">providing Telstra with regular Fire Alarm &amp; Lift Phone Register data feeds </w:t>
      </w:r>
      <w:r w:rsidR="009A56FF">
        <w:rPr>
          <w:rFonts w:eastAsia="Calibri" w:cs="Times New Roman"/>
        </w:rPr>
        <w:t xml:space="preserve">that contain the relevant </w:t>
      </w:r>
      <w:r w:rsidR="00E542C2">
        <w:rPr>
          <w:rFonts w:eastAsia="Calibri" w:cs="Times New Roman"/>
        </w:rPr>
        <w:t>telephone number</w:t>
      </w:r>
      <w:r w:rsidR="009A56FF">
        <w:rPr>
          <w:rFonts w:eastAsia="Calibri" w:cs="Times New Roman"/>
        </w:rPr>
        <w:t xml:space="preserve"> of the </w:t>
      </w:r>
      <w:r w:rsidRPr="00F1142D">
        <w:rPr>
          <w:rFonts w:eastAsia="Calibri" w:cs="Times New Roman"/>
        </w:rPr>
        <w:t>fire alarm and lift phone service, including updates to that information</w:t>
      </w:r>
      <w:r>
        <w:rPr>
          <w:rFonts w:eastAsia="Calibri" w:cs="Times New Roman"/>
        </w:rPr>
        <w:t>. This includes:</w:t>
      </w:r>
    </w:p>
    <w:p w14:paraId="7F9E6E27" w14:textId="4527B64D" w:rsidR="006E192D" w:rsidRPr="001D6C79" w:rsidRDefault="00C10316" w:rsidP="001D6C79">
      <w:pPr>
        <w:pStyle w:val="ListParagraph"/>
        <w:numPr>
          <w:ilvl w:val="1"/>
          <w:numId w:val="26"/>
        </w:numPr>
        <w:spacing w:before="0" w:after="160" w:line="276" w:lineRule="auto"/>
        <w:rPr>
          <w:rFonts w:eastAsia="Calibri" w:cs="Times New Roman"/>
        </w:rPr>
      </w:pPr>
      <w:r w:rsidRPr="00F1142D">
        <w:rPr>
          <w:rFonts w:eastAsia="Calibri" w:cs="Times New Roman"/>
        </w:rPr>
        <w:t>notifying Telstra of the removal of the fire alarm or lift phone service from the nbn register, by regular updates</w:t>
      </w:r>
      <w:r>
        <w:rPr>
          <w:rFonts w:eastAsia="Calibri" w:cs="Times New Roman"/>
        </w:rPr>
        <w:t xml:space="preserve"> to the register</w:t>
      </w:r>
      <w:r w:rsidRPr="00F1142D">
        <w:rPr>
          <w:rFonts w:eastAsia="Calibri" w:cs="Times New Roman"/>
        </w:rPr>
        <w:t xml:space="preserve"> where nbn is notified that the service has been successfully migrated from Telstra’s legacy network</w:t>
      </w:r>
    </w:p>
    <w:p w14:paraId="38479E62" w14:textId="1317993A" w:rsidR="00C10316" w:rsidRPr="006E192D" w:rsidRDefault="00C10316" w:rsidP="00C10316">
      <w:pPr>
        <w:numPr>
          <w:ilvl w:val="0"/>
          <w:numId w:val="26"/>
        </w:numPr>
        <w:spacing w:line="276" w:lineRule="auto"/>
        <w:rPr>
          <w:rFonts w:eastAsia="Calibri" w:cs="Times New Roman"/>
        </w:rPr>
      </w:pPr>
      <w:r w:rsidRPr="006E192D">
        <w:rPr>
          <w:rFonts w:eastAsia="Calibri" w:cs="Times New Roman"/>
        </w:rPr>
        <w:t>ensuring that national broadband network services are installed in a timeframe that enables other parties to migrate fire alarm and lift phone services without unreasonable service disruption</w:t>
      </w:r>
      <w:r w:rsidR="00FF6C39" w:rsidRPr="006E192D">
        <w:rPr>
          <w:rFonts w:eastAsia="Calibri" w:cs="Times New Roman"/>
        </w:rPr>
        <w:t>.</w:t>
      </w:r>
    </w:p>
    <w:p w14:paraId="10CD538C" w14:textId="77777777" w:rsidR="00960348" w:rsidRDefault="00960348" w:rsidP="00C10316">
      <w:pPr>
        <w:spacing w:line="276" w:lineRule="auto"/>
        <w:rPr>
          <w:rFonts w:eastAsia="Calibri" w:cs="Times New Roman"/>
          <w:u w:val="single"/>
        </w:rPr>
      </w:pPr>
    </w:p>
    <w:p w14:paraId="0A549A83" w14:textId="77777777" w:rsidR="00960348" w:rsidRDefault="00960348" w:rsidP="00C10316">
      <w:pPr>
        <w:spacing w:line="276" w:lineRule="auto"/>
        <w:rPr>
          <w:rFonts w:eastAsia="Calibri" w:cs="Times New Roman"/>
          <w:u w:val="single"/>
        </w:rPr>
      </w:pPr>
    </w:p>
    <w:p w14:paraId="173DFCB0" w14:textId="77777777" w:rsidR="001D6C79" w:rsidRDefault="001D6C79">
      <w:pPr>
        <w:spacing w:after="120"/>
        <w:ind w:left="1021" w:hanging="1021"/>
        <w:rPr>
          <w:rFonts w:eastAsia="Calibri" w:cs="Times New Roman"/>
          <w:u w:val="single"/>
        </w:rPr>
      </w:pPr>
      <w:r>
        <w:rPr>
          <w:rFonts w:eastAsia="Calibri" w:cs="Times New Roman"/>
          <w:u w:val="single"/>
        </w:rPr>
        <w:br w:type="page"/>
      </w:r>
    </w:p>
    <w:p w14:paraId="2E93D824" w14:textId="4516D033" w:rsidR="00C10316" w:rsidRPr="007D3132" w:rsidRDefault="00C10316" w:rsidP="00C10316">
      <w:pPr>
        <w:spacing w:line="276" w:lineRule="auto"/>
        <w:rPr>
          <w:rFonts w:eastAsia="Calibri" w:cs="Times New Roman"/>
          <w:u w:val="single"/>
        </w:rPr>
      </w:pPr>
      <w:r w:rsidRPr="007D3132">
        <w:rPr>
          <w:rFonts w:eastAsia="Calibri" w:cs="Times New Roman"/>
          <w:u w:val="single"/>
        </w:rPr>
        <w:t>Role of RSPs:</w:t>
      </w:r>
    </w:p>
    <w:p w14:paraId="78D79BF1" w14:textId="2EC2DD9B" w:rsidR="00C10316" w:rsidRDefault="00C10316" w:rsidP="00C10316">
      <w:pPr>
        <w:numPr>
          <w:ilvl w:val="0"/>
          <w:numId w:val="30"/>
        </w:numPr>
        <w:spacing w:line="276" w:lineRule="auto"/>
        <w:contextualSpacing/>
        <w:rPr>
          <w:rFonts w:eastAsia="Calibri" w:cs="Times New Roman"/>
        </w:rPr>
      </w:pPr>
      <w:r w:rsidRPr="007D3132">
        <w:rPr>
          <w:rFonts w:eastAsia="Calibri" w:cs="Times New Roman"/>
        </w:rPr>
        <w:t>as part of their communications to their end users, informing their end users that the migration may impact any fire alarm or lift phone service they may have – including that failure to migrate will result in the service being disconnected</w:t>
      </w:r>
    </w:p>
    <w:p w14:paraId="0286559B" w14:textId="77777777" w:rsidR="00C10316" w:rsidRPr="007D3132" w:rsidRDefault="00C10316" w:rsidP="00C10316">
      <w:pPr>
        <w:spacing w:line="276" w:lineRule="auto"/>
        <w:ind w:left="340"/>
        <w:contextualSpacing/>
        <w:rPr>
          <w:rFonts w:eastAsia="Calibri" w:cs="Times New Roman"/>
        </w:rPr>
      </w:pPr>
    </w:p>
    <w:p w14:paraId="768EC1E5" w14:textId="77777777" w:rsidR="00C10316" w:rsidRDefault="00C10316" w:rsidP="00C10316">
      <w:pPr>
        <w:numPr>
          <w:ilvl w:val="0"/>
          <w:numId w:val="30"/>
        </w:numPr>
        <w:spacing w:line="276" w:lineRule="auto"/>
        <w:contextualSpacing/>
        <w:rPr>
          <w:rFonts w:eastAsia="Calibri" w:cs="Times New Roman"/>
        </w:rPr>
      </w:pPr>
      <w:r w:rsidRPr="007D3132">
        <w:rPr>
          <w:rFonts w:eastAsia="Calibri" w:cs="Times New Roman"/>
        </w:rPr>
        <w:t xml:space="preserve">as part of their communications to their end users, informing the end user that they should register their fire alarm and lift phone service (or encourage the relevant building manager to register any fire alarm or lift phone service they may have on nbn’s Fire Alarm and Lift Phone Register) as early as possible </w:t>
      </w:r>
    </w:p>
    <w:p w14:paraId="605EC2D1" w14:textId="77777777" w:rsidR="00C10316" w:rsidRPr="00ED161D" w:rsidRDefault="00C10316" w:rsidP="00C10316">
      <w:pPr>
        <w:spacing w:line="276" w:lineRule="auto"/>
        <w:contextualSpacing/>
        <w:rPr>
          <w:rFonts w:eastAsia="Calibri" w:cs="Times New Roman"/>
        </w:rPr>
      </w:pPr>
    </w:p>
    <w:p w14:paraId="2E64B2A7" w14:textId="77777777" w:rsidR="00C10316" w:rsidRDefault="00C10316" w:rsidP="00C10316">
      <w:pPr>
        <w:numPr>
          <w:ilvl w:val="0"/>
          <w:numId w:val="30"/>
        </w:numPr>
        <w:spacing w:line="276" w:lineRule="auto"/>
        <w:contextualSpacing/>
        <w:rPr>
          <w:rFonts w:eastAsia="Calibri" w:cs="Times New Roman"/>
        </w:rPr>
      </w:pPr>
      <w:r w:rsidRPr="007D3132">
        <w:rPr>
          <w:rFonts w:eastAsia="Calibri" w:cs="Times New Roman"/>
        </w:rPr>
        <w:t>informing the end user to contact their application service provider to ensure the fire alarm or lift phone service will continue to operate post-migration</w:t>
      </w:r>
    </w:p>
    <w:p w14:paraId="68268BA1" w14:textId="77777777" w:rsidR="00C10316" w:rsidRPr="007D3132" w:rsidRDefault="00C10316" w:rsidP="00C10316">
      <w:pPr>
        <w:spacing w:line="276" w:lineRule="auto"/>
        <w:contextualSpacing/>
        <w:rPr>
          <w:rFonts w:eastAsia="Calibri" w:cs="Times New Roman"/>
        </w:rPr>
      </w:pPr>
    </w:p>
    <w:p w14:paraId="29C78CF6" w14:textId="20190F27" w:rsidR="00C10316" w:rsidRDefault="00C10316" w:rsidP="00C10316">
      <w:pPr>
        <w:numPr>
          <w:ilvl w:val="0"/>
          <w:numId w:val="30"/>
        </w:numPr>
        <w:spacing w:line="276" w:lineRule="auto"/>
        <w:contextualSpacing/>
        <w:rPr>
          <w:rFonts w:eastAsia="Calibri" w:cs="Times New Roman"/>
        </w:rPr>
      </w:pPr>
      <w:r w:rsidRPr="007D3132">
        <w:rPr>
          <w:rFonts w:eastAsia="Calibri" w:cs="Times New Roman"/>
        </w:rPr>
        <w:t>assisting the customer of their telecommunications service to migrate that service before disconnection</w:t>
      </w:r>
      <w:r w:rsidR="00FF6C39">
        <w:rPr>
          <w:rFonts w:eastAsia="Calibri" w:cs="Times New Roman"/>
        </w:rPr>
        <w:t xml:space="preserve">, if the customer is agreeable to this. </w:t>
      </w:r>
    </w:p>
    <w:p w14:paraId="697C8FD4" w14:textId="77777777" w:rsidR="001D6C79" w:rsidRPr="001D6C79" w:rsidRDefault="001D6C79" w:rsidP="001D6C79">
      <w:pPr>
        <w:spacing w:line="276" w:lineRule="auto"/>
        <w:contextualSpacing/>
        <w:rPr>
          <w:rFonts w:eastAsia="Calibri" w:cs="Times New Roman"/>
        </w:rPr>
      </w:pPr>
    </w:p>
    <w:p w14:paraId="7B1B9319" w14:textId="77777777" w:rsidR="00C10316" w:rsidRPr="007D3132" w:rsidRDefault="00C10316" w:rsidP="00C10316">
      <w:pPr>
        <w:spacing w:before="0" w:line="276" w:lineRule="auto"/>
        <w:rPr>
          <w:rFonts w:eastAsia="Calibri" w:cs="Times New Roman"/>
          <w:u w:val="single"/>
        </w:rPr>
      </w:pPr>
      <w:r w:rsidRPr="007D3132">
        <w:rPr>
          <w:rFonts w:eastAsia="Calibri" w:cs="Times New Roman"/>
          <w:u w:val="single"/>
        </w:rPr>
        <w:t>Role of Telstra as Network Owner of Legacy Services:</w:t>
      </w:r>
    </w:p>
    <w:p w14:paraId="6BE730FF" w14:textId="55644574" w:rsidR="00C10316" w:rsidRPr="007D3132" w:rsidRDefault="00C10316" w:rsidP="00C10316">
      <w:pPr>
        <w:numPr>
          <w:ilvl w:val="0"/>
          <w:numId w:val="52"/>
        </w:numPr>
        <w:spacing w:before="0" w:line="276" w:lineRule="auto"/>
        <w:rPr>
          <w:rFonts w:eastAsia="Calibri" w:cs="Times New Roman"/>
        </w:rPr>
      </w:pPr>
      <w:r w:rsidRPr="007D3132">
        <w:rPr>
          <w:rFonts w:eastAsia="Calibri" w:cs="Times New Roman"/>
        </w:rPr>
        <w:t>flagging the premises that nbn advises are on its Fire Alarm and Lift Phone Register</w:t>
      </w:r>
      <w:r w:rsidR="00FF6C39">
        <w:rPr>
          <w:rFonts w:eastAsia="Calibri" w:cs="Times New Roman"/>
        </w:rPr>
        <w:t xml:space="preserve"> by advising of the relevant </w:t>
      </w:r>
      <w:r w:rsidR="00E542C2">
        <w:rPr>
          <w:rFonts w:eastAsia="Calibri" w:cs="Times New Roman"/>
        </w:rPr>
        <w:t>telephone number</w:t>
      </w:r>
      <w:r w:rsidRPr="007D3132">
        <w:rPr>
          <w:rFonts w:eastAsia="Calibri" w:cs="Times New Roman"/>
        </w:rPr>
        <w:t xml:space="preserve">, including updating that information as advised by nbn </w:t>
      </w:r>
    </w:p>
    <w:p w14:paraId="1F4F9DDA" w14:textId="77777777" w:rsidR="00C10316" w:rsidRPr="007D3132" w:rsidRDefault="00C10316" w:rsidP="00C10316">
      <w:pPr>
        <w:numPr>
          <w:ilvl w:val="0"/>
          <w:numId w:val="52"/>
        </w:numPr>
        <w:spacing w:line="276" w:lineRule="auto"/>
        <w:rPr>
          <w:rFonts w:eastAsia="Calibri" w:cs="Times New Roman"/>
        </w:rPr>
      </w:pPr>
      <w:r w:rsidRPr="007D3132">
        <w:rPr>
          <w:rFonts w:eastAsia="Calibri" w:cs="Times New Roman"/>
        </w:rPr>
        <w:t>provide nbn with regular active copper service information until the relevant fire alarm and lift phone legacy network Disconnection Date</w:t>
      </w:r>
    </w:p>
    <w:p w14:paraId="4C67675F" w14:textId="77777777" w:rsidR="00C10316" w:rsidRPr="007D3132" w:rsidRDefault="00C10316" w:rsidP="00C10316">
      <w:pPr>
        <w:numPr>
          <w:ilvl w:val="0"/>
          <w:numId w:val="52"/>
        </w:numPr>
        <w:spacing w:line="276" w:lineRule="auto"/>
        <w:rPr>
          <w:rFonts w:eastAsia="Calibri" w:cs="Times New Roman"/>
        </w:rPr>
      </w:pPr>
      <w:r w:rsidRPr="007D3132">
        <w:rPr>
          <w:rFonts w:eastAsia="Calibri" w:cs="Times New Roman"/>
        </w:rPr>
        <w:t xml:space="preserve">advising its wholesale customers and Retail business units of the premises that are flagged as having fire alarm or lift phone services as notified by nbn, so that they can manage migration of those services well before the Disconnection Date </w:t>
      </w:r>
    </w:p>
    <w:p w14:paraId="35F583AD" w14:textId="77777777" w:rsidR="00C10316" w:rsidRPr="007D3132" w:rsidRDefault="00C10316" w:rsidP="00C10316">
      <w:pPr>
        <w:numPr>
          <w:ilvl w:val="0"/>
          <w:numId w:val="52"/>
        </w:numPr>
        <w:spacing w:line="276" w:lineRule="auto"/>
        <w:rPr>
          <w:rFonts w:eastAsia="Calibri" w:cs="Times New Roman"/>
        </w:rPr>
      </w:pPr>
      <w:r w:rsidRPr="007D3132">
        <w:rPr>
          <w:rFonts w:eastAsia="Calibri" w:cs="Times New Roman"/>
        </w:rPr>
        <w:t>disconnect</w:t>
      </w:r>
      <w:r>
        <w:rPr>
          <w:rFonts w:eastAsia="Calibri" w:cs="Times New Roman"/>
        </w:rPr>
        <w:t>ing</w:t>
      </w:r>
      <w:r w:rsidRPr="007D3132">
        <w:rPr>
          <w:rFonts w:eastAsia="Calibri" w:cs="Times New Roman"/>
        </w:rPr>
        <w:t xml:space="preserve"> legacy network services after the Disconnection Date in accordance with its Migration Plan obligations and irrespective of whether those services are on the Fire Alarm and Lift Phone Register, or are flagged as a fire alarm or lift phone premises</w:t>
      </w:r>
    </w:p>
    <w:p w14:paraId="26C9475C" w14:textId="77777777" w:rsidR="00C10316" w:rsidRPr="007D3132" w:rsidRDefault="00C10316" w:rsidP="00C10316">
      <w:pPr>
        <w:numPr>
          <w:ilvl w:val="0"/>
          <w:numId w:val="52"/>
        </w:numPr>
        <w:spacing w:line="276" w:lineRule="auto"/>
        <w:rPr>
          <w:rFonts w:eastAsia="Calibri" w:cs="Times New Roman"/>
        </w:rPr>
      </w:pPr>
      <w:r w:rsidRPr="007D3132">
        <w:rPr>
          <w:rFonts w:eastAsia="Calibri" w:cs="Times New Roman"/>
        </w:rPr>
        <w:t>before processing a BAU disconnection request during the migration window of any fire alarm or lift phone premises notified by nbn, checking with a wholesale customer submitting that disconnection request that disconnection of the premises should occur.</w:t>
      </w:r>
    </w:p>
    <w:p w14:paraId="52010760" w14:textId="77777777" w:rsidR="00960348" w:rsidRDefault="00960348" w:rsidP="003F7ABA">
      <w:pPr>
        <w:spacing w:after="120"/>
        <w:rPr>
          <w:rFonts w:eastAsia="Calibri" w:cs="Times New Roman"/>
          <w:u w:val="single"/>
        </w:rPr>
      </w:pPr>
      <w:r>
        <w:rPr>
          <w:rFonts w:eastAsia="Calibri" w:cs="Times New Roman"/>
          <w:u w:val="single"/>
        </w:rPr>
        <w:br w:type="page"/>
      </w:r>
    </w:p>
    <w:p w14:paraId="12C36127" w14:textId="73AD14BA" w:rsidR="00C10316" w:rsidRPr="007D3132" w:rsidRDefault="00C10316" w:rsidP="00C10316">
      <w:pPr>
        <w:spacing w:before="0"/>
        <w:rPr>
          <w:rFonts w:eastAsia="Calibri" w:cs="Times New Roman"/>
          <w:u w:val="single"/>
        </w:rPr>
      </w:pPr>
      <w:r w:rsidRPr="007D3132">
        <w:rPr>
          <w:rFonts w:eastAsia="Calibri" w:cs="Times New Roman"/>
          <w:u w:val="single"/>
        </w:rPr>
        <w:t xml:space="preserve">State Authorities/Regulatory Bodies of Building Codes/Australian Building Standards </w:t>
      </w:r>
    </w:p>
    <w:p w14:paraId="0A88339E" w14:textId="06D6875A" w:rsidR="00C10316" w:rsidRDefault="00C10316" w:rsidP="00C10316">
      <w:pPr>
        <w:spacing w:before="0" w:line="276" w:lineRule="auto"/>
        <w:rPr>
          <w:rFonts w:eastAsia="Calibri" w:cs="Times New Roman"/>
        </w:rPr>
      </w:pPr>
      <w:r w:rsidRPr="007D3132">
        <w:rPr>
          <w:rFonts w:eastAsia="Calibri" w:cs="Times New Roman"/>
        </w:rPr>
        <w:t>In addition to the above, all State Authorities/regulatory bodies involved in building code regulation that includes fire alarms or lift phones will be encouraged to include on their websites, and in the information made available to builders or relevant building managers, sta</w:t>
      </w:r>
      <w:r>
        <w:rPr>
          <w:rFonts w:eastAsia="Calibri" w:cs="Times New Roman"/>
        </w:rPr>
        <w:t xml:space="preserve">tements about the impact of </w:t>
      </w:r>
      <w:r w:rsidRPr="007D3132">
        <w:rPr>
          <w:rFonts w:eastAsia="Calibri" w:cs="Times New Roman"/>
        </w:rPr>
        <w:t xml:space="preserve">the </w:t>
      </w:r>
      <w:r>
        <w:rPr>
          <w:rFonts w:eastAsia="Calibri" w:cs="Times New Roman"/>
        </w:rPr>
        <w:t>national broadband network</w:t>
      </w:r>
      <w:r w:rsidRPr="007D3132">
        <w:rPr>
          <w:rFonts w:eastAsia="Calibri" w:cs="Times New Roman"/>
        </w:rPr>
        <w:t xml:space="preserve"> rollout </w:t>
      </w:r>
      <w:r>
        <w:rPr>
          <w:rFonts w:eastAsia="Calibri" w:cs="Times New Roman"/>
        </w:rPr>
        <w:t>on</w:t>
      </w:r>
      <w:r w:rsidRPr="007D3132">
        <w:rPr>
          <w:rFonts w:eastAsia="Calibri" w:cs="Times New Roman"/>
        </w:rPr>
        <w:t xml:space="preserve"> fire alarm and lift phone services. This should reiterate the need for parties to take action early in the migration window to ensure a successful migration of their service prior to the Disconnection Date in order to maintain compliance with relevant building regulations and the safety of occupants of their premises.  </w:t>
      </w:r>
    </w:p>
    <w:p w14:paraId="6F13407D" w14:textId="77777777" w:rsidR="00C10316" w:rsidRPr="007D3132" w:rsidRDefault="00C10316" w:rsidP="00C10316">
      <w:pPr>
        <w:spacing w:before="0" w:line="276" w:lineRule="auto"/>
        <w:rPr>
          <w:rFonts w:eastAsia="Calibri" w:cs="Times New Roman"/>
        </w:rPr>
      </w:pPr>
    </w:p>
    <w:p w14:paraId="2630E794" w14:textId="77777777" w:rsidR="00C10316" w:rsidRPr="007D3132" w:rsidRDefault="00C10316" w:rsidP="00C10316">
      <w:pPr>
        <w:spacing w:before="0" w:line="276" w:lineRule="auto"/>
        <w:rPr>
          <w:rFonts w:eastAsia="Calibri" w:cs="Times New Roman"/>
          <w:u w:val="single"/>
        </w:rPr>
      </w:pPr>
      <w:r w:rsidRPr="007D3132">
        <w:rPr>
          <w:rFonts w:eastAsia="Calibri" w:cs="Times New Roman"/>
          <w:u w:val="single"/>
        </w:rPr>
        <w:t>Peak fire alarm and lift phone bodies (including the Australasian Fire and Emergency Services Authorities Council, the Australasian Fire Land Management and Emergency Services Industry, Fire Protection Association Australia, Australian Elevator Association)</w:t>
      </w:r>
    </w:p>
    <w:p w14:paraId="14715430" w14:textId="509DEF79" w:rsidR="00C10316" w:rsidRDefault="00C10316" w:rsidP="00C10316">
      <w:pPr>
        <w:spacing w:before="0" w:line="276" w:lineRule="auto"/>
        <w:rPr>
          <w:rFonts w:eastAsia="Calibri" w:cs="Times New Roman"/>
        </w:rPr>
      </w:pPr>
      <w:r w:rsidRPr="007D3132">
        <w:rPr>
          <w:rFonts w:eastAsia="Calibri" w:cs="Times New Roman"/>
        </w:rPr>
        <w:t xml:space="preserve">Peak bodies will be encouraged to include on their websites, and in the information made available to their members, statements about the impact of the </w:t>
      </w:r>
      <w:r w:rsidRPr="00946933">
        <w:rPr>
          <w:rFonts w:eastAsia="Calibri" w:cs="Times New Roman"/>
        </w:rPr>
        <w:t xml:space="preserve">national broadband network </w:t>
      </w:r>
      <w:r>
        <w:rPr>
          <w:rFonts w:eastAsia="Calibri" w:cs="Times New Roman"/>
        </w:rPr>
        <w:t>on</w:t>
      </w:r>
      <w:r w:rsidRPr="007D3132">
        <w:rPr>
          <w:rFonts w:eastAsia="Calibri" w:cs="Times New Roman"/>
        </w:rPr>
        <w:t xml:space="preserve"> fire alarm and lift phone services. This should highlight the need for parties to take action to ensure a successful migration of their service prior to the Disconnection Date in order to maintain compliance with relevant building regulations and the safety of occupants of their premises. </w:t>
      </w:r>
    </w:p>
    <w:p w14:paraId="55F8DCBB" w14:textId="77777777" w:rsidR="00C10316" w:rsidRPr="00C10316" w:rsidRDefault="00C10316" w:rsidP="00C10316">
      <w:pPr>
        <w:spacing w:before="0" w:line="276" w:lineRule="auto"/>
        <w:rPr>
          <w:rFonts w:eastAsia="Calibri" w:cs="Times New Roman"/>
        </w:rPr>
      </w:pPr>
    </w:p>
    <w:p w14:paraId="5AB7822A" w14:textId="77777777" w:rsidR="00C10316" w:rsidRPr="007D3132" w:rsidRDefault="00C10316" w:rsidP="00C10316">
      <w:pPr>
        <w:spacing w:before="0" w:line="276" w:lineRule="auto"/>
        <w:rPr>
          <w:rFonts w:eastAsia="Calibri" w:cs="Times New Roman"/>
          <w:u w:val="single"/>
        </w:rPr>
      </w:pPr>
      <w:r w:rsidRPr="007D3132">
        <w:rPr>
          <w:rFonts w:eastAsia="Calibri" w:cs="Times New Roman"/>
          <w:u w:val="single"/>
        </w:rPr>
        <w:t>Tenants or Occupants of Buildings with a fire alarm or lift phone service</w:t>
      </w:r>
    </w:p>
    <w:p w14:paraId="4D095F19" w14:textId="77777777" w:rsidR="00C10316" w:rsidRDefault="00C10316" w:rsidP="00C10316">
      <w:pPr>
        <w:spacing w:before="0"/>
      </w:pPr>
      <w:r w:rsidRPr="007D3132">
        <w:rPr>
          <w:rFonts w:eastAsia="Calibri" w:cs="Times New Roman"/>
        </w:rPr>
        <w:t xml:space="preserve">All tenants or other occupants of buildings with a fire alarm or lift phone service in an area where the </w:t>
      </w:r>
      <w:r>
        <w:rPr>
          <w:rFonts w:eastAsia="Calibri" w:cs="Times New Roman"/>
        </w:rPr>
        <w:t xml:space="preserve">national broadband network </w:t>
      </w:r>
      <w:r w:rsidRPr="007D3132">
        <w:rPr>
          <w:rFonts w:eastAsia="Calibri" w:cs="Times New Roman"/>
        </w:rPr>
        <w:t xml:space="preserve">is available, or is about to become available, should speak with their relevant building manager, to ensure that all reasonable steps are being taken to migrate the fire alarm or lift phone service to a reliable and safe alternative service early in the migration window, well prior to the Disconnection Date.  </w:t>
      </w:r>
    </w:p>
    <w:p w14:paraId="1B476962" w14:textId="05437E3C" w:rsidR="00E7637B" w:rsidRPr="009475AE" w:rsidRDefault="009475AE" w:rsidP="00131B74">
      <w:pPr>
        <w:spacing w:before="0" w:line="276" w:lineRule="auto"/>
      </w:pPr>
      <w:r>
        <w:br w:type="page"/>
      </w:r>
    </w:p>
    <w:p w14:paraId="1F9F4FCF" w14:textId="0E261951" w:rsidR="0050456C" w:rsidRDefault="003B5FA2" w:rsidP="009475AE">
      <w:pPr>
        <w:pStyle w:val="Heading1"/>
        <w:spacing w:line="276" w:lineRule="auto"/>
      </w:pPr>
      <w:bookmarkStart w:id="63" w:name="_Toc406491074"/>
      <w:bookmarkStart w:id="64" w:name="_Toc406497283"/>
      <w:bookmarkStart w:id="65" w:name="_Toc422237731"/>
      <w:r>
        <w:t>P</w:t>
      </w:r>
      <w:r w:rsidR="00E60D80">
        <w:t>illar 4</w:t>
      </w:r>
      <w:r>
        <w:t xml:space="preserve"> - </w:t>
      </w:r>
      <w:r w:rsidR="00BC253D">
        <w:t>I</w:t>
      </w:r>
      <w:r w:rsidR="0050456C">
        <w:t xml:space="preserve">nstallation and activation of </w:t>
      </w:r>
      <w:r w:rsidR="00D023BE">
        <w:t xml:space="preserve">national broadband network </w:t>
      </w:r>
      <w:r w:rsidR="0050456C">
        <w:t>services</w:t>
      </w:r>
      <w:bookmarkEnd w:id="63"/>
      <w:bookmarkEnd w:id="64"/>
      <w:bookmarkEnd w:id="65"/>
    </w:p>
    <w:p w14:paraId="3DC58347" w14:textId="63193922" w:rsidR="003F2EAA" w:rsidRDefault="00DF21A8" w:rsidP="009475AE">
      <w:pPr>
        <w:pStyle w:val="BodyText"/>
        <w:spacing w:line="276" w:lineRule="auto"/>
        <w:rPr>
          <w:b/>
        </w:rPr>
      </w:pPr>
      <w:r w:rsidRPr="00836674">
        <w:rPr>
          <w:b/>
        </w:rPr>
        <w:t xml:space="preserve">The </w:t>
      </w:r>
      <w:r w:rsidR="00E60D80">
        <w:rPr>
          <w:b/>
        </w:rPr>
        <w:t>fourth</w:t>
      </w:r>
      <w:r w:rsidRPr="00836674">
        <w:rPr>
          <w:b/>
        </w:rPr>
        <w:t xml:space="preserve"> </w:t>
      </w:r>
      <w:r>
        <w:rPr>
          <w:b/>
        </w:rPr>
        <w:t xml:space="preserve">key </w:t>
      </w:r>
      <w:r w:rsidRPr="00836674">
        <w:rPr>
          <w:b/>
        </w:rPr>
        <w:t>pillar in the migration process is that once an end user places an order</w:t>
      </w:r>
      <w:r>
        <w:rPr>
          <w:b/>
        </w:rPr>
        <w:t>,</w:t>
      </w:r>
      <w:r w:rsidRPr="00836674">
        <w:rPr>
          <w:b/>
        </w:rPr>
        <w:t xml:space="preserve"> it is installed an</w:t>
      </w:r>
      <w:r>
        <w:rPr>
          <w:b/>
        </w:rPr>
        <w:t>d</w:t>
      </w:r>
      <w:r w:rsidRPr="00836674">
        <w:rPr>
          <w:b/>
        </w:rPr>
        <w:t xml:space="preserve"> activated in a timely manner.</w:t>
      </w:r>
    </w:p>
    <w:p w14:paraId="6AECCA8A" w14:textId="2BE9E3A2" w:rsidR="00205B0C" w:rsidRDefault="00771CB6" w:rsidP="009475AE">
      <w:pPr>
        <w:pStyle w:val="BodyText"/>
        <w:spacing w:line="276" w:lineRule="auto"/>
      </w:pPr>
      <w:r>
        <w:t>n</w:t>
      </w:r>
      <w:r w:rsidR="00601030">
        <w:t>bn</w:t>
      </w:r>
      <w:r w:rsidR="00544207" w:rsidRPr="00544207">
        <w:t xml:space="preserve"> needs to provide accurate</w:t>
      </w:r>
      <w:r w:rsidR="00C776E4">
        <w:t>,</w:t>
      </w:r>
      <w:r w:rsidR="00544207" w:rsidRPr="00544207">
        <w:t xml:space="preserve"> </w:t>
      </w:r>
      <w:r w:rsidR="00B963AA">
        <w:t xml:space="preserve">consistent </w:t>
      </w:r>
      <w:r w:rsidR="00544207" w:rsidRPr="00544207">
        <w:t xml:space="preserve">and </w:t>
      </w:r>
      <w:r w:rsidR="006F1EF0">
        <w:t>timely</w:t>
      </w:r>
      <w:r w:rsidR="00544207" w:rsidRPr="00544207">
        <w:t xml:space="preserve"> rollo</w:t>
      </w:r>
      <w:r w:rsidR="00023FA7">
        <w:t>ut forecast</w:t>
      </w:r>
      <w:r w:rsidR="00ED479C">
        <w:t>s</w:t>
      </w:r>
      <w:r w:rsidR="00023FA7">
        <w:t xml:space="preserve"> to the industry. </w:t>
      </w:r>
      <w:r w:rsidR="003840BF">
        <w:t xml:space="preserve">This </w:t>
      </w:r>
      <w:r w:rsidR="006F1EF0">
        <w:t xml:space="preserve">in turn </w:t>
      </w:r>
      <w:r w:rsidR="003840BF">
        <w:t>will result in more</w:t>
      </w:r>
      <w:r w:rsidR="00023FA7">
        <w:t xml:space="preserve"> </w:t>
      </w:r>
      <w:r w:rsidR="00544207" w:rsidRPr="00544207">
        <w:t xml:space="preserve">accurate and </w:t>
      </w:r>
      <w:r w:rsidR="00EB7952">
        <w:t>timely</w:t>
      </w:r>
      <w:r w:rsidR="00A8764D">
        <w:t xml:space="preserve"> </w:t>
      </w:r>
      <w:r w:rsidR="006F1EF0">
        <w:t xml:space="preserve">activation </w:t>
      </w:r>
      <w:r w:rsidR="00A8764D">
        <w:t>forecasts provided by RSPs</w:t>
      </w:r>
      <w:r w:rsidR="00066D69" w:rsidRPr="00066D69">
        <w:t xml:space="preserve">. </w:t>
      </w:r>
      <w:r w:rsidR="00544207" w:rsidRPr="00544207">
        <w:t xml:space="preserve">This will </w:t>
      </w:r>
      <w:r w:rsidR="006F1EF0">
        <w:t xml:space="preserve">inform the community messaging </w:t>
      </w:r>
      <w:r w:rsidR="00544207" w:rsidRPr="00544207">
        <w:t>with regard to</w:t>
      </w:r>
      <w:r w:rsidR="00131B74">
        <w:t xml:space="preserve"> the</w:t>
      </w:r>
      <w:r w:rsidR="00544207" w:rsidRPr="00544207">
        <w:t xml:space="preserve"> </w:t>
      </w:r>
      <w:r w:rsidR="006F1EF0">
        <w:t>timing of</w:t>
      </w:r>
      <w:r w:rsidR="006F1EF0" w:rsidRPr="00544207">
        <w:t xml:space="preserve"> </w:t>
      </w:r>
      <w:r w:rsidR="002E5649">
        <w:t>nbn’s network</w:t>
      </w:r>
      <w:r w:rsidR="00544207" w:rsidRPr="00544207">
        <w:t xml:space="preserve"> availab</w:t>
      </w:r>
      <w:r w:rsidR="006F1EF0">
        <w:t>i</w:t>
      </w:r>
      <w:r w:rsidR="00544207" w:rsidRPr="00544207">
        <w:t>l</w:t>
      </w:r>
      <w:r w:rsidR="006F1EF0">
        <w:t>ity</w:t>
      </w:r>
      <w:r w:rsidR="00544207" w:rsidRPr="00544207">
        <w:t xml:space="preserve"> in an area</w:t>
      </w:r>
      <w:r w:rsidR="00131B74">
        <w:t>,</w:t>
      </w:r>
      <w:r w:rsidR="00544207" w:rsidRPr="00544207">
        <w:t xml:space="preserve"> and encourage early migration.</w:t>
      </w:r>
      <w:r w:rsidR="00385DF9">
        <w:t xml:space="preserve"> </w:t>
      </w:r>
      <w:r w:rsidR="00D8302A" w:rsidRPr="00D8302A">
        <w:t>Providing adequate resources as a part of a better planning process also</w:t>
      </w:r>
      <w:r w:rsidR="00881069">
        <w:t xml:space="preserve"> means that the activation time</w:t>
      </w:r>
      <w:r w:rsidR="00D8302A" w:rsidRPr="00D8302A">
        <w:t xml:space="preserve">frame for </w:t>
      </w:r>
      <w:r w:rsidR="00131B74">
        <w:t>national broadband network</w:t>
      </w:r>
      <w:r w:rsidR="00D8302A" w:rsidRPr="00D8302A">
        <w:t xml:space="preserve"> servic</w:t>
      </w:r>
      <w:r w:rsidR="00C85421">
        <w:t>es can potentially be shortened,</w:t>
      </w:r>
      <w:r w:rsidR="00D8302A" w:rsidRPr="00D8302A">
        <w:t xml:space="preserve"> hence improving end user</w:t>
      </w:r>
      <w:r w:rsidR="00881069">
        <w:t>s</w:t>
      </w:r>
      <w:r w:rsidR="006F1EF0">
        <w:t>’</w:t>
      </w:r>
      <w:r w:rsidR="00D8302A" w:rsidRPr="00D8302A">
        <w:t xml:space="preserve"> experience in migrating to </w:t>
      </w:r>
      <w:r w:rsidR="00131B74">
        <w:t>the national broadband network</w:t>
      </w:r>
      <w:r w:rsidR="00023FA7">
        <w:t>.</w:t>
      </w:r>
    </w:p>
    <w:p w14:paraId="762DCF30" w14:textId="11123CDC" w:rsidR="001B6C64" w:rsidRDefault="001B6C64" w:rsidP="009475AE">
      <w:pPr>
        <w:pStyle w:val="BodyText"/>
        <w:spacing w:line="276" w:lineRule="auto"/>
      </w:pPr>
      <w:r>
        <w:t>The key roles and responsibilities in the ac</w:t>
      </w:r>
      <w:r w:rsidR="00131B74">
        <w:t xml:space="preserve">tivation and installation of a national broadband network </w:t>
      </w:r>
      <w:r>
        <w:t xml:space="preserve">service </w:t>
      </w:r>
      <w:r w:rsidR="005715E5">
        <w:t>are as follows</w:t>
      </w:r>
      <w:r>
        <w:t>:</w:t>
      </w:r>
    </w:p>
    <w:p w14:paraId="691C27C3" w14:textId="01837142" w:rsidR="0056447F" w:rsidRDefault="00CD5334" w:rsidP="009475AE">
      <w:pPr>
        <w:pStyle w:val="BodyText"/>
        <w:spacing w:before="0" w:after="0" w:line="276" w:lineRule="auto"/>
        <w:rPr>
          <w:u w:val="single"/>
        </w:rPr>
      </w:pPr>
      <w:r>
        <w:rPr>
          <w:u w:val="single"/>
        </w:rPr>
        <w:t xml:space="preserve">Role of </w:t>
      </w:r>
      <w:r w:rsidR="00771CB6">
        <w:rPr>
          <w:u w:val="single"/>
        </w:rPr>
        <w:t>n</w:t>
      </w:r>
      <w:r w:rsidR="00601030">
        <w:rPr>
          <w:u w:val="single"/>
        </w:rPr>
        <w:t>bn</w:t>
      </w:r>
      <w:r w:rsidR="0056447F">
        <w:rPr>
          <w:u w:val="single"/>
        </w:rPr>
        <w:t>:</w:t>
      </w:r>
    </w:p>
    <w:p w14:paraId="22F48FCB" w14:textId="77777777" w:rsidR="00066D69" w:rsidRPr="00660BDE" w:rsidRDefault="00066D69" w:rsidP="009475AE">
      <w:pPr>
        <w:pStyle w:val="BodyText"/>
        <w:numPr>
          <w:ilvl w:val="0"/>
          <w:numId w:val="44"/>
        </w:numPr>
        <w:spacing w:before="0" w:after="0" w:line="276" w:lineRule="auto"/>
      </w:pPr>
      <w:r>
        <w:t>p</w:t>
      </w:r>
      <w:r w:rsidRPr="00660BDE">
        <w:t>roviding accurate and timely rollout forecasts and serviceability information to the industry</w:t>
      </w:r>
    </w:p>
    <w:p w14:paraId="58A3920F" w14:textId="44F5C7C7" w:rsidR="00066D69" w:rsidRPr="00066D69" w:rsidRDefault="00066D69" w:rsidP="009475AE">
      <w:pPr>
        <w:pStyle w:val="BodyText"/>
        <w:numPr>
          <w:ilvl w:val="0"/>
          <w:numId w:val="44"/>
        </w:numPr>
        <w:spacing w:before="0" w:after="0" w:line="276" w:lineRule="auto"/>
      </w:pPr>
      <w:r>
        <w:t>m</w:t>
      </w:r>
      <w:r w:rsidRPr="00660BDE">
        <w:t xml:space="preserve">anaging its workforce so as to facilitate the timely connection of services on its network </w:t>
      </w:r>
    </w:p>
    <w:p w14:paraId="782E43F8" w14:textId="697CF71F" w:rsidR="0056447F" w:rsidRPr="008F63E5" w:rsidRDefault="0056447F" w:rsidP="00131B74">
      <w:pPr>
        <w:pStyle w:val="BodyText"/>
        <w:numPr>
          <w:ilvl w:val="0"/>
          <w:numId w:val="44"/>
        </w:numPr>
        <w:spacing w:before="0" w:after="0" w:line="276" w:lineRule="auto"/>
        <w:rPr>
          <w:u w:val="single"/>
        </w:rPr>
      </w:pPr>
      <w:r>
        <w:t>arranging a suitable appointment time with the RSP for the installation of an end user</w:t>
      </w:r>
      <w:r w:rsidR="00AC237D">
        <w:t>’</w:t>
      </w:r>
      <w:r>
        <w:t xml:space="preserve">s </w:t>
      </w:r>
      <w:r w:rsidR="00131B74" w:rsidRPr="00131B74">
        <w:t xml:space="preserve">national broadband network </w:t>
      </w:r>
      <w:r>
        <w:t>service</w:t>
      </w:r>
    </w:p>
    <w:p w14:paraId="21F28306" w14:textId="77777777" w:rsidR="0056447F" w:rsidRPr="008F63E5" w:rsidRDefault="0056447F" w:rsidP="009475AE">
      <w:pPr>
        <w:pStyle w:val="BodyText"/>
        <w:numPr>
          <w:ilvl w:val="0"/>
          <w:numId w:val="44"/>
        </w:numPr>
        <w:spacing w:before="0" w:after="0" w:line="276" w:lineRule="auto"/>
        <w:rPr>
          <w:u w:val="single"/>
        </w:rPr>
      </w:pPr>
      <w:r>
        <w:t>advising the RSP ahead of time if the agreed appointment time cannot be kept</w:t>
      </w:r>
    </w:p>
    <w:p w14:paraId="6F992F74" w14:textId="078AC267" w:rsidR="0056447F" w:rsidRPr="008F63E5" w:rsidRDefault="00C85421" w:rsidP="009475AE">
      <w:pPr>
        <w:pStyle w:val="BodyText"/>
        <w:numPr>
          <w:ilvl w:val="0"/>
          <w:numId w:val="44"/>
        </w:numPr>
        <w:spacing w:before="0" w:after="0" w:line="276" w:lineRule="auto"/>
        <w:rPr>
          <w:u w:val="single"/>
        </w:rPr>
      </w:pPr>
      <w:r>
        <w:t>completing</w:t>
      </w:r>
      <w:r w:rsidR="0056447F">
        <w:t xml:space="preserve"> and test</w:t>
      </w:r>
      <w:r>
        <w:t>ing</w:t>
      </w:r>
      <w:r w:rsidR="0056447F">
        <w:t xml:space="preserve"> the installation of </w:t>
      </w:r>
      <w:r w:rsidR="004012D6">
        <w:t xml:space="preserve">nbn’s </w:t>
      </w:r>
      <w:r w:rsidR="0056447F">
        <w:t>N</w:t>
      </w:r>
      <w:r w:rsidR="00073C11">
        <w:t>etwork Termination</w:t>
      </w:r>
      <w:r w:rsidR="00965ADC">
        <w:t xml:space="preserve"> Device</w:t>
      </w:r>
      <w:r w:rsidR="0056447F">
        <w:t xml:space="preserve"> </w:t>
      </w:r>
    </w:p>
    <w:p w14:paraId="62BE70C5" w14:textId="03B58E8E" w:rsidR="0056447F" w:rsidRPr="008F63E5" w:rsidRDefault="002A2975" w:rsidP="009475AE">
      <w:pPr>
        <w:pStyle w:val="BodyText"/>
        <w:numPr>
          <w:ilvl w:val="1"/>
          <w:numId w:val="44"/>
        </w:numPr>
        <w:spacing w:before="0" w:after="0" w:line="276" w:lineRule="auto"/>
        <w:ind w:left="851" w:hanging="425"/>
        <w:rPr>
          <w:u w:val="single"/>
        </w:rPr>
      </w:pPr>
      <w:r>
        <w:t>i</w:t>
      </w:r>
      <w:r w:rsidR="0056447F">
        <w:t>f the installation is unable to be completed</w:t>
      </w:r>
      <w:r w:rsidR="00AC237D">
        <w:t>,</w:t>
      </w:r>
      <w:r w:rsidR="0056447F">
        <w:t xml:space="preserve"> informing the </w:t>
      </w:r>
      <w:r w:rsidR="00106B9A">
        <w:t xml:space="preserve">end user </w:t>
      </w:r>
      <w:r w:rsidR="0056447F">
        <w:t>and the RSP why this has occurred.</w:t>
      </w:r>
    </w:p>
    <w:p w14:paraId="3EF92AAE" w14:textId="77777777" w:rsidR="0056447F" w:rsidRDefault="0056447F" w:rsidP="009475AE">
      <w:pPr>
        <w:pStyle w:val="BodyText"/>
        <w:spacing w:before="0" w:after="0" w:line="276" w:lineRule="auto"/>
        <w:ind w:left="1440"/>
        <w:rPr>
          <w:u w:val="single"/>
        </w:rPr>
      </w:pPr>
    </w:p>
    <w:p w14:paraId="0F9FAB4C" w14:textId="2AC58668" w:rsidR="001B6C64" w:rsidRPr="008F63E5" w:rsidRDefault="00CD5334" w:rsidP="009475AE">
      <w:pPr>
        <w:pStyle w:val="BodyText"/>
        <w:spacing w:before="0" w:after="0" w:line="276" w:lineRule="auto"/>
        <w:rPr>
          <w:u w:val="single"/>
        </w:rPr>
      </w:pPr>
      <w:r>
        <w:rPr>
          <w:u w:val="single"/>
        </w:rPr>
        <w:t xml:space="preserve">Role of </w:t>
      </w:r>
      <w:r w:rsidR="001B6C64" w:rsidRPr="008F63E5">
        <w:rPr>
          <w:u w:val="single"/>
        </w:rPr>
        <w:t>RSP</w:t>
      </w:r>
      <w:r w:rsidR="008F63E5" w:rsidRPr="008F63E5">
        <w:rPr>
          <w:u w:val="single"/>
        </w:rPr>
        <w:t>s</w:t>
      </w:r>
      <w:r w:rsidR="001B6C64" w:rsidRPr="008F63E5">
        <w:rPr>
          <w:u w:val="single"/>
        </w:rPr>
        <w:t>:</w:t>
      </w:r>
    </w:p>
    <w:p w14:paraId="44211F41" w14:textId="66DD34CA" w:rsidR="006F1EF0" w:rsidRDefault="00AC237D" w:rsidP="00EB2D94">
      <w:pPr>
        <w:pStyle w:val="ListParagraph"/>
        <w:numPr>
          <w:ilvl w:val="0"/>
          <w:numId w:val="43"/>
        </w:numPr>
        <w:spacing w:before="0"/>
      </w:pPr>
      <w:r>
        <w:t>p</w:t>
      </w:r>
      <w:r w:rsidR="006F1EF0">
        <w:t xml:space="preserve">roviding accurate order forecasts to </w:t>
      </w:r>
      <w:r w:rsidR="00771CB6">
        <w:t>n</w:t>
      </w:r>
      <w:r w:rsidR="00601030">
        <w:t>bn</w:t>
      </w:r>
      <w:r w:rsidR="006F1EF0">
        <w:t xml:space="preserve"> (noting the dependencies on accurate </w:t>
      </w:r>
      <w:r w:rsidR="00073C11">
        <w:t>ready for service</w:t>
      </w:r>
      <w:r w:rsidR="006F1EF0">
        <w:t xml:space="preserve"> dates</w:t>
      </w:r>
      <w:r w:rsidR="00066D69" w:rsidRPr="00066D69">
        <w:t xml:space="preserve"> and serviceability information</w:t>
      </w:r>
      <w:r w:rsidR="006F1EF0">
        <w:t>)</w:t>
      </w:r>
      <w:r w:rsidR="00CD5334" w:rsidRPr="00CD5334">
        <w:t xml:space="preserve">, </w:t>
      </w:r>
      <w:r w:rsidR="00960348">
        <w:t>and that</w:t>
      </w:r>
      <w:r w:rsidR="00CD5334" w:rsidRPr="00CD5334">
        <w:t xml:space="preserve"> there </w:t>
      </w:r>
      <w:r w:rsidR="004012D6">
        <w:t>may be</w:t>
      </w:r>
      <w:r w:rsidR="00CD5334" w:rsidRPr="00CD5334">
        <w:t xml:space="preserve"> challenges in doing this, particularly early in the migration experience </w:t>
      </w:r>
    </w:p>
    <w:p w14:paraId="32B06B6F" w14:textId="5F789F73" w:rsidR="001B6C64" w:rsidRDefault="005715E5" w:rsidP="009475AE">
      <w:pPr>
        <w:pStyle w:val="BodyText"/>
        <w:numPr>
          <w:ilvl w:val="0"/>
          <w:numId w:val="43"/>
        </w:numPr>
        <w:spacing w:before="0" w:after="0" w:line="276" w:lineRule="auto"/>
      </w:pPr>
      <w:r>
        <w:t>t</w:t>
      </w:r>
      <w:r w:rsidR="001B6C64">
        <w:t xml:space="preserve">aking </w:t>
      </w:r>
      <w:r w:rsidR="000C2467">
        <w:t>an</w:t>
      </w:r>
      <w:r w:rsidR="001B6C64">
        <w:t xml:space="preserve"> </w:t>
      </w:r>
      <w:r w:rsidR="00106B9A">
        <w:t xml:space="preserve">end user’s </w:t>
      </w:r>
      <w:r w:rsidR="001B6C64">
        <w:t>order</w:t>
      </w:r>
    </w:p>
    <w:p w14:paraId="532170F4" w14:textId="6ACEC1EA" w:rsidR="00B77C59" w:rsidRDefault="00A54D5B" w:rsidP="009475AE">
      <w:pPr>
        <w:pStyle w:val="BodyText"/>
        <w:numPr>
          <w:ilvl w:val="0"/>
          <w:numId w:val="43"/>
        </w:numPr>
        <w:spacing w:before="0" w:after="0" w:line="276" w:lineRule="auto"/>
      </w:pPr>
      <w:r>
        <w:t xml:space="preserve">seeking to arrange </w:t>
      </w:r>
      <w:r w:rsidR="001B6C64">
        <w:t xml:space="preserve">an appropriate installation time with </w:t>
      </w:r>
      <w:r w:rsidR="00771CB6">
        <w:t>n</w:t>
      </w:r>
      <w:r w:rsidR="00601030">
        <w:t>bn</w:t>
      </w:r>
      <w:r w:rsidR="001B6C64">
        <w:t xml:space="preserve"> and the </w:t>
      </w:r>
      <w:r w:rsidR="00106B9A">
        <w:t xml:space="preserve">end user </w:t>
      </w:r>
      <w:r w:rsidR="001B6C64">
        <w:t xml:space="preserve">and advising the </w:t>
      </w:r>
      <w:r w:rsidR="00106B9A">
        <w:t xml:space="preserve">end user </w:t>
      </w:r>
      <w:r w:rsidR="001B6C64">
        <w:t>in advance if the agreed appointment time changes</w:t>
      </w:r>
    </w:p>
    <w:p w14:paraId="338CB5AE" w14:textId="40FCA708" w:rsidR="00AA2C71" w:rsidRDefault="00D80623" w:rsidP="009475AE">
      <w:pPr>
        <w:pStyle w:val="BodyText"/>
        <w:numPr>
          <w:ilvl w:val="0"/>
          <w:numId w:val="43"/>
        </w:numPr>
        <w:spacing w:before="0" w:after="0" w:line="276" w:lineRule="auto"/>
      </w:pPr>
      <w:r>
        <w:t>s</w:t>
      </w:r>
      <w:r w:rsidR="00A54D5B">
        <w:t>eeking to arrange</w:t>
      </w:r>
      <w:r w:rsidR="00AA2C71">
        <w:t xml:space="preserve"> an appropriate RSP installation time (if required) with the end user and advising the end user in advance if the agreed appointment time changes</w:t>
      </w:r>
    </w:p>
    <w:p w14:paraId="25535F79" w14:textId="3EB5D5C0" w:rsidR="003C674B" w:rsidRDefault="003C674B" w:rsidP="00131B74">
      <w:pPr>
        <w:pStyle w:val="BodyText"/>
        <w:numPr>
          <w:ilvl w:val="0"/>
          <w:numId w:val="43"/>
        </w:numPr>
        <w:spacing w:before="0" w:after="0" w:line="276" w:lineRule="auto"/>
      </w:pPr>
      <w:r w:rsidRPr="009D4181">
        <w:rPr>
          <w:rFonts w:asciiTheme="minorHAnsi" w:eastAsia="Calibri" w:hAnsiTheme="minorHAnsi" w:cs="Times New Roman"/>
        </w:rPr>
        <w:t xml:space="preserve">undertaking any installation or upgrading of wiring or </w:t>
      </w:r>
      <w:r w:rsidR="00106B9A">
        <w:rPr>
          <w:rFonts w:asciiTheme="minorHAnsi" w:eastAsia="Calibri" w:hAnsiTheme="minorHAnsi" w:cs="Times New Roman"/>
        </w:rPr>
        <w:t>end user</w:t>
      </w:r>
      <w:r w:rsidR="00106B9A" w:rsidRPr="009D4181">
        <w:rPr>
          <w:rFonts w:asciiTheme="minorHAnsi" w:eastAsia="Calibri" w:hAnsiTheme="minorHAnsi" w:cs="Times New Roman"/>
        </w:rPr>
        <w:t xml:space="preserve"> </w:t>
      </w:r>
      <w:r w:rsidRPr="009D4181">
        <w:rPr>
          <w:rFonts w:asciiTheme="minorHAnsi" w:eastAsia="Calibri" w:hAnsiTheme="minorHAnsi" w:cs="Times New Roman"/>
        </w:rPr>
        <w:t>premises equipment associated with migration of their own end users (or end user premises) to the</w:t>
      </w:r>
      <w:r w:rsidR="004012D6">
        <w:rPr>
          <w:rFonts w:asciiTheme="minorHAnsi" w:eastAsia="Calibri" w:hAnsiTheme="minorHAnsi" w:cs="Times New Roman"/>
        </w:rPr>
        <w:t xml:space="preserve">ir </w:t>
      </w:r>
      <w:r w:rsidR="00131B74" w:rsidRPr="00131B74">
        <w:rPr>
          <w:rFonts w:asciiTheme="minorHAnsi" w:eastAsia="Calibri" w:hAnsiTheme="minorHAnsi" w:cs="Times New Roman"/>
        </w:rPr>
        <w:t>national broadband network</w:t>
      </w:r>
      <w:r w:rsidR="004012D6">
        <w:rPr>
          <w:rFonts w:asciiTheme="minorHAnsi" w:eastAsia="Calibri" w:hAnsiTheme="minorHAnsi" w:cs="Times New Roman"/>
        </w:rPr>
        <w:t xml:space="preserve"> service</w:t>
      </w:r>
      <w:r w:rsidR="00282D79">
        <w:rPr>
          <w:rFonts w:asciiTheme="minorHAnsi" w:eastAsia="Calibri" w:hAnsiTheme="minorHAnsi" w:cs="Times New Roman"/>
        </w:rPr>
        <w:t xml:space="preserve"> </w:t>
      </w:r>
      <w:r w:rsidRPr="009D4181">
        <w:rPr>
          <w:rFonts w:asciiTheme="minorHAnsi" w:eastAsia="Calibri" w:hAnsiTheme="minorHAnsi" w:cs="Times New Roman"/>
        </w:rPr>
        <w:t>(this does not include wiring to support third party equipment</w:t>
      </w:r>
      <w:r w:rsidR="00A54D5B">
        <w:rPr>
          <w:rFonts w:asciiTheme="minorHAnsi" w:eastAsia="Calibri" w:hAnsiTheme="minorHAnsi" w:cs="Times New Roman"/>
        </w:rPr>
        <w:t>, such as alarms</w:t>
      </w:r>
      <w:r w:rsidRPr="009D4181">
        <w:rPr>
          <w:rFonts w:asciiTheme="minorHAnsi" w:eastAsia="Calibri" w:hAnsiTheme="minorHAnsi" w:cs="Times New Roman"/>
        </w:rPr>
        <w:t>)</w:t>
      </w:r>
      <w:r w:rsidR="006667FD" w:rsidRPr="006667FD">
        <w:t xml:space="preserve"> </w:t>
      </w:r>
      <w:r w:rsidR="006667FD">
        <w:rPr>
          <w:rFonts w:asciiTheme="minorHAnsi" w:eastAsia="Calibri" w:hAnsiTheme="minorHAnsi" w:cs="Times New Roman"/>
        </w:rPr>
        <w:t>or directing</w:t>
      </w:r>
      <w:r w:rsidR="006667FD" w:rsidRPr="006667FD">
        <w:rPr>
          <w:rFonts w:asciiTheme="minorHAnsi" w:eastAsia="Calibri" w:hAnsiTheme="minorHAnsi" w:cs="Times New Roman"/>
        </w:rPr>
        <w:t xml:space="preserve"> the end user to a registered cabler to do any necessary </w:t>
      </w:r>
      <w:r w:rsidR="006667FD">
        <w:rPr>
          <w:rFonts w:asciiTheme="minorHAnsi" w:eastAsia="Calibri" w:hAnsiTheme="minorHAnsi" w:cs="Times New Roman"/>
        </w:rPr>
        <w:t xml:space="preserve">wiring </w:t>
      </w:r>
      <w:r w:rsidR="006667FD" w:rsidRPr="006667FD">
        <w:rPr>
          <w:rFonts w:asciiTheme="minorHAnsi" w:eastAsia="Calibri" w:hAnsiTheme="minorHAnsi" w:cs="Times New Roman"/>
        </w:rPr>
        <w:t>work</w:t>
      </w:r>
    </w:p>
    <w:p w14:paraId="038EC9B2" w14:textId="6BB13A50" w:rsidR="003C662D" w:rsidRPr="00A02A46" w:rsidRDefault="005715E5" w:rsidP="00131B74">
      <w:pPr>
        <w:pStyle w:val="BodyText"/>
        <w:numPr>
          <w:ilvl w:val="0"/>
          <w:numId w:val="43"/>
        </w:numPr>
        <w:spacing w:before="0" w:after="0" w:line="276" w:lineRule="auto"/>
      </w:pPr>
      <w:r w:rsidRPr="00A02A46">
        <w:t>c</w:t>
      </w:r>
      <w:r w:rsidR="001B6C64" w:rsidRPr="00A02A46">
        <w:t>onfirming the</w:t>
      </w:r>
      <w:r w:rsidR="004012D6">
        <w:t xml:space="preserve">ir </w:t>
      </w:r>
      <w:r w:rsidR="00131B74" w:rsidRPr="00131B74">
        <w:t xml:space="preserve">national broadband network </w:t>
      </w:r>
      <w:r w:rsidR="001B6C64" w:rsidRPr="00A02A46">
        <w:t>order has been installed and service</w:t>
      </w:r>
      <w:r w:rsidR="008F63E5" w:rsidRPr="00A02A46">
        <w:t>s</w:t>
      </w:r>
      <w:r w:rsidR="001B6C64" w:rsidRPr="00A02A46">
        <w:t xml:space="preserve"> </w:t>
      </w:r>
      <w:r w:rsidR="008F63E5" w:rsidRPr="00A02A46">
        <w:t>migrated</w:t>
      </w:r>
      <w:r w:rsidR="001B6C64" w:rsidRPr="00A02A46">
        <w:t xml:space="preserve"> </w:t>
      </w:r>
      <w:r w:rsidR="00ED7EBF" w:rsidRPr="00A02A46">
        <w:t xml:space="preserve">(including any porting) </w:t>
      </w:r>
      <w:r w:rsidR="001B6C64" w:rsidRPr="00A02A46">
        <w:t xml:space="preserve">before placing a </w:t>
      </w:r>
      <w:r w:rsidR="00ED00F6" w:rsidRPr="00A02A46">
        <w:t>business as usual</w:t>
      </w:r>
      <w:r w:rsidR="001B6C64" w:rsidRPr="00A02A46">
        <w:t xml:space="preserve"> copper service cancellation request.</w:t>
      </w:r>
    </w:p>
    <w:p w14:paraId="70A1A377" w14:textId="77777777" w:rsidR="000C2467" w:rsidRDefault="000C2467" w:rsidP="009475AE">
      <w:pPr>
        <w:pStyle w:val="BodyText"/>
        <w:spacing w:before="0" w:after="0" w:line="276" w:lineRule="auto"/>
        <w:rPr>
          <w:rFonts w:asciiTheme="minorHAnsi" w:hAnsiTheme="minorHAnsi"/>
          <w:u w:val="single"/>
        </w:rPr>
      </w:pPr>
    </w:p>
    <w:p w14:paraId="6FA9CEC8" w14:textId="33644BA9" w:rsidR="00282D79" w:rsidRDefault="00282D79" w:rsidP="009475AE">
      <w:pPr>
        <w:pStyle w:val="BodyText"/>
        <w:spacing w:before="0" w:after="0" w:line="276" w:lineRule="auto"/>
        <w:rPr>
          <w:rFonts w:asciiTheme="minorHAnsi" w:hAnsiTheme="minorHAnsi"/>
          <w:u w:val="single"/>
        </w:rPr>
      </w:pPr>
    </w:p>
    <w:p w14:paraId="41494837" w14:textId="77777777" w:rsidR="00282D79" w:rsidRDefault="00282D79" w:rsidP="009475AE">
      <w:pPr>
        <w:pStyle w:val="BodyText"/>
        <w:spacing w:before="0" w:after="0" w:line="276" w:lineRule="auto"/>
        <w:rPr>
          <w:rFonts w:asciiTheme="minorHAnsi" w:hAnsiTheme="minorHAnsi"/>
          <w:u w:val="single"/>
        </w:rPr>
      </w:pPr>
    </w:p>
    <w:p w14:paraId="155ED399" w14:textId="77777777" w:rsidR="00282D79" w:rsidRDefault="00282D79" w:rsidP="009475AE">
      <w:pPr>
        <w:pStyle w:val="BodyText"/>
        <w:spacing w:before="0" w:after="0" w:line="276" w:lineRule="auto"/>
        <w:rPr>
          <w:rFonts w:asciiTheme="minorHAnsi" w:hAnsiTheme="minorHAnsi"/>
          <w:u w:val="single"/>
        </w:rPr>
      </w:pPr>
    </w:p>
    <w:p w14:paraId="4A3A30E7" w14:textId="77777777" w:rsidR="00282D79" w:rsidRDefault="00282D79" w:rsidP="009475AE">
      <w:pPr>
        <w:pStyle w:val="BodyText"/>
        <w:spacing w:before="0" w:after="0" w:line="276" w:lineRule="auto"/>
        <w:rPr>
          <w:rFonts w:asciiTheme="minorHAnsi" w:hAnsiTheme="minorHAnsi"/>
          <w:u w:val="single"/>
        </w:rPr>
      </w:pPr>
    </w:p>
    <w:p w14:paraId="75F69F0C" w14:textId="2B6D94AB" w:rsidR="00F0146F" w:rsidRDefault="00F0146F" w:rsidP="009475AE">
      <w:pPr>
        <w:pStyle w:val="BodyText"/>
        <w:spacing w:before="0" w:after="0" w:line="276" w:lineRule="auto"/>
        <w:rPr>
          <w:rFonts w:asciiTheme="minorHAnsi" w:hAnsiTheme="minorHAnsi"/>
          <w:u w:val="single"/>
        </w:rPr>
      </w:pPr>
      <w:r>
        <w:rPr>
          <w:rFonts w:asciiTheme="minorHAnsi" w:hAnsiTheme="minorHAnsi"/>
          <w:u w:val="single"/>
        </w:rPr>
        <w:t>Role of the cabling industry</w:t>
      </w:r>
      <w:r w:rsidR="00AC237D">
        <w:rPr>
          <w:rFonts w:asciiTheme="minorHAnsi" w:hAnsiTheme="minorHAnsi"/>
          <w:u w:val="single"/>
        </w:rPr>
        <w:t>:</w:t>
      </w:r>
    </w:p>
    <w:p w14:paraId="095E459C" w14:textId="02E5CE16" w:rsidR="00493BF7" w:rsidRPr="00493BF7" w:rsidRDefault="00AC237D" w:rsidP="00CB4188">
      <w:pPr>
        <w:pStyle w:val="BodyText"/>
        <w:numPr>
          <w:ilvl w:val="0"/>
          <w:numId w:val="51"/>
        </w:numPr>
        <w:spacing w:before="0" w:after="0" w:line="276" w:lineRule="auto"/>
        <w:rPr>
          <w:rFonts w:asciiTheme="minorHAnsi" w:hAnsiTheme="minorHAnsi"/>
          <w:u w:val="single"/>
        </w:rPr>
      </w:pPr>
      <w:r>
        <w:rPr>
          <w:rFonts w:asciiTheme="minorHAnsi" w:hAnsiTheme="minorHAnsi"/>
        </w:rPr>
        <w:t>d</w:t>
      </w:r>
      <w:r w:rsidR="00F0146F" w:rsidRPr="005D5891">
        <w:rPr>
          <w:rFonts w:asciiTheme="minorHAnsi" w:hAnsiTheme="minorHAnsi"/>
        </w:rPr>
        <w:t>evelop</w:t>
      </w:r>
      <w:r w:rsidR="00C85421">
        <w:rPr>
          <w:rFonts w:asciiTheme="minorHAnsi" w:hAnsiTheme="minorHAnsi"/>
        </w:rPr>
        <w:t>ing</w:t>
      </w:r>
      <w:r w:rsidR="00F0146F" w:rsidRPr="005D5891">
        <w:rPr>
          <w:rFonts w:asciiTheme="minorHAnsi" w:hAnsiTheme="minorHAnsi"/>
        </w:rPr>
        <w:t xml:space="preserve"> consistent arrangement</w:t>
      </w:r>
      <w:r w:rsidR="00F0146F">
        <w:rPr>
          <w:rFonts w:asciiTheme="minorHAnsi" w:hAnsiTheme="minorHAnsi"/>
        </w:rPr>
        <w:t>s</w:t>
      </w:r>
      <w:r w:rsidR="00F0146F" w:rsidRPr="005D5891">
        <w:rPr>
          <w:rFonts w:asciiTheme="minorHAnsi" w:hAnsiTheme="minorHAnsi"/>
        </w:rPr>
        <w:t xml:space="preserve"> to assist end users in addressing in home wiring issues</w:t>
      </w:r>
      <w:r w:rsidR="00F0146F">
        <w:rPr>
          <w:rFonts w:asciiTheme="minorHAnsi" w:hAnsiTheme="minorHAnsi"/>
        </w:rPr>
        <w:t>, for example through the d</w:t>
      </w:r>
      <w:r w:rsidR="00F0146F" w:rsidRPr="00F0146F">
        <w:rPr>
          <w:rFonts w:asciiTheme="minorHAnsi" w:hAnsiTheme="minorHAnsi"/>
        </w:rPr>
        <w:t xml:space="preserve">evelopment of a revised cabling code </w:t>
      </w:r>
      <w:r w:rsidR="00F0146F">
        <w:rPr>
          <w:rFonts w:asciiTheme="minorHAnsi" w:hAnsiTheme="minorHAnsi"/>
        </w:rPr>
        <w:t>that</w:t>
      </w:r>
      <w:r w:rsidR="00F0146F" w:rsidRPr="00F0146F">
        <w:rPr>
          <w:rFonts w:asciiTheme="minorHAnsi" w:hAnsiTheme="minorHAnsi"/>
        </w:rPr>
        <w:t xml:space="preserve"> address</w:t>
      </w:r>
      <w:r w:rsidR="00F0146F">
        <w:rPr>
          <w:rFonts w:asciiTheme="minorHAnsi" w:hAnsiTheme="minorHAnsi"/>
        </w:rPr>
        <w:t>es</w:t>
      </w:r>
      <w:r w:rsidR="00F0146F" w:rsidRPr="00F0146F">
        <w:rPr>
          <w:rFonts w:asciiTheme="minorHAnsi" w:hAnsiTheme="minorHAnsi"/>
        </w:rPr>
        <w:t xml:space="preserve"> in-home wiring issues associated with migration</w:t>
      </w:r>
      <w:r w:rsidR="004012D6">
        <w:rPr>
          <w:rFonts w:asciiTheme="minorHAnsi" w:hAnsiTheme="minorHAnsi"/>
        </w:rPr>
        <w:t xml:space="preserve"> off the copper and onto </w:t>
      </w:r>
      <w:r w:rsidR="00CB4188" w:rsidRPr="00CB4188">
        <w:rPr>
          <w:rFonts w:asciiTheme="minorHAnsi" w:hAnsiTheme="minorHAnsi"/>
        </w:rPr>
        <w:t>national broadband network</w:t>
      </w:r>
      <w:r w:rsidR="00CB4188">
        <w:rPr>
          <w:rFonts w:asciiTheme="minorHAnsi" w:hAnsiTheme="minorHAnsi"/>
        </w:rPr>
        <w:t xml:space="preserve"> services</w:t>
      </w:r>
      <w:r w:rsidR="00F0146F">
        <w:rPr>
          <w:rFonts w:asciiTheme="minorHAnsi" w:hAnsiTheme="minorHAnsi"/>
        </w:rPr>
        <w:t>.</w:t>
      </w:r>
    </w:p>
    <w:p w14:paraId="7E0C1C43" w14:textId="19939D57" w:rsidR="00915946" w:rsidRPr="000D2C29" w:rsidRDefault="00DF21A8" w:rsidP="00D023BE">
      <w:pPr>
        <w:spacing w:after="120" w:line="276" w:lineRule="auto"/>
        <w:rPr>
          <w:u w:val="single"/>
        </w:rPr>
      </w:pPr>
      <w:r w:rsidRPr="000D2C29">
        <w:rPr>
          <w:u w:val="single"/>
        </w:rPr>
        <w:t>New c</w:t>
      </w:r>
      <w:r w:rsidR="00EA292D" w:rsidRPr="000D2C29">
        <w:rPr>
          <w:u w:val="single"/>
        </w:rPr>
        <w:t>ommitments</w:t>
      </w:r>
      <w:r w:rsidR="00915946" w:rsidRPr="000D2C29">
        <w:rPr>
          <w:u w:val="single"/>
        </w:rPr>
        <w:t xml:space="preserve"> to</w:t>
      </w:r>
      <w:r w:rsidR="000F7C98" w:rsidRPr="000D2C29">
        <w:rPr>
          <w:u w:val="single"/>
        </w:rPr>
        <w:t xml:space="preserve"> improve </w:t>
      </w:r>
      <w:r w:rsidR="00EA292D" w:rsidRPr="000D2C29">
        <w:rPr>
          <w:u w:val="single"/>
        </w:rPr>
        <w:t xml:space="preserve">the installation and activation of </w:t>
      </w:r>
      <w:r w:rsidR="00131B74" w:rsidRPr="00131B74">
        <w:rPr>
          <w:u w:val="single"/>
        </w:rPr>
        <w:t xml:space="preserve">national broadband network </w:t>
      </w:r>
      <w:r w:rsidR="00EA292D" w:rsidRPr="000D2C29">
        <w:rPr>
          <w:u w:val="single"/>
        </w:rPr>
        <w:t>services include</w:t>
      </w:r>
      <w:r w:rsidR="00915946" w:rsidRPr="000D2C29">
        <w:rPr>
          <w:u w:val="single"/>
        </w:rPr>
        <w:t>:</w:t>
      </w:r>
    </w:p>
    <w:p w14:paraId="331E573A" w14:textId="00AA62C8" w:rsidR="00205B0C" w:rsidRPr="00205B0C" w:rsidRDefault="00771CB6" w:rsidP="009475AE">
      <w:pPr>
        <w:pStyle w:val="BodyText"/>
        <w:numPr>
          <w:ilvl w:val="0"/>
          <w:numId w:val="32"/>
        </w:numPr>
        <w:spacing w:before="0" w:after="0" w:line="276" w:lineRule="auto"/>
      </w:pPr>
      <w:r>
        <w:t>n</w:t>
      </w:r>
      <w:r w:rsidR="00601030">
        <w:t>bn</w:t>
      </w:r>
      <w:r w:rsidR="00205B0C" w:rsidRPr="00205B0C">
        <w:t xml:space="preserve"> is continuing to undertake initiatives to increase and optimise </w:t>
      </w:r>
      <w:r w:rsidR="00205B0C">
        <w:t>its installation</w:t>
      </w:r>
      <w:r w:rsidR="00205B0C" w:rsidRPr="00205B0C">
        <w:t xml:space="preserve"> capacity</w:t>
      </w:r>
    </w:p>
    <w:p w14:paraId="31A52DDA" w14:textId="3A74D1E4" w:rsidR="00915946" w:rsidRDefault="00AC237D" w:rsidP="009475AE">
      <w:pPr>
        <w:pStyle w:val="BodyText"/>
        <w:numPr>
          <w:ilvl w:val="0"/>
          <w:numId w:val="32"/>
        </w:numPr>
        <w:spacing w:before="0" w:after="0" w:line="276" w:lineRule="auto"/>
      </w:pPr>
      <w:r>
        <w:rPr>
          <w:rFonts w:asciiTheme="minorHAnsi" w:hAnsiTheme="minorHAnsi"/>
        </w:rPr>
        <w:t>i</w:t>
      </w:r>
      <w:r w:rsidR="000F7C98" w:rsidRPr="005D5891">
        <w:rPr>
          <w:rFonts w:asciiTheme="minorHAnsi" w:hAnsiTheme="minorHAnsi"/>
        </w:rPr>
        <w:t>mprov</w:t>
      </w:r>
      <w:r w:rsidR="00933A51">
        <w:rPr>
          <w:rFonts w:asciiTheme="minorHAnsi" w:hAnsiTheme="minorHAnsi"/>
        </w:rPr>
        <w:t>ed</w:t>
      </w:r>
      <w:r w:rsidR="00272615" w:rsidRPr="005D5891">
        <w:rPr>
          <w:rFonts w:asciiTheme="minorHAnsi" w:hAnsiTheme="minorHAnsi"/>
        </w:rPr>
        <w:t xml:space="preserve"> </w:t>
      </w:r>
      <w:r w:rsidR="00965ADC">
        <w:rPr>
          <w:rFonts w:asciiTheme="minorHAnsi" w:hAnsiTheme="minorHAnsi"/>
        </w:rPr>
        <w:t>ready for service</w:t>
      </w:r>
      <w:r w:rsidR="00933A51">
        <w:rPr>
          <w:rFonts w:asciiTheme="minorHAnsi" w:hAnsiTheme="minorHAnsi"/>
        </w:rPr>
        <w:t xml:space="preserve"> </w:t>
      </w:r>
      <w:r w:rsidR="0068405C" w:rsidRPr="005D5891">
        <w:rPr>
          <w:rFonts w:asciiTheme="minorHAnsi" w:hAnsiTheme="minorHAnsi"/>
        </w:rPr>
        <w:t>forecast</w:t>
      </w:r>
      <w:r w:rsidR="00272615" w:rsidRPr="005D5891">
        <w:rPr>
          <w:rFonts w:asciiTheme="minorHAnsi" w:hAnsiTheme="minorHAnsi"/>
        </w:rPr>
        <w:t>ing</w:t>
      </w:r>
      <w:r>
        <w:t xml:space="preserve"> a</w:t>
      </w:r>
      <w:r w:rsidR="00933A51">
        <w:t>nd higher</w:t>
      </w:r>
      <w:r w:rsidR="00272615" w:rsidRPr="00272615">
        <w:t xml:space="preserve"> </w:t>
      </w:r>
      <w:r w:rsidR="00EA292D">
        <w:t>service class</w:t>
      </w:r>
      <w:r w:rsidR="00933A51">
        <w:t xml:space="preserve"> 2</w:t>
      </w:r>
      <w:r w:rsidR="00272615">
        <w:t xml:space="preserve"> </w:t>
      </w:r>
      <w:r w:rsidR="00272615" w:rsidRPr="00272615">
        <w:t xml:space="preserve">thresholds </w:t>
      </w:r>
      <w:r w:rsidR="00272615">
        <w:t>before a region is declared ready for service</w:t>
      </w:r>
      <w:r w:rsidR="00272615" w:rsidRPr="00272615">
        <w:t xml:space="preserve"> will </w:t>
      </w:r>
      <w:r w:rsidR="00933A51">
        <w:t xml:space="preserve">lead to </w:t>
      </w:r>
      <w:r w:rsidR="00272615">
        <w:t xml:space="preserve">more predictable and accurate </w:t>
      </w:r>
      <w:r w:rsidR="00933A51">
        <w:t>install workforce capacity planning</w:t>
      </w:r>
    </w:p>
    <w:p w14:paraId="28DCD33F" w14:textId="239C33C7" w:rsidR="00272615" w:rsidRDefault="00771CB6" w:rsidP="009475AE">
      <w:pPr>
        <w:pStyle w:val="ListParagraph"/>
        <w:numPr>
          <w:ilvl w:val="0"/>
          <w:numId w:val="32"/>
        </w:numPr>
        <w:spacing w:before="0" w:line="276" w:lineRule="auto"/>
      </w:pPr>
      <w:r>
        <w:t>n</w:t>
      </w:r>
      <w:r w:rsidR="00601030">
        <w:t>bn</w:t>
      </w:r>
      <w:r w:rsidR="00EA292D">
        <w:t xml:space="preserve"> will, where necessary, phase</w:t>
      </w:r>
      <w:r w:rsidR="000F7C98" w:rsidRPr="000F7C98">
        <w:t xml:space="preserve"> the release of </w:t>
      </w:r>
      <w:r w:rsidR="007E219E">
        <w:t>service</w:t>
      </w:r>
      <w:r w:rsidR="00965ADC">
        <w:t xml:space="preserve"> area modules</w:t>
      </w:r>
      <w:r w:rsidR="000F7C98" w:rsidRPr="000F7C98">
        <w:t xml:space="preserve"> </w:t>
      </w:r>
      <w:r w:rsidR="000F7C98">
        <w:t xml:space="preserve">in particular regions where adequate </w:t>
      </w:r>
      <w:r w:rsidR="00933A51">
        <w:t xml:space="preserve">installation </w:t>
      </w:r>
      <w:r w:rsidR="000F7C98">
        <w:t xml:space="preserve">resources are unavailable to meet demand, </w:t>
      </w:r>
      <w:r w:rsidR="000F7C98" w:rsidRPr="000F7C98">
        <w:t>so that lead-times for end</w:t>
      </w:r>
      <w:r w:rsidR="00016739">
        <w:t xml:space="preserve"> </w:t>
      </w:r>
      <w:r w:rsidR="000F7C98" w:rsidRPr="000F7C98">
        <w:t xml:space="preserve">user orders are not </w:t>
      </w:r>
      <w:r w:rsidR="00ED479C">
        <w:t>impacted</w:t>
      </w:r>
    </w:p>
    <w:p w14:paraId="7CF3F130" w14:textId="3A7B17B6" w:rsidR="00ED7EA3" w:rsidRDefault="00771CB6" w:rsidP="009475AE">
      <w:pPr>
        <w:pStyle w:val="BodyText"/>
        <w:numPr>
          <w:ilvl w:val="0"/>
          <w:numId w:val="32"/>
        </w:numPr>
        <w:spacing w:before="0" w:after="0" w:line="276" w:lineRule="auto"/>
      </w:pPr>
      <w:r>
        <w:t>n</w:t>
      </w:r>
      <w:r w:rsidR="00601030">
        <w:t>bn</w:t>
      </w:r>
      <w:r w:rsidR="00ED7EA3">
        <w:t xml:space="preserve"> and RSPs will c</w:t>
      </w:r>
      <w:r w:rsidR="003C58E5">
        <w:t>ommunica</w:t>
      </w:r>
      <w:r w:rsidR="00ED7EA3">
        <w:t>te</w:t>
      </w:r>
      <w:r w:rsidR="003C58E5">
        <w:t xml:space="preserve"> to end</w:t>
      </w:r>
      <w:r w:rsidR="00016739">
        <w:t xml:space="preserve"> </w:t>
      </w:r>
      <w:r w:rsidR="003C58E5">
        <w:t xml:space="preserve">users in areas of ‘high demand’ </w:t>
      </w:r>
      <w:r w:rsidR="00933A51">
        <w:t>and which</w:t>
      </w:r>
      <w:r w:rsidR="00EA292D">
        <w:t xml:space="preserve"> may be</w:t>
      </w:r>
      <w:r w:rsidR="003C58E5">
        <w:t xml:space="preserve"> </w:t>
      </w:r>
      <w:r w:rsidR="00933A51">
        <w:t xml:space="preserve">subject to </w:t>
      </w:r>
      <w:r w:rsidR="003C58E5">
        <w:t>long lead times.</w:t>
      </w:r>
    </w:p>
    <w:p w14:paraId="42727C94" w14:textId="64300550" w:rsidR="00EA292D" w:rsidRPr="00ED7EA3" w:rsidRDefault="00066D69" w:rsidP="009475AE">
      <w:pPr>
        <w:pStyle w:val="BodyText"/>
        <w:spacing w:line="276" w:lineRule="auto"/>
        <w:rPr>
          <w:u w:val="single"/>
        </w:rPr>
      </w:pPr>
      <w:r>
        <w:rPr>
          <w:u w:val="single"/>
        </w:rPr>
        <w:t>Promoting</w:t>
      </w:r>
      <w:r w:rsidRPr="00ED7EA3">
        <w:rPr>
          <w:u w:val="single"/>
        </w:rPr>
        <w:t xml:space="preserve"> </w:t>
      </w:r>
      <w:r w:rsidR="00EA292D" w:rsidRPr="00ED7EA3">
        <w:rPr>
          <w:u w:val="single"/>
        </w:rPr>
        <w:t>service continuity</w:t>
      </w:r>
    </w:p>
    <w:p w14:paraId="5F44B434" w14:textId="77777777" w:rsidR="00493BF7" w:rsidRDefault="00317F36" w:rsidP="009475AE">
      <w:pPr>
        <w:pStyle w:val="BodyText"/>
        <w:spacing w:before="0" w:after="0" w:line="276" w:lineRule="auto"/>
      </w:pPr>
      <w:r>
        <w:t>In order to maintain service continuity:</w:t>
      </w:r>
    </w:p>
    <w:p w14:paraId="06DD39B8" w14:textId="77777777" w:rsidR="00CD5334" w:rsidRPr="00CD5334" w:rsidRDefault="00CD5334" w:rsidP="00CD5334">
      <w:pPr>
        <w:pStyle w:val="BodyText"/>
        <w:spacing w:before="0" w:after="0" w:line="276" w:lineRule="auto"/>
        <w:ind w:left="357"/>
        <w:rPr>
          <w:highlight w:val="yellow"/>
        </w:rPr>
      </w:pPr>
    </w:p>
    <w:p w14:paraId="3D99055D" w14:textId="76642D6F" w:rsidR="00066D69" w:rsidRDefault="00D64FDC" w:rsidP="00131B74">
      <w:pPr>
        <w:pStyle w:val="BodyText"/>
        <w:numPr>
          <w:ilvl w:val="0"/>
          <w:numId w:val="35"/>
        </w:numPr>
        <w:spacing w:before="0" w:after="0" w:line="276" w:lineRule="auto"/>
      </w:pPr>
      <w:r>
        <w:t xml:space="preserve">End </w:t>
      </w:r>
      <w:r w:rsidR="00066D69">
        <w:t xml:space="preserve">users </w:t>
      </w:r>
      <w:r w:rsidR="00066D69" w:rsidRPr="005E689E">
        <w:t xml:space="preserve">and RSPs should seek to manage the disconnection of the </w:t>
      </w:r>
      <w:r w:rsidR="00E942EE">
        <w:t xml:space="preserve">legacy network </w:t>
      </w:r>
      <w:r w:rsidR="00066D69" w:rsidRPr="005E689E">
        <w:t xml:space="preserve">services, if possible, at a time that allows their </w:t>
      </w:r>
      <w:r w:rsidR="00131B74" w:rsidRPr="00131B74">
        <w:t xml:space="preserve">national broadband network </w:t>
      </w:r>
      <w:r w:rsidR="00066D69">
        <w:t>service to have been activated and confirmed as working and all services have been migrated</w:t>
      </w:r>
      <w:r w:rsidR="007046B0">
        <w:t>.</w:t>
      </w:r>
      <w:r w:rsidR="00066D69" w:rsidRPr="00EC34D5">
        <w:t xml:space="preserve"> </w:t>
      </w:r>
      <w:r w:rsidR="00030571">
        <w:t>It is noted</w:t>
      </w:r>
      <w:r w:rsidR="00030571" w:rsidRPr="00030571">
        <w:t xml:space="preserve"> that this may not be possible in circumstances where the end</w:t>
      </w:r>
      <w:r w:rsidR="00045783">
        <w:t xml:space="preserve"> </w:t>
      </w:r>
      <w:r w:rsidR="00030571" w:rsidRPr="00030571">
        <w:t xml:space="preserve">user ports their number to </w:t>
      </w:r>
      <w:r w:rsidR="004012D6">
        <w:t xml:space="preserve">another RSPs </w:t>
      </w:r>
      <w:r w:rsidR="00131B74" w:rsidRPr="00131B74">
        <w:t>national broadband network</w:t>
      </w:r>
      <w:r w:rsidR="004012D6">
        <w:t xml:space="preserve"> service</w:t>
      </w:r>
      <w:r w:rsidR="00030571" w:rsidRPr="00030571">
        <w:t xml:space="preserve">, or where technologies other than FTTP are deployed by </w:t>
      </w:r>
      <w:r w:rsidR="00771CB6">
        <w:t>n</w:t>
      </w:r>
      <w:r w:rsidR="00601030">
        <w:t>bn</w:t>
      </w:r>
      <w:r w:rsidR="00066D69" w:rsidRPr="005E689E">
        <w:t>.</w:t>
      </w:r>
    </w:p>
    <w:p w14:paraId="5E7C7CCF" w14:textId="421AE636" w:rsidR="00EA292D" w:rsidRDefault="00D64FDC" w:rsidP="00131B74">
      <w:pPr>
        <w:pStyle w:val="BodyText"/>
        <w:numPr>
          <w:ilvl w:val="0"/>
          <w:numId w:val="35"/>
        </w:numPr>
        <w:spacing w:after="0" w:line="276" w:lineRule="auto"/>
      </w:pPr>
      <w:r>
        <w:t>I</w:t>
      </w:r>
      <w:r w:rsidR="00BD29B1">
        <w:t>f a copper service is disconnected in error before an end</w:t>
      </w:r>
      <w:r w:rsidR="00016739">
        <w:t xml:space="preserve"> </w:t>
      </w:r>
      <w:r w:rsidR="00BD29B1">
        <w:t>user</w:t>
      </w:r>
      <w:r w:rsidR="00C20F77">
        <w:t>’</w:t>
      </w:r>
      <w:r w:rsidR="00BD29B1">
        <w:t xml:space="preserve">s </w:t>
      </w:r>
      <w:r w:rsidR="00131B74" w:rsidRPr="00131B74">
        <w:t xml:space="preserve">national broadband network </w:t>
      </w:r>
      <w:r w:rsidR="00BD29B1">
        <w:t xml:space="preserve">service has been activated, </w:t>
      </w:r>
      <w:r w:rsidR="00933A51">
        <w:t xml:space="preserve">and the customer advises their RSP of this event, </w:t>
      </w:r>
      <w:r w:rsidR="00ED479C">
        <w:t xml:space="preserve">the RSP and </w:t>
      </w:r>
      <w:r w:rsidR="00BD29B1">
        <w:t>Telstra will reconnect the service as soon as practicably possible</w:t>
      </w:r>
      <w:r w:rsidR="005173EF">
        <w:t>.</w:t>
      </w:r>
    </w:p>
    <w:p w14:paraId="5609005B" w14:textId="529B23B8" w:rsidR="00106424" w:rsidRDefault="007F731E" w:rsidP="00131B74">
      <w:pPr>
        <w:pStyle w:val="BodyText"/>
        <w:numPr>
          <w:ilvl w:val="0"/>
          <w:numId w:val="35"/>
        </w:numPr>
        <w:spacing w:after="0" w:line="276" w:lineRule="auto"/>
      </w:pPr>
      <w:r>
        <w:t>D</w:t>
      </w:r>
      <w:r w:rsidR="00933A51">
        <w:t xml:space="preserve">uring the migration window, </w:t>
      </w:r>
      <w:r w:rsidR="00F5386B">
        <w:t xml:space="preserve">Telstra may offer </w:t>
      </w:r>
      <w:r w:rsidR="00E942EE">
        <w:t xml:space="preserve">legacy network </w:t>
      </w:r>
      <w:r w:rsidR="00F5386B">
        <w:t>service</w:t>
      </w:r>
      <w:r w:rsidR="00933A51">
        <w:t>s</w:t>
      </w:r>
      <w:r w:rsidR="00F5386B">
        <w:t xml:space="preserve">, </w:t>
      </w:r>
      <w:r w:rsidR="00933A51">
        <w:t>in certain circumstances where an</w:t>
      </w:r>
      <w:r w:rsidR="00131B74">
        <w:t xml:space="preserve"> end user is unable to obtain a</w:t>
      </w:r>
      <w:r w:rsidR="00933A51">
        <w:t xml:space="preserve"> </w:t>
      </w:r>
      <w:r w:rsidR="00131B74" w:rsidRPr="00131B74">
        <w:t xml:space="preserve">national broadband network </w:t>
      </w:r>
      <w:r w:rsidR="00933A51">
        <w:t>connection. This includes where a</w:t>
      </w:r>
      <w:r w:rsidR="002A022C" w:rsidRPr="002A022C">
        <w:t xml:space="preserve"> copper connection is available at the premises and a</w:t>
      </w:r>
      <w:r w:rsidR="00933A51">
        <w:t xml:space="preserve"> premises is not </w:t>
      </w:r>
      <w:r w:rsidR="004012D6">
        <w:t>n</w:t>
      </w:r>
      <w:r w:rsidR="009547EB">
        <w:t>ational broadband</w:t>
      </w:r>
      <w:r w:rsidR="004012D6">
        <w:t xml:space="preserve"> network</w:t>
      </w:r>
      <w:r w:rsidR="00933A51">
        <w:t xml:space="preserve"> serviceable.</w:t>
      </w:r>
    </w:p>
    <w:p w14:paraId="4994FE20" w14:textId="7F1C3CFA" w:rsidR="00A61939" w:rsidRDefault="00771CB6" w:rsidP="00131B74">
      <w:pPr>
        <w:pStyle w:val="BodyText"/>
        <w:numPr>
          <w:ilvl w:val="0"/>
          <w:numId w:val="35"/>
        </w:numPr>
        <w:spacing w:after="0" w:line="276" w:lineRule="auto"/>
      </w:pPr>
      <w:r>
        <w:t>n</w:t>
      </w:r>
      <w:r w:rsidR="00601030">
        <w:t>bn</w:t>
      </w:r>
      <w:r w:rsidR="00A61939" w:rsidRPr="00E77E36">
        <w:t xml:space="preserve"> and Telstra have agreed to varied arrangements which allow additional time for the connection of </w:t>
      </w:r>
      <w:r w:rsidR="00131B74" w:rsidRPr="00131B74">
        <w:t xml:space="preserve">national broadband network </w:t>
      </w:r>
      <w:r w:rsidR="00A61939" w:rsidRPr="00E77E36">
        <w:t xml:space="preserve">services where orders for an </w:t>
      </w:r>
      <w:r w:rsidR="00CB4188">
        <w:t>nbn</w:t>
      </w:r>
      <w:r w:rsidR="00131B74" w:rsidRPr="00131B74">
        <w:t xml:space="preserve"> </w:t>
      </w:r>
      <w:r w:rsidR="00A61939" w:rsidRPr="00E77E36">
        <w:t>service remain open or ‘in-trai</w:t>
      </w:r>
      <w:r w:rsidR="008700BD">
        <w:t xml:space="preserve">n’ at the Disconnection Date. </w:t>
      </w:r>
      <w:r w:rsidR="00A61939" w:rsidRPr="00E77E36">
        <w:t>For more detail, refer to Telstra’s Varied Migration Plan and associated documents, on the ACCC website</w:t>
      </w:r>
      <w:r w:rsidR="00A61939">
        <w:t>.</w:t>
      </w:r>
    </w:p>
    <w:p w14:paraId="031B4ADC" w14:textId="09330D13" w:rsidR="009D4181" w:rsidRPr="00BD29B1" w:rsidRDefault="00030571" w:rsidP="009475AE">
      <w:pPr>
        <w:spacing w:after="120" w:line="276" w:lineRule="auto"/>
        <w:ind w:left="426" w:hanging="426"/>
      </w:pPr>
      <w:r>
        <w:br w:type="page"/>
      </w:r>
    </w:p>
    <w:p w14:paraId="1941E638" w14:textId="642E8F0A" w:rsidR="0050456C" w:rsidRDefault="000C043D" w:rsidP="009475AE">
      <w:pPr>
        <w:pStyle w:val="Heading1"/>
        <w:numPr>
          <w:ilvl w:val="0"/>
          <w:numId w:val="0"/>
        </w:numPr>
        <w:spacing w:line="276" w:lineRule="auto"/>
        <w:ind w:left="907" w:hanging="907"/>
      </w:pPr>
      <w:bookmarkStart w:id="66" w:name="_Toc406491075"/>
      <w:bookmarkStart w:id="67" w:name="_Toc406497284"/>
      <w:bookmarkStart w:id="68" w:name="_Toc422237732"/>
      <w:r>
        <w:t>M</w:t>
      </w:r>
      <w:r w:rsidR="003B7812">
        <w:t>andatory</w:t>
      </w:r>
      <w:r>
        <w:t xml:space="preserve"> </w:t>
      </w:r>
      <w:r w:rsidR="00B43747">
        <w:t>d</w:t>
      </w:r>
      <w:r>
        <w:t>isconnection</w:t>
      </w:r>
      <w:r w:rsidR="00B43747">
        <w:t>s</w:t>
      </w:r>
      <w:bookmarkEnd w:id="66"/>
      <w:bookmarkEnd w:id="67"/>
      <w:bookmarkEnd w:id="68"/>
    </w:p>
    <w:p w14:paraId="5644C9DA" w14:textId="46101397" w:rsidR="00BD6F86" w:rsidRDefault="002A022C" w:rsidP="009475AE">
      <w:pPr>
        <w:autoSpaceDE w:val="0"/>
        <w:autoSpaceDN w:val="0"/>
        <w:adjustRightInd w:val="0"/>
        <w:spacing w:before="0" w:line="276" w:lineRule="auto"/>
        <w:rPr>
          <w:rFonts w:asciiTheme="minorHAnsi" w:hAnsiTheme="minorHAnsi" w:cs="Arial"/>
          <w:color w:val="000000"/>
        </w:rPr>
      </w:pPr>
      <w:r w:rsidRPr="002A022C">
        <w:rPr>
          <w:rFonts w:asciiTheme="minorHAnsi" w:hAnsiTheme="minorHAnsi" w:cs="Arial"/>
          <w:color w:val="000000"/>
        </w:rPr>
        <w:t xml:space="preserve">The mandatory disconnection of </w:t>
      </w:r>
      <w:r w:rsidR="00E942EE">
        <w:rPr>
          <w:rFonts w:asciiTheme="minorHAnsi" w:hAnsiTheme="minorHAnsi" w:cs="Arial"/>
          <w:color w:val="000000"/>
        </w:rPr>
        <w:t xml:space="preserve">legacy network </w:t>
      </w:r>
      <w:r w:rsidRPr="002A022C">
        <w:rPr>
          <w:rFonts w:asciiTheme="minorHAnsi" w:hAnsiTheme="minorHAnsi" w:cs="Arial"/>
          <w:color w:val="000000"/>
        </w:rPr>
        <w:t xml:space="preserve">services </w:t>
      </w:r>
      <w:r w:rsidR="007E219E" w:rsidRPr="007E219E">
        <w:rPr>
          <w:rFonts w:asciiTheme="minorHAnsi" w:hAnsiTheme="minorHAnsi" w:cs="Arial"/>
          <w:color w:val="000000"/>
        </w:rPr>
        <w:t xml:space="preserve">provided over the </w:t>
      </w:r>
      <w:r w:rsidR="007E219E">
        <w:rPr>
          <w:rFonts w:asciiTheme="minorHAnsi" w:hAnsiTheme="minorHAnsi" w:cs="Arial"/>
          <w:color w:val="000000"/>
        </w:rPr>
        <w:t xml:space="preserve">Telstra copper and HFC networks </w:t>
      </w:r>
      <w:r w:rsidRPr="002A022C">
        <w:rPr>
          <w:rFonts w:asciiTheme="minorHAnsi" w:hAnsiTheme="minorHAnsi" w:cs="Arial"/>
          <w:color w:val="000000"/>
        </w:rPr>
        <w:t xml:space="preserve">is a core part of the Government’s policy to achieve the structural separation of Telstra. </w:t>
      </w:r>
      <w:r w:rsidR="00265F75">
        <w:rPr>
          <w:rFonts w:asciiTheme="minorHAnsi" w:hAnsiTheme="minorHAnsi" w:cs="Arial"/>
          <w:color w:val="000000"/>
        </w:rPr>
        <w:t xml:space="preserve">The process for </w:t>
      </w:r>
      <w:r w:rsidR="002E4575">
        <w:rPr>
          <w:rFonts w:asciiTheme="minorHAnsi" w:hAnsiTheme="minorHAnsi" w:cs="Arial"/>
          <w:color w:val="000000"/>
        </w:rPr>
        <w:t>mandatory</w:t>
      </w:r>
      <w:r w:rsidR="00265F75">
        <w:rPr>
          <w:rFonts w:asciiTheme="minorHAnsi" w:hAnsiTheme="minorHAnsi" w:cs="Arial"/>
          <w:color w:val="000000"/>
        </w:rPr>
        <w:t xml:space="preserve"> disconnections is governed by Telstra’s Mig</w:t>
      </w:r>
      <w:r w:rsidR="00C85421">
        <w:rPr>
          <w:rFonts w:asciiTheme="minorHAnsi" w:hAnsiTheme="minorHAnsi" w:cs="Arial"/>
          <w:color w:val="000000"/>
        </w:rPr>
        <w:t>ration Plan, which is subject</w:t>
      </w:r>
      <w:r w:rsidR="00265F75">
        <w:rPr>
          <w:rFonts w:asciiTheme="minorHAnsi" w:hAnsiTheme="minorHAnsi" w:cs="Arial"/>
          <w:color w:val="000000"/>
        </w:rPr>
        <w:t xml:space="preserve"> </w:t>
      </w:r>
      <w:r w:rsidR="007F731E">
        <w:rPr>
          <w:rFonts w:asciiTheme="minorHAnsi" w:hAnsiTheme="minorHAnsi" w:cs="Arial"/>
          <w:color w:val="000000"/>
        </w:rPr>
        <w:t xml:space="preserve">to </w:t>
      </w:r>
      <w:r w:rsidR="00965ADC">
        <w:t>Australian Competition and Consumer Commission</w:t>
      </w:r>
      <w:r w:rsidR="00265F75">
        <w:rPr>
          <w:rFonts w:asciiTheme="minorHAnsi" w:hAnsiTheme="minorHAnsi" w:cs="Arial"/>
          <w:color w:val="000000"/>
        </w:rPr>
        <w:t xml:space="preserve"> approval and oversight. T</w:t>
      </w:r>
      <w:r w:rsidR="001D5BED">
        <w:rPr>
          <w:rFonts w:asciiTheme="minorHAnsi" w:hAnsiTheme="minorHAnsi" w:cs="Arial"/>
          <w:color w:val="000000"/>
        </w:rPr>
        <w:t xml:space="preserve">he focus of the </w:t>
      </w:r>
      <w:r w:rsidR="00282D79">
        <w:rPr>
          <w:rFonts w:asciiTheme="minorHAnsi" w:hAnsiTheme="minorHAnsi" w:cs="Arial"/>
          <w:color w:val="000000"/>
        </w:rPr>
        <w:t>MAP</w:t>
      </w:r>
      <w:r w:rsidR="001D5BED">
        <w:rPr>
          <w:rFonts w:asciiTheme="minorHAnsi" w:hAnsiTheme="minorHAnsi" w:cs="Arial"/>
          <w:color w:val="000000"/>
        </w:rPr>
        <w:t xml:space="preserve"> </w:t>
      </w:r>
      <w:r w:rsidR="009A3DDD">
        <w:rPr>
          <w:rFonts w:asciiTheme="minorHAnsi" w:hAnsiTheme="minorHAnsi" w:cs="Arial"/>
          <w:color w:val="000000"/>
        </w:rPr>
        <w:t>f</w:t>
      </w:r>
      <w:r w:rsidR="001D5BED">
        <w:rPr>
          <w:rFonts w:asciiTheme="minorHAnsi" w:hAnsiTheme="minorHAnsi" w:cs="Arial"/>
          <w:color w:val="000000"/>
        </w:rPr>
        <w:t>ramework is to drive the migratio</w:t>
      </w:r>
      <w:r w:rsidR="007B544C">
        <w:rPr>
          <w:rFonts w:asciiTheme="minorHAnsi" w:hAnsiTheme="minorHAnsi" w:cs="Arial"/>
          <w:color w:val="000000"/>
        </w:rPr>
        <w:t>n of end users well before the Disconnection D</w:t>
      </w:r>
      <w:r w:rsidR="001D5BED">
        <w:rPr>
          <w:rFonts w:asciiTheme="minorHAnsi" w:hAnsiTheme="minorHAnsi" w:cs="Arial"/>
          <w:color w:val="000000"/>
        </w:rPr>
        <w:t>ate</w:t>
      </w:r>
      <w:r w:rsidR="00BD6F86">
        <w:rPr>
          <w:rFonts w:asciiTheme="minorHAnsi" w:hAnsiTheme="minorHAnsi" w:cs="Arial"/>
          <w:color w:val="000000"/>
        </w:rPr>
        <w:t xml:space="preserve"> so </w:t>
      </w:r>
      <w:r w:rsidR="00CD5334" w:rsidRPr="00CD5334">
        <w:rPr>
          <w:rFonts w:asciiTheme="minorHAnsi" w:hAnsiTheme="minorHAnsi" w:cs="Arial"/>
          <w:color w:val="000000"/>
        </w:rPr>
        <w:t xml:space="preserve">end users can be confident in the migration experience and minimise the risk of disruption to their services, and </w:t>
      </w:r>
      <w:r w:rsidR="00BD6F86">
        <w:rPr>
          <w:rFonts w:asciiTheme="minorHAnsi" w:hAnsiTheme="minorHAnsi" w:cs="Arial"/>
          <w:color w:val="000000"/>
        </w:rPr>
        <w:t>RSPs can initiate business as usual service cancellations</w:t>
      </w:r>
      <w:r w:rsidR="00E30EBE" w:rsidRPr="00E30EBE">
        <w:t xml:space="preserve"> </w:t>
      </w:r>
      <w:r w:rsidR="00E30EBE" w:rsidRPr="00E30EBE">
        <w:rPr>
          <w:rFonts w:asciiTheme="minorHAnsi" w:hAnsiTheme="minorHAnsi" w:cs="Arial"/>
          <w:color w:val="000000"/>
        </w:rPr>
        <w:t>without the need for mandatory disconnection</w:t>
      </w:r>
      <w:r w:rsidR="00265F75">
        <w:rPr>
          <w:rFonts w:asciiTheme="minorHAnsi" w:hAnsiTheme="minorHAnsi" w:cs="Arial"/>
          <w:color w:val="000000"/>
        </w:rPr>
        <w:t xml:space="preserve">. It is recognised, however, </w:t>
      </w:r>
      <w:r w:rsidR="00205B0C">
        <w:rPr>
          <w:rFonts w:asciiTheme="minorHAnsi" w:hAnsiTheme="minorHAnsi" w:cs="Arial"/>
          <w:color w:val="000000"/>
        </w:rPr>
        <w:t xml:space="preserve">that </w:t>
      </w:r>
      <w:r w:rsidR="001D5BED">
        <w:rPr>
          <w:rFonts w:asciiTheme="minorHAnsi" w:hAnsiTheme="minorHAnsi" w:cs="Arial"/>
          <w:color w:val="000000"/>
        </w:rPr>
        <w:t xml:space="preserve">despite the best efforts of </w:t>
      </w:r>
      <w:r w:rsidR="00771CB6">
        <w:rPr>
          <w:rFonts w:asciiTheme="minorHAnsi" w:hAnsiTheme="minorHAnsi" w:cs="Arial"/>
          <w:color w:val="000000"/>
        </w:rPr>
        <w:t>n</w:t>
      </w:r>
      <w:r w:rsidR="00601030">
        <w:rPr>
          <w:rFonts w:asciiTheme="minorHAnsi" w:hAnsiTheme="minorHAnsi" w:cs="Arial"/>
          <w:color w:val="000000"/>
        </w:rPr>
        <w:t>bn</w:t>
      </w:r>
      <w:r w:rsidR="001D5BED">
        <w:rPr>
          <w:rFonts w:asciiTheme="minorHAnsi" w:hAnsiTheme="minorHAnsi" w:cs="Arial"/>
          <w:color w:val="000000"/>
        </w:rPr>
        <w:t xml:space="preserve">, RSPs and other parties, there </w:t>
      </w:r>
      <w:r w:rsidR="00CD5334">
        <w:rPr>
          <w:rFonts w:asciiTheme="minorHAnsi" w:hAnsiTheme="minorHAnsi" w:cs="Arial"/>
          <w:color w:val="000000"/>
        </w:rPr>
        <w:t>may</w:t>
      </w:r>
      <w:r w:rsidR="001D5BED">
        <w:rPr>
          <w:rFonts w:asciiTheme="minorHAnsi" w:hAnsiTheme="minorHAnsi" w:cs="Arial"/>
          <w:color w:val="000000"/>
        </w:rPr>
        <w:t xml:space="preserve"> remain a subsection of the community</w:t>
      </w:r>
      <w:r w:rsidR="007B544C">
        <w:rPr>
          <w:rFonts w:asciiTheme="minorHAnsi" w:hAnsiTheme="minorHAnsi" w:cs="Arial"/>
          <w:color w:val="000000"/>
        </w:rPr>
        <w:t xml:space="preserve"> who do not migrate before the Disconnection D</w:t>
      </w:r>
      <w:r w:rsidR="001D5BED">
        <w:rPr>
          <w:rFonts w:asciiTheme="minorHAnsi" w:hAnsiTheme="minorHAnsi" w:cs="Arial"/>
          <w:color w:val="000000"/>
        </w:rPr>
        <w:t>ate</w:t>
      </w:r>
      <w:r w:rsidR="00205B0C">
        <w:rPr>
          <w:rFonts w:asciiTheme="minorHAnsi" w:hAnsiTheme="minorHAnsi" w:cs="Arial"/>
          <w:color w:val="000000"/>
        </w:rPr>
        <w:t xml:space="preserve">. </w:t>
      </w:r>
      <w:r w:rsidR="00493BF7">
        <w:rPr>
          <w:rFonts w:asciiTheme="minorHAnsi" w:hAnsiTheme="minorHAnsi" w:cs="Arial"/>
          <w:color w:val="000000"/>
        </w:rPr>
        <w:t xml:space="preserve">A </w:t>
      </w:r>
      <w:r w:rsidR="00205B0C">
        <w:rPr>
          <w:rFonts w:asciiTheme="minorHAnsi" w:hAnsiTheme="minorHAnsi" w:cs="Arial"/>
          <w:color w:val="000000"/>
        </w:rPr>
        <w:t xml:space="preserve">portion of these </w:t>
      </w:r>
      <w:r w:rsidR="00933A51">
        <w:rPr>
          <w:rFonts w:asciiTheme="minorHAnsi" w:hAnsiTheme="minorHAnsi" w:cs="Arial"/>
          <w:color w:val="000000"/>
        </w:rPr>
        <w:t xml:space="preserve">may </w:t>
      </w:r>
      <w:r w:rsidR="00CB4188">
        <w:rPr>
          <w:rFonts w:asciiTheme="minorHAnsi" w:hAnsiTheme="minorHAnsi" w:cs="Arial"/>
          <w:color w:val="000000"/>
        </w:rPr>
        <w:t>not be taking up a</w:t>
      </w:r>
      <w:r w:rsidR="00205B0C">
        <w:rPr>
          <w:rFonts w:asciiTheme="minorHAnsi" w:hAnsiTheme="minorHAnsi" w:cs="Arial"/>
          <w:color w:val="000000"/>
        </w:rPr>
        <w:t xml:space="preserve"> </w:t>
      </w:r>
      <w:r w:rsidR="00CB4188" w:rsidRPr="00CB4188">
        <w:rPr>
          <w:rFonts w:asciiTheme="minorHAnsi" w:hAnsiTheme="minorHAnsi" w:cs="Arial"/>
          <w:color w:val="000000"/>
        </w:rPr>
        <w:t xml:space="preserve">national broadband network </w:t>
      </w:r>
      <w:r w:rsidR="00205B0C">
        <w:rPr>
          <w:rFonts w:asciiTheme="minorHAnsi" w:hAnsiTheme="minorHAnsi" w:cs="Arial"/>
          <w:color w:val="000000"/>
        </w:rPr>
        <w:t xml:space="preserve">service </w:t>
      </w:r>
      <w:r w:rsidR="00493BF7">
        <w:rPr>
          <w:rFonts w:asciiTheme="minorHAnsi" w:hAnsiTheme="minorHAnsi" w:cs="Arial"/>
          <w:color w:val="000000"/>
        </w:rPr>
        <w:t>and understand their copper</w:t>
      </w:r>
      <w:r w:rsidR="009A3DDD">
        <w:rPr>
          <w:rFonts w:asciiTheme="minorHAnsi" w:hAnsiTheme="minorHAnsi" w:cs="Arial"/>
          <w:color w:val="000000"/>
        </w:rPr>
        <w:t xml:space="preserve"> or HFC</w:t>
      </w:r>
      <w:r w:rsidR="00493BF7">
        <w:rPr>
          <w:rFonts w:asciiTheme="minorHAnsi" w:hAnsiTheme="minorHAnsi" w:cs="Arial"/>
          <w:color w:val="000000"/>
        </w:rPr>
        <w:t xml:space="preserve"> service will be disconnected</w:t>
      </w:r>
      <w:r w:rsidR="000D2C29">
        <w:rPr>
          <w:rFonts w:asciiTheme="minorHAnsi" w:hAnsiTheme="minorHAnsi" w:cs="Arial"/>
          <w:color w:val="000000"/>
        </w:rPr>
        <w:t>.</w:t>
      </w:r>
    </w:p>
    <w:p w14:paraId="60A5BFB3" w14:textId="77777777" w:rsidR="001D5BED" w:rsidRDefault="001D5BED" w:rsidP="009475AE">
      <w:pPr>
        <w:autoSpaceDE w:val="0"/>
        <w:autoSpaceDN w:val="0"/>
        <w:adjustRightInd w:val="0"/>
        <w:spacing w:before="0" w:line="276" w:lineRule="auto"/>
        <w:rPr>
          <w:rFonts w:asciiTheme="minorHAnsi" w:hAnsiTheme="minorHAnsi" w:cs="Arial"/>
          <w:color w:val="000000"/>
        </w:rPr>
      </w:pPr>
    </w:p>
    <w:p w14:paraId="4ECCAF0F" w14:textId="1F327F8F" w:rsidR="00357795" w:rsidRPr="005D5891" w:rsidRDefault="00265F75" w:rsidP="009475AE">
      <w:pPr>
        <w:autoSpaceDE w:val="0"/>
        <w:autoSpaceDN w:val="0"/>
        <w:adjustRightInd w:val="0"/>
        <w:spacing w:before="0" w:line="276" w:lineRule="auto"/>
      </w:pPr>
      <w:r>
        <w:rPr>
          <w:rFonts w:asciiTheme="minorHAnsi" w:hAnsiTheme="minorHAnsi" w:cs="Arial"/>
          <w:color w:val="000000"/>
        </w:rPr>
        <w:t xml:space="preserve">For end users </w:t>
      </w:r>
      <w:r w:rsidR="002006AF">
        <w:rPr>
          <w:rFonts w:asciiTheme="minorHAnsi" w:hAnsiTheme="minorHAnsi" w:cs="Arial"/>
          <w:color w:val="000000"/>
        </w:rPr>
        <w:t xml:space="preserve">at premises that </w:t>
      </w:r>
      <w:r>
        <w:rPr>
          <w:rFonts w:asciiTheme="minorHAnsi" w:hAnsiTheme="minorHAnsi" w:cs="Arial"/>
          <w:color w:val="000000"/>
        </w:rPr>
        <w:t xml:space="preserve">remain on the </w:t>
      </w:r>
      <w:r w:rsidR="007E219E">
        <w:rPr>
          <w:rFonts w:asciiTheme="minorHAnsi" w:hAnsiTheme="minorHAnsi" w:cs="Arial"/>
          <w:color w:val="000000"/>
        </w:rPr>
        <w:t xml:space="preserve">Telstra </w:t>
      </w:r>
      <w:r>
        <w:rPr>
          <w:rFonts w:asciiTheme="minorHAnsi" w:hAnsiTheme="minorHAnsi" w:cs="Arial"/>
          <w:color w:val="000000"/>
        </w:rPr>
        <w:t xml:space="preserve">copper and </w:t>
      </w:r>
      <w:r w:rsidR="002A2975">
        <w:rPr>
          <w:rFonts w:asciiTheme="minorHAnsi" w:hAnsiTheme="minorHAnsi" w:cs="Arial"/>
          <w:color w:val="000000"/>
        </w:rPr>
        <w:t>HFC</w:t>
      </w:r>
      <w:r>
        <w:rPr>
          <w:rFonts w:asciiTheme="minorHAnsi" w:hAnsiTheme="minorHAnsi" w:cs="Arial"/>
          <w:color w:val="000000"/>
        </w:rPr>
        <w:t xml:space="preserve"> network</w:t>
      </w:r>
      <w:r w:rsidR="009A3DDD">
        <w:rPr>
          <w:rFonts w:asciiTheme="minorHAnsi" w:hAnsiTheme="minorHAnsi" w:cs="Arial"/>
          <w:color w:val="000000"/>
        </w:rPr>
        <w:t>s</w:t>
      </w:r>
      <w:r w:rsidR="007B544C">
        <w:rPr>
          <w:rFonts w:asciiTheme="minorHAnsi" w:hAnsiTheme="minorHAnsi" w:cs="Arial"/>
          <w:color w:val="000000"/>
        </w:rPr>
        <w:t xml:space="preserve"> at the Disconnection D</w:t>
      </w:r>
      <w:r>
        <w:rPr>
          <w:rFonts w:asciiTheme="minorHAnsi" w:hAnsiTheme="minorHAnsi" w:cs="Arial"/>
          <w:color w:val="000000"/>
        </w:rPr>
        <w:t xml:space="preserve">ate, disconnection </w:t>
      </w:r>
      <w:r w:rsidR="002A022C" w:rsidRPr="002A022C">
        <w:rPr>
          <w:rFonts w:asciiTheme="minorHAnsi" w:hAnsiTheme="minorHAnsi" w:cs="Arial"/>
          <w:color w:val="000000"/>
        </w:rPr>
        <w:t>of ser</w:t>
      </w:r>
      <w:r w:rsidR="002A022C">
        <w:rPr>
          <w:rFonts w:asciiTheme="minorHAnsi" w:hAnsiTheme="minorHAnsi" w:cs="Arial"/>
          <w:color w:val="000000"/>
        </w:rPr>
        <w:t xml:space="preserve">vices on </w:t>
      </w:r>
      <w:r>
        <w:rPr>
          <w:rFonts w:asciiTheme="minorHAnsi" w:hAnsiTheme="minorHAnsi" w:cs="Arial"/>
          <w:color w:val="000000"/>
        </w:rPr>
        <w:t>the</w:t>
      </w:r>
      <w:r w:rsidR="009A3DDD">
        <w:rPr>
          <w:rFonts w:asciiTheme="minorHAnsi" w:hAnsiTheme="minorHAnsi" w:cs="Arial"/>
          <w:color w:val="000000"/>
        </w:rPr>
        <w:t>se</w:t>
      </w:r>
      <w:r>
        <w:rPr>
          <w:rFonts w:asciiTheme="minorHAnsi" w:hAnsiTheme="minorHAnsi" w:cs="Arial"/>
          <w:color w:val="000000"/>
        </w:rPr>
        <w:t xml:space="preserve"> network</w:t>
      </w:r>
      <w:r w:rsidR="009A3DDD">
        <w:rPr>
          <w:rFonts w:asciiTheme="minorHAnsi" w:hAnsiTheme="minorHAnsi" w:cs="Arial"/>
          <w:color w:val="000000"/>
        </w:rPr>
        <w:t>s</w:t>
      </w:r>
      <w:r>
        <w:rPr>
          <w:rFonts w:asciiTheme="minorHAnsi" w:hAnsiTheme="minorHAnsi" w:cs="Arial"/>
          <w:color w:val="000000"/>
        </w:rPr>
        <w:t xml:space="preserve"> must occur in line with Telstra’s obligations under its Migration Plan. In summary</w:t>
      </w:r>
      <w:r w:rsidR="000A7DD9">
        <w:rPr>
          <w:rFonts w:asciiTheme="minorHAnsi" w:hAnsiTheme="minorHAnsi" w:cs="Arial"/>
          <w:color w:val="000000"/>
        </w:rPr>
        <w:t>,</w:t>
      </w:r>
      <w:r>
        <w:rPr>
          <w:rFonts w:asciiTheme="minorHAnsi" w:hAnsiTheme="minorHAnsi" w:cs="Arial"/>
          <w:color w:val="000000"/>
        </w:rPr>
        <w:t xml:space="preserve"> for these end users, disconnection will occur in the following way</w:t>
      </w:r>
      <w:r w:rsidR="008166B9">
        <w:rPr>
          <w:rFonts w:asciiTheme="minorHAnsi" w:hAnsiTheme="minorHAnsi" w:cs="Arial"/>
          <w:color w:val="000000"/>
        </w:rPr>
        <w:t>:</w:t>
      </w:r>
    </w:p>
    <w:p w14:paraId="2257093B" w14:textId="77777777" w:rsidR="00514331" w:rsidRPr="00357795" w:rsidRDefault="00514331" w:rsidP="009475AE">
      <w:pPr>
        <w:pStyle w:val="ListParagraph"/>
        <w:autoSpaceDE w:val="0"/>
        <w:autoSpaceDN w:val="0"/>
        <w:adjustRightInd w:val="0"/>
        <w:spacing w:before="0" w:after="93" w:line="276" w:lineRule="auto"/>
        <w:ind w:left="340"/>
      </w:pPr>
    </w:p>
    <w:p w14:paraId="1CC365B3" w14:textId="17EAB767" w:rsidR="00831FD1" w:rsidRPr="00C80B5C" w:rsidRDefault="007E219E" w:rsidP="009475AE">
      <w:pPr>
        <w:numPr>
          <w:ilvl w:val="0"/>
          <w:numId w:val="31"/>
        </w:numPr>
        <w:autoSpaceDE w:val="0"/>
        <w:autoSpaceDN w:val="0"/>
        <w:adjustRightInd w:val="0"/>
        <w:spacing w:before="0" w:after="93" w:line="276" w:lineRule="auto"/>
        <w:contextualSpacing/>
      </w:pPr>
      <w:r w:rsidRPr="007E219E">
        <w:rPr>
          <w:rFonts w:asciiTheme="minorHAnsi" w:hAnsiTheme="minorHAnsi" w:cs="Arial"/>
          <w:color w:val="000000"/>
        </w:rPr>
        <w:t>Premises that are not In-Train Order Premises (and don’t have a special service at their premises as at the Disconnec</w:t>
      </w:r>
      <w:r w:rsidR="0079531B">
        <w:rPr>
          <w:rFonts w:asciiTheme="minorHAnsi" w:hAnsiTheme="minorHAnsi" w:cs="Arial"/>
          <w:color w:val="000000"/>
        </w:rPr>
        <w:t xml:space="preserve">tion Date) </w:t>
      </w:r>
      <w:r w:rsidR="00831FD1" w:rsidRPr="00831FD1">
        <w:rPr>
          <w:rFonts w:asciiTheme="minorHAnsi" w:hAnsiTheme="minorHAnsi" w:cs="Arial"/>
          <w:color w:val="000000"/>
        </w:rPr>
        <w:t>will</w:t>
      </w:r>
      <w:r w:rsidR="002A022C" w:rsidRPr="002A022C">
        <w:rPr>
          <w:rFonts w:asciiTheme="minorHAnsi" w:hAnsiTheme="minorHAnsi" w:cs="Arial"/>
          <w:color w:val="000000"/>
        </w:rPr>
        <w:t xml:space="preserve">, so far as practicable, </w:t>
      </w:r>
      <w:r w:rsidR="002A022C" w:rsidRPr="00831FD1">
        <w:rPr>
          <w:rFonts w:asciiTheme="minorHAnsi" w:hAnsiTheme="minorHAnsi" w:cs="Arial"/>
          <w:color w:val="000000"/>
        </w:rPr>
        <w:t>receive</w:t>
      </w:r>
      <w:r w:rsidR="00493BF7">
        <w:rPr>
          <w:rFonts w:asciiTheme="minorHAnsi" w:hAnsiTheme="minorHAnsi" w:cs="Arial"/>
          <w:color w:val="000000"/>
        </w:rPr>
        <w:t xml:space="preserve"> a soft dial tone service </w:t>
      </w:r>
      <w:r w:rsidR="002A022C">
        <w:rPr>
          <w:rFonts w:asciiTheme="minorHAnsi" w:hAnsiTheme="minorHAnsi" w:cs="Arial"/>
          <w:color w:val="000000"/>
        </w:rPr>
        <w:t xml:space="preserve">no later than fifteen </w:t>
      </w:r>
      <w:r w:rsidR="007B544C">
        <w:rPr>
          <w:rFonts w:asciiTheme="minorHAnsi" w:hAnsiTheme="minorHAnsi" w:cs="Arial"/>
          <w:color w:val="000000"/>
        </w:rPr>
        <w:t>business days after the Disconnection D</w:t>
      </w:r>
      <w:r w:rsidR="00831FD1" w:rsidRPr="00831FD1">
        <w:rPr>
          <w:rFonts w:asciiTheme="minorHAnsi" w:hAnsiTheme="minorHAnsi" w:cs="Arial"/>
          <w:color w:val="000000"/>
        </w:rPr>
        <w:t xml:space="preserve">ate. </w:t>
      </w:r>
      <w:r w:rsidR="00831FD1" w:rsidRPr="00040A8B">
        <w:rPr>
          <w:rFonts w:asciiTheme="minorHAnsi" w:hAnsiTheme="minorHAnsi" w:cs="Arial"/>
          <w:color w:val="000000"/>
        </w:rPr>
        <w:t>While Telstra implement</w:t>
      </w:r>
      <w:r w:rsidR="00215AF7">
        <w:rPr>
          <w:rFonts w:asciiTheme="minorHAnsi" w:hAnsiTheme="minorHAnsi" w:cs="Arial"/>
          <w:color w:val="000000"/>
        </w:rPr>
        <w:t>s</w:t>
      </w:r>
      <w:r w:rsidR="00831FD1" w:rsidRPr="00040A8B">
        <w:rPr>
          <w:rFonts w:asciiTheme="minorHAnsi" w:hAnsiTheme="minorHAnsi" w:cs="Arial"/>
          <w:color w:val="000000"/>
        </w:rPr>
        <w:t xml:space="preserve"> </w:t>
      </w:r>
      <w:r w:rsidR="00965ADC">
        <w:rPr>
          <w:rFonts w:asciiTheme="minorHAnsi" w:hAnsiTheme="minorHAnsi" w:cs="Arial"/>
          <w:color w:val="000000"/>
        </w:rPr>
        <w:t>soft dial tone</w:t>
      </w:r>
      <w:r w:rsidR="00831FD1" w:rsidRPr="00040A8B">
        <w:rPr>
          <w:rFonts w:asciiTheme="minorHAnsi" w:hAnsiTheme="minorHAnsi" w:cs="Arial"/>
          <w:color w:val="000000"/>
        </w:rPr>
        <w:t xml:space="preserve"> service for retail</w:t>
      </w:r>
      <w:r w:rsidR="00831FD1" w:rsidRPr="00831FD1">
        <w:rPr>
          <w:rFonts w:asciiTheme="minorHAnsi" w:hAnsiTheme="minorHAnsi" w:cs="Arial"/>
          <w:color w:val="000000"/>
        </w:rPr>
        <w:t xml:space="preserve"> and wholesale voice line rental customers, it will be up to the </w:t>
      </w:r>
      <w:r w:rsidR="00965ADC">
        <w:rPr>
          <w:rFonts w:asciiTheme="minorHAnsi" w:hAnsiTheme="minorHAnsi" w:cs="Arial"/>
          <w:color w:val="000000"/>
        </w:rPr>
        <w:t>unconditioned local loop service</w:t>
      </w:r>
      <w:r w:rsidR="00A70D30">
        <w:rPr>
          <w:rFonts w:asciiTheme="minorHAnsi" w:hAnsiTheme="minorHAnsi" w:cs="Arial"/>
          <w:color w:val="000000"/>
        </w:rPr>
        <w:t xml:space="preserve"> </w:t>
      </w:r>
      <w:r w:rsidR="00831FD1" w:rsidRPr="00831FD1">
        <w:rPr>
          <w:rFonts w:asciiTheme="minorHAnsi" w:hAnsiTheme="minorHAnsi" w:cs="Arial"/>
          <w:color w:val="000000"/>
        </w:rPr>
        <w:t>based operators to decide whether they also wish to provide customers with soft</w:t>
      </w:r>
      <w:r w:rsidR="00831FD1" w:rsidRPr="00040A8B">
        <w:rPr>
          <w:rFonts w:asciiTheme="minorHAnsi" w:hAnsiTheme="minorHAnsi" w:cs="Arial"/>
          <w:color w:val="000000"/>
        </w:rPr>
        <w:t xml:space="preserve"> dial tone</w:t>
      </w:r>
      <w:r w:rsidR="002A022C" w:rsidRPr="002A022C">
        <w:t xml:space="preserve"> </w:t>
      </w:r>
      <w:r w:rsidR="002A022C" w:rsidRPr="002A022C">
        <w:rPr>
          <w:rFonts w:asciiTheme="minorHAnsi" w:hAnsiTheme="minorHAnsi" w:cs="Arial"/>
          <w:color w:val="000000"/>
        </w:rPr>
        <w:t>or similar service restriction</w:t>
      </w:r>
      <w:r w:rsidR="00831FD1" w:rsidRPr="00040A8B">
        <w:rPr>
          <w:rFonts w:asciiTheme="minorHAnsi" w:hAnsiTheme="minorHAnsi" w:cs="Arial"/>
          <w:color w:val="000000"/>
        </w:rPr>
        <w:t>. Therefore while most premises will receive a soft dial tone, it will depend on the end user</w:t>
      </w:r>
      <w:r w:rsidR="00493BF7">
        <w:rPr>
          <w:rFonts w:asciiTheme="minorHAnsi" w:hAnsiTheme="minorHAnsi" w:cs="Arial"/>
          <w:color w:val="000000"/>
        </w:rPr>
        <w:t>’</w:t>
      </w:r>
      <w:r w:rsidR="00831FD1" w:rsidRPr="00040A8B">
        <w:rPr>
          <w:rFonts w:asciiTheme="minorHAnsi" w:hAnsiTheme="minorHAnsi" w:cs="Arial"/>
          <w:color w:val="000000"/>
        </w:rPr>
        <w:t>s RS</w:t>
      </w:r>
      <w:r w:rsidR="00831FD1" w:rsidRPr="00831FD1">
        <w:rPr>
          <w:rFonts w:asciiTheme="minorHAnsi" w:hAnsiTheme="minorHAnsi" w:cs="Arial"/>
          <w:color w:val="000000"/>
        </w:rPr>
        <w:t>P.</w:t>
      </w:r>
    </w:p>
    <w:p w14:paraId="41CFDF92" w14:textId="7E63C178" w:rsidR="0067478D" w:rsidRPr="00E30EBE" w:rsidRDefault="0067478D" w:rsidP="00CB4188">
      <w:pPr>
        <w:pStyle w:val="ListParagraph"/>
        <w:numPr>
          <w:ilvl w:val="0"/>
          <w:numId w:val="31"/>
        </w:numPr>
        <w:spacing w:line="276" w:lineRule="auto"/>
        <w:rPr>
          <w:rFonts w:asciiTheme="minorHAnsi" w:hAnsiTheme="minorHAnsi" w:cs="Arial"/>
          <w:color w:val="000000"/>
        </w:rPr>
      </w:pPr>
      <w:r w:rsidRPr="0067478D">
        <w:rPr>
          <w:rFonts w:asciiTheme="minorHAnsi" w:hAnsiTheme="minorHAnsi" w:cs="Arial"/>
          <w:color w:val="000000"/>
        </w:rPr>
        <w:t xml:space="preserve">Where a premises became connected </w:t>
      </w:r>
      <w:r w:rsidR="00CB4188">
        <w:rPr>
          <w:rFonts w:asciiTheme="minorHAnsi" w:hAnsiTheme="minorHAnsi" w:cs="Arial"/>
          <w:color w:val="000000"/>
        </w:rPr>
        <w:t xml:space="preserve">to nbn’s network </w:t>
      </w:r>
      <w:r w:rsidRPr="0067478D">
        <w:rPr>
          <w:rFonts w:asciiTheme="minorHAnsi" w:hAnsiTheme="minorHAnsi" w:cs="Arial"/>
          <w:color w:val="000000"/>
        </w:rPr>
        <w:t>shortl</w:t>
      </w:r>
      <w:r w:rsidR="00CB4188">
        <w:rPr>
          <w:rFonts w:asciiTheme="minorHAnsi" w:hAnsiTheme="minorHAnsi" w:cs="Arial"/>
          <w:color w:val="000000"/>
        </w:rPr>
        <w:t>y before the Disconnection Date,</w:t>
      </w:r>
      <w:r w:rsidRPr="0067478D">
        <w:rPr>
          <w:rFonts w:asciiTheme="minorHAnsi" w:hAnsiTheme="minorHAnsi" w:cs="Arial"/>
          <w:color w:val="000000"/>
        </w:rPr>
        <w:t xml:space="preserve"> or where there is a valid an</w:t>
      </w:r>
      <w:r w:rsidR="00CB4188">
        <w:rPr>
          <w:rFonts w:asciiTheme="minorHAnsi" w:hAnsiTheme="minorHAnsi" w:cs="Arial"/>
          <w:color w:val="000000"/>
        </w:rPr>
        <w:t xml:space="preserve">d open order for a </w:t>
      </w:r>
      <w:r w:rsidR="00CB4188" w:rsidRPr="00CB4188">
        <w:rPr>
          <w:rFonts w:asciiTheme="minorHAnsi" w:hAnsiTheme="minorHAnsi" w:cs="Arial"/>
          <w:color w:val="000000"/>
        </w:rPr>
        <w:t xml:space="preserve">national broadband network </w:t>
      </w:r>
      <w:r w:rsidRPr="0067478D">
        <w:rPr>
          <w:rFonts w:asciiTheme="minorHAnsi" w:hAnsiTheme="minorHAnsi" w:cs="Arial"/>
          <w:color w:val="000000"/>
        </w:rPr>
        <w:t xml:space="preserve">service at the premises </w:t>
      </w:r>
      <w:r w:rsidR="00CD5334" w:rsidRPr="00CD5334">
        <w:rPr>
          <w:rFonts w:asciiTheme="minorHAnsi" w:hAnsiTheme="minorHAnsi" w:cs="Arial"/>
          <w:color w:val="000000"/>
        </w:rPr>
        <w:t xml:space="preserve">and that order is received by nbn </w:t>
      </w:r>
      <w:r w:rsidRPr="0067478D">
        <w:rPr>
          <w:rFonts w:asciiTheme="minorHAnsi" w:hAnsiTheme="minorHAnsi" w:cs="Arial"/>
          <w:color w:val="000000"/>
        </w:rPr>
        <w:t xml:space="preserve">up to 25 business days after the Disconnection Date, existing copper or HFC services at the premises will be kept in place </w:t>
      </w:r>
      <w:r w:rsidR="00E30EBE" w:rsidRPr="00E30EBE">
        <w:rPr>
          <w:rFonts w:asciiTheme="minorHAnsi" w:hAnsiTheme="minorHAnsi" w:cs="Arial"/>
          <w:color w:val="000000"/>
        </w:rPr>
        <w:t>for a period after the Disconnection Date</w:t>
      </w:r>
      <w:r w:rsidRPr="0067478D">
        <w:rPr>
          <w:rFonts w:asciiTheme="minorHAnsi" w:hAnsiTheme="minorHAnsi" w:cs="Arial"/>
          <w:color w:val="000000"/>
        </w:rPr>
        <w:t xml:space="preserve">. For the most part, this allows </w:t>
      </w:r>
      <w:r w:rsidR="00771CB6">
        <w:rPr>
          <w:rFonts w:asciiTheme="minorHAnsi" w:hAnsiTheme="minorHAnsi" w:cs="Arial"/>
          <w:color w:val="000000"/>
        </w:rPr>
        <w:t>n</w:t>
      </w:r>
      <w:r w:rsidR="00601030">
        <w:rPr>
          <w:rFonts w:asciiTheme="minorHAnsi" w:hAnsiTheme="minorHAnsi" w:cs="Arial"/>
          <w:color w:val="000000"/>
        </w:rPr>
        <w:t>bn</w:t>
      </w:r>
      <w:r w:rsidRPr="0067478D">
        <w:rPr>
          <w:rFonts w:asciiTheme="minorHAnsi" w:hAnsiTheme="minorHAnsi" w:cs="Arial"/>
          <w:color w:val="000000"/>
        </w:rPr>
        <w:t xml:space="preserve"> and RSPs a period of </w:t>
      </w:r>
      <w:r w:rsidR="00E30EBE">
        <w:rPr>
          <w:rFonts w:asciiTheme="minorHAnsi" w:hAnsiTheme="minorHAnsi" w:cs="Arial"/>
          <w:color w:val="000000"/>
        </w:rPr>
        <w:t xml:space="preserve">up to </w:t>
      </w:r>
      <w:r w:rsidRPr="0067478D">
        <w:rPr>
          <w:rFonts w:asciiTheme="minorHAnsi" w:hAnsiTheme="minorHAnsi" w:cs="Arial"/>
          <w:color w:val="000000"/>
        </w:rPr>
        <w:t xml:space="preserve">approximately six months (i.e. 120 business days) after the Disconnection Date to complete the connection of an order and activation of an </w:t>
      </w:r>
      <w:r w:rsidR="00CB4188" w:rsidRPr="00CB4188">
        <w:rPr>
          <w:rFonts w:asciiTheme="minorHAnsi" w:hAnsiTheme="minorHAnsi" w:cs="Arial"/>
          <w:color w:val="000000"/>
        </w:rPr>
        <w:t>national broadband network</w:t>
      </w:r>
      <w:r w:rsidRPr="0067478D">
        <w:rPr>
          <w:rFonts w:asciiTheme="minorHAnsi" w:hAnsiTheme="minorHAnsi" w:cs="Arial"/>
          <w:color w:val="000000"/>
        </w:rPr>
        <w:t xml:space="preserve"> service before the final backstop date at which any legacy copper or HFC services (other than special services) are mandatorily disconnected</w:t>
      </w:r>
      <w:r>
        <w:rPr>
          <w:rFonts w:asciiTheme="minorHAnsi" w:hAnsiTheme="minorHAnsi" w:cs="Arial"/>
          <w:color w:val="000000"/>
        </w:rPr>
        <w:t>.</w:t>
      </w:r>
    </w:p>
    <w:p w14:paraId="7E0C8920" w14:textId="77777777" w:rsidR="00493BF7" w:rsidRPr="00493BF7" w:rsidRDefault="00493BF7" w:rsidP="009475AE">
      <w:pPr>
        <w:autoSpaceDE w:val="0"/>
        <w:autoSpaceDN w:val="0"/>
        <w:adjustRightInd w:val="0"/>
        <w:spacing w:before="0" w:after="93" w:line="276" w:lineRule="auto"/>
        <w:contextualSpacing/>
        <w:rPr>
          <w:rFonts w:asciiTheme="minorHAnsi" w:hAnsiTheme="minorHAnsi" w:cs="Arial"/>
          <w:color w:val="000000"/>
        </w:rPr>
      </w:pPr>
    </w:p>
    <w:p w14:paraId="3B083DF0" w14:textId="743C3585" w:rsidR="00CD5334" w:rsidRPr="00D023BE" w:rsidRDefault="00CD5334" w:rsidP="00CB4188">
      <w:pPr>
        <w:pStyle w:val="ListParagraph"/>
        <w:numPr>
          <w:ilvl w:val="0"/>
          <w:numId w:val="31"/>
        </w:numPr>
        <w:autoSpaceDE w:val="0"/>
        <w:autoSpaceDN w:val="0"/>
        <w:adjustRightInd w:val="0"/>
        <w:spacing w:before="0" w:after="93" w:line="276" w:lineRule="auto"/>
        <w:rPr>
          <w:rFonts w:asciiTheme="minorHAnsi" w:hAnsiTheme="minorHAnsi" w:cs="Arial"/>
          <w:color w:val="000000"/>
        </w:rPr>
      </w:pPr>
      <w:r w:rsidRPr="00D023BE">
        <w:rPr>
          <w:rFonts w:asciiTheme="minorHAnsi" w:hAnsiTheme="minorHAnsi" w:cs="Arial"/>
          <w:color w:val="000000"/>
        </w:rPr>
        <w:t xml:space="preserve">If end users do not take action within sufficient time to have their </w:t>
      </w:r>
      <w:r w:rsidR="00A0454D" w:rsidRPr="00D023BE">
        <w:rPr>
          <w:rFonts w:asciiTheme="minorHAnsi" w:hAnsiTheme="minorHAnsi" w:cs="Arial"/>
          <w:color w:val="000000"/>
        </w:rPr>
        <w:t xml:space="preserve">RSP </w:t>
      </w:r>
      <w:r w:rsidRPr="00D023BE">
        <w:rPr>
          <w:rFonts w:asciiTheme="minorHAnsi" w:hAnsiTheme="minorHAnsi" w:cs="Arial"/>
          <w:color w:val="000000"/>
        </w:rPr>
        <w:t xml:space="preserve">order placed with nbn and their </w:t>
      </w:r>
      <w:r w:rsidR="00CB4188" w:rsidRPr="00CB4188">
        <w:rPr>
          <w:rFonts w:asciiTheme="minorHAnsi" w:hAnsiTheme="minorHAnsi" w:cs="Arial"/>
          <w:color w:val="000000"/>
        </w:rPr>
        <w:t xml:space="preserve">national broadband network </w:t>
      </w:r>
      <w:r w:rsidRPr="00D023BE">
        <w:rPr>
          <w:rFonts w:asciiTheme="minorHAnsi" w:hAnsiTheme="minorHAnsi" w:cs="Arial"/>
          <w:color w:val="000000"/>
        </w:rPr>
        <w:t xml:space="preserve">connection completed by their </w:t>
      </w:r>
      <w:r w:rsidR="00947165">
        <w:rPr>
          <w:rFonts w:asciiTheme="minorHAnsi" w:hAnsiTheme="minorHAnsi" w:cs="Arial"/>
          <w:color w:val="000000"/>
        </w:rPr>
        <w:t>RSP</w:t>
      </w:r>
      <w:r w:rsidRPr="00D023BE">
        <w:rPr>
          <w:rFonts w:asciiTheme="minorHAnsi" w:hAnsiTheme="minorHAnsi" w:cs="Arial"/>
          <w:color w:val="000000"/>
        </w:rPr>
        <w:t>, they risk disruption to their service. Failure to take any action within the timeframes specified above will result in their copper service proceeding to be permanently disconnected shortly after the Disconnection Date.</w:t>
      </w:r>
    </w:p>
    <w:p w14:paraId="14747CA0" w14:textId="2BE93C67" w:rsidR="001235DF" w:rsidRPr="00AF587A" w:rsidRDefault="000C2467" w:rsidP="009475AE">
      <w:pPr>
        <w:spacing w:after="120" w:line="276" w:lineRule="auto"/>
        <w:rPr>
          <w:rFonts w:asciiTheme="minorHAnsi" w:hAnsiTheme="minorHAnsi" w:cs="Arial"/>
          <w:color w:val="000000"/>
        </w:rPr>
      </w:pPr>
      <w:r>
        <w:rPr>
          <w:rFonts w:asciiTheme="minorHAnsi" w:hAnsiTheme="minorHAnsi" w:cs="Arial"/>
          <w:color w:val="000000"/>
        </w:rPr>
        <w:br w:type="page"/>
      </w:r>
      <w:bookmarkStart w:id="69" w:name="_Toc405800025"/>
      <w:bookmarkStart w:id="70" w:name="_Toc405800026"/>
      <w:bookmarkStart w:id="71" w:name="_Toc405800027"/>
      <w:bookmarkStart w:id="72" w:name="_Toc405800028"/>
      <w:bookmarkStart w:id="73" w:name="_Toc405800029"/>
      <w:bookmarkStart w:id="74" w:name="_Toc405800030"/>
      <w:bookmarkStart w:id="75" w:name="_Toc405800031"/>
      <w:bookmarkEnd w:id="69"/>
      <w:bookmarkEnd w:id="70"/>
      <w:bookmarkEnd w:id="71"/>
      <w:bookmarkEnd w:id="72"/>
      <w:bookmarkEnd w:id="73"/>
      <w:bookmarkEnd w:id="74"/>
      <w:bookmarkEnd w:id="75"/>
    </w:p>
    <w:p w14:paraId="43C687B7" w14:textId="0E011E60" w:rsidR="00190135" w:rsidRPr="00190135" w:rsidRDefault="00921A06" w:rsidP="009475AE">
      <w:pPr>
        <w:pStyle w:val="Heading1"/>
        <w:spacing w:line="276" w:lineRule="auto"/>
      </w:pPr>
      <w:bookmarkStart w:id="76" w:name="_Toc406491077"/>
      <w:bookmarkStart w:id="77" w:name="_Toc406497286"/>
      <w:bookmarkStart w:id="78" w:name="_Toc422237733"/>
      <w:r w:rsidRPr="00D125B6">
        <w:t>Migration and disconnection process – key docu</w:t>
      </w:r>
      <w:bookmarkEnd w:id="76"/>
      <w:bookmarkEnd w:id="77"/>
      <w:r w:rsidR="00190135">
        <w:t>ments</w:t>
      </w:r>
      <w:bookmarkEnd w:id="78"/>
    </w:p>
    <w:p w14:paraId="2E7CF9F4" w14:textId="09CE3BEA" w:rsidR="00190135" w:rsidRDefault="0089371F" w:rsidP="0089371F">
      <w:pPr>
        <w:spacing w:before="0" w:line="276" w:lineRule="auto"/>
        <w:jc w:val="center"/>
        <w:rPr>
          <w:rFonts w:eastAsia="Calibri" w:cs="Times New Roman"/>
          <w:i/>
        </w:rPr>
      </w:pPr>
      <w:r>
        <w:rPr>
          <w:rFonts w:eastAsia="Calibri" w:cs="Times New Roman"/>
          <w:i/>
          <w:noProof/>
          <w:lang w:eastAsia="en-AU"/>
        </w:rPr>
        <w:drawing>
          <wp:inline distT="0" distB="0" distL="0" distR="0" wp14:anchorId="5E962C67" wp14:editId="27E88F5C">
            <wp:extent cx="5287896" cy="3373984"/>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7342" cy="3380011"/>
                    </a:xfrm>
                    <a:prstGeom prst="rect">
                      <a:avLst/>
                    </a:prstGeom>
                    <a:noFill/>
                    <a:ln>
                      <a:noFill/>
                    </a:ln>
                  </pic:spPr>
                </pic:pic>
              </a:graphicData>
            </a:graphic>
          </wp:inline>
        </w:drawing>
      </w:r>
    </w:p>
    <w:p w14:paraId="7543210A" w14:textId="257C14AC" w:rsidR="0079531B" w:rsidRPr="0079531B" w:rsidRDefault="0079531B" w:rsidP="009475AE">
      <w:pPr>
        <w:spacing w:before="0" w:line="276" w:lineRule="auto"/>
        <w:rPr>
          <w:rFonts w:eastAsia="Calibri" w:cs="Times New Roman"/>
          <w:i/>
        </w:rPr>
      </w:pPr>
      <w:r w:rsidRPr="0079531B">
        <w:rPr>
          <w:rFonts w:eastAsia="Calibri" w:cs="Times New Roman"/>
          <w:i/>
        </w:rPr>
        <w:t>N</w:t>
      </w:r>
      <w:r w:rsidR="00CA379A">
        <w:rPr>
          <w:rFonts w:eastAsia="Calibri" w:cs="Times New Roman"/>
          <w:i/>
        </w:rPr>
        <w:t>B</w:t>
      </w:r>
      <w:r w:rsidRPr="0079531B">
        <w:rPr>
          <w:rFonts w:eastAsia="Calibri" w:cs="Times New Roman"/>
          <w:i/>
        </w:rPr>
        <w:t>. This diagram is a simplification of the actual arrangements for diagrammatic purposes only</w:t>
      </w:r>
      <w:r>
        <w:rPr>
          <w:rFonts w:eastAsia="Calibri" w:cs="Times New Roman"/>
          <w:i/>
        </w:rPr>
        <w:t>.</w:t>
      </w:r>
    </w:p>
    <w:p w14:paraId="010ADC08" w14:textId="77777777" w:rsidR="0079531B" w:rsidRDefault="0079531B" w:rsidP="009475AE">
      <w:pPr>
        <w:spacing w:before="0" w:line="276" w:lineRule="auto"/>
        <w:rPr>
          <w:rFonts w:eastAsia="Calibri" w:cs="Times New Roman"/>
        </w:rPr>
      </w:pPr>
    </w:p>
    <w:p w14:paraId="6B2CCCD1" w14:textId="7FEB9743" w:rsidR="003840BF" w:rsidRPr="003840BF" w:rsidRDefault="003840BF" w:rsidP="009475AE">
      <w:pPr>
        <w:spacing w:before="0" w:line="276" w:lineRule="auto"/>
        <w:rPr>
          <w:rFonts w:eastAsia="Calibri" w:cs="Times New Roman"/>
        </w:rPr>
      </w:pPr>
      <w:r w:rsidRPr="003840BF">
        <w:rPr>
          <w:rFonts w:eastAsia="Calibri" w:cs="Times New Roman"/>
        </w:rPr>
        <w:t xml:space="preserve">There are a number of commercial, regulatory and other arrangements that relate to aspects of the processes for disconnecting </w:t>
      </w:r>
      <w:r w:rsidR="00106B9A">
        <w:rPr>
          <w:rFonts w:eastAsia="Calibri" w:cs="Times New Roman"/>
        </w:rPr>
        <w:t>end user</w:t>
      </w:r>
      <w:r w:rsidR="00106B9A" w:rsidRPr="003840BF">
        <w:rPr>
          <w:rFonts w:eastAsia="Calibri" w:cs="Times New Roman"/>
        </w:rPr>
        <w:t xml:space="preserve">s </w:t>
      </w:r>
      <w:r w:rsidRPr="003840BF">
        <w:rPr>
          <w:rFonts w:eastAsia="Calibri" w:cs="Times New Roman"/>
        </w:rPr>
        <w:t xml:space="preserve">from Telstra existing networks and migrating them to </w:t>
      </w:r>
      <w:r w:rsidR="00CB4188">
        <w:rPr>
          <w:rFonts w:eastAsia="Calibri" w:cs="Times New Roman"/>
        </w:rPr>
        <w:t xml:space="preserve">the </w:t>
      </w:r>
      <w:r w:rsidR="00CB4188" w:rsidRPr="00CB4188">
        <w:rPr>
          <w:rFonts w:eastAsia="Calibri" w:cs="Times New Roman"/>
        </w:rPr>
        <w:t>national broadband network</w:t>
      </w:r>
      <w:r w:rsidRPr="003840BF">
        <w:rPr>
          <w:rFonts w:eastAsia="Calibri" w:cs="Times New Roman"/>
        </w:rPr>
        <w:t>. The summary below has been provided to assist stakeholders to better understand the current migration governance arrangements about which the Department is seeking comment.</w:t>
      </w:r>
    </w:p>
    <w:p w14:paraId="30BA63DD" w14:textId="77777777" w:rsidR="003840BF" w:rsidRPr="003840BF" w:rsidRDefault="003840BF" w:rsidP="009475AE">
      <w:pPr>
        <w:spacing w:before="0" w:line="276" w:lineRule="auto"/>
        <w:rPr>
          <w:rFonts w:eastAsia="Calibri" w:cs="Times New Roman"/>
        </w:rPr>
      </w:pPr>
    </w:p>
    <w:p w14:paraId="7995EB86" w14:textId="3D07E26C" w:rsidR="003840BF" w:rsidRPr="00EB7952" w:rsidRDefault="003840BF" w:rsidP="009475AE">
      <w:pPr>
        <w:spacing w:before="0" w:line="276" w:lineRule="auto"/>
        <w:rPr>
          <w:rFonts w:eastAsia="Calibri" w:cs="Times New Roman"/>
          <w:b/>
        </w:rPr>
      </w:pPr>
      <w:r w:rsidRPr="003840BF">
        <w:rPr>
          <w:rFonts w:eastAsia="Calibri" w:cs="Times New Roman"/>
          <w:b/>
        </w:rPr>
        <w:t>Definitive Agreements</w:t>
      </w:r>
      <w:r w:rsidR="00EB7952">
        <w:rPr>
          <w:rFonts w:eastAsia="Calibri" w:cs="Times New Roman"/>
          <w:b/>
        </w:rPr>
        <w:t xml:space="preserve"> between </w:t>
      </w:r>
      <w:r w:rsidR="00771CB6">
        <w:rPr>
          <w:rFonts w:eastAsia="Calibri" w:cs="Times New Roman"/>
          <w:b/>
        </w:rPr>
        <w:t>n</w:t>
      </w:r>
      <w:r w:rsidR="00601030">
        <w:rPr>
          <w:rFonts w:eastAsia="Calibri" w:cs="Times New Roman"/>
          <w:b/>
        </w:rPr>
        <w:t>bn</w:t>
      </w:r>
      <w:r w:rsidR="00EB7952">
        <w:rPr>
          <w:rFonts w:eastAsia="Calibri" w:cs="Times New Roman"/>
          <w:b/>
        </w:rPr>
        <w:t xml:space="preserve"> and Telstra</w:t>
      </w:r>
    </w:p>
    <w:p w14:paraId="0490E121" w14:textId="2D8F66A8" w:rsidR="0079531B" w:rsidRPr="003840BF" w:rsidRDefault="00E30EBE" w:rsidP="009475AE">
      <w:pPr>
        <w:spacing w:before="0" w:line="276" w:lineRule="auto"/>
        <w:rPr>
          <w:rFonts w:eastAsia="Calibri" w:cs="Times New Roman"/>
        </w:rPr>
      </w:pPr>
      <w:r>
        <w:rPr>
          <w:rFonts w:eastAsia="Calibri" w:cs="Times New Roman"/>
        </w:rPr>
        <w:t>The Definitive Agreements s</w:t>
      </w:r>
      <w:r w:rsidRPr="00E30EBE">
        <w:rPr>
          <w:rFonts w:eastAsia="Calibri" w:cs="Times New Roman"/>
        </w:rPr>
        <w:t>ets</w:t>
      </w:r>
      <w:r w:rsidR="0079531B" w:rsidRPr="00461CBD">
        <w:rPr>
          <w:rFonts w:eastAsia="Calibri" w:cs="Times New Roman"/>
        </w:rPr>
        <w:t xml:space="preserve"> out the commercial arrangements for the disconnection of </w:t>
      </w:r>
      <w:r w:rsidR="0079531B" w:rsidRPr="0049068A">
        <w:rPr>
          <w:rFonts w:eastAsia="Calibri" w:cs="Times New Roman"/>
        </w:rPr>
        <w:t xml:space="preserve">premises in the </w:t>
      </w:r>
      <w:r w:rsidR="00771CB6">
        <w:rPr>
          <w:rFonts w:eastAsia="Calibri" w:cs="Times New Roman"/>
        </w:rPr>
        <w:t>n</w:t>
      </w:r>
      <w:r w:rsidR="00601030">
        <w:rPr>
          <w:rFonts w:eastAsia="Calibri" w:cs="Times New Roman"/>
        </w:rPr>
        <w:t>bn</w:t>
      </w:r>
      <w:r w:rsidR="0079531B" w:rsidRPr="0049068A">
        <w:rPr>
          <w:rFonts w:eastAsia="Calibri" w:cs="Times New Roman"/>
        </w:rPr>
        <w:t xml:space="preserve"> Fibre Footprint</w:t>
      </w:r>
      <w:r w:rsidR="0079531B" w:rsidRPr="00461CBD">
        <w:rPr>
          <w:rFonts w:eastAsia="Calibri" w:cs="Times New Roman"/>
        </w:rPr>
        <w:t xml:space="preserve"> from </w:t>
      </w:r>
      <w:r w:rsidR="0079531B" w:rsidRPr="0049068A">
        <w:rPr>
          <w:rFonts w:eastAsia="Calibri" w:cs="Times New Roman"/>
        </w:rPr>
        <w:t>Telstra's</w:t>
      </w:r>
      <w:r w:rsidR="0079531B" w:rsidRPr="00461CBD">
        <w:rPr>
          <w:rFonts w:eastAsia="Calibri" w:cs="Times New Roman"/>
        </w:rPr>
        <w:t xml:space="preserve"> copper and </w:t>
      </w:r>
      <w:r w:rsidR="0079531B">
        <w:rPr>
          <w:rFonts w:eastAsia="Calibri" w:cs="Times New Roman"/>
        </w:rPr>
        <w:t>HFC</w:t>
      </w:r>
      <w:r w:rsidR="0079531B" w:rsidRPr="00461CBD">
        <w:rPr>
          <w:rFonts w:eastAsia="Calibri" w:cs="Times New Roman"/>
        </w:rPr>
        <w:t xml:space="preserve"> networks (and also disconnection of </w:t>
      </w:r>
      <w:r w:rsidR="0079531B" w:rsidRPr="00461CBD">
        <w:rPr>
          <w:lang w:val="en-GB"/>
        </w:rPr>
        <w:t>interim wireless and interim fibre services provide</w:t>
      </w:r>
      <w:r w:rsidR="00CB4188">
        <w:rPr>
          <w:lang w:val="en-GB"/>
        </w:rPr>
        <w:t xml:space="preserve">d by Telstra to premises in </w:t>
      </w:r>
      <w:r w:rsidR="00771CB6">
        <w:rPr>
          <w:lang w:val="en-GB"/>
        </w:rPr>
        <w:t>n</w:t>
      </w:r>
      <w:r w:rsidR="00601030">
        <w:rPr>
          <w:lang w:val="en-GB"/>
        </w:rPr>
        <w:t>bn</w:t>
      </w:r>
      <w:r w:rsidR="00CA379A">
        <w:rPr>
          <w:lang w:val="en-GB"/>
        </w:rPr>
        <w:t xml:space="preserve">’s network </w:t>
      </w:r>
      <w:r w:rsidR="0079531B" w:rsidRPr="00461CBD">
        <w:rPr>
          <w:lang w:val="en-GB"/>
        </w:rPr>
        <w:t>Fibre Footprint)</w:t>
      </w:r>
      <w:r w:rsidR="0079531B">
        <w:rPr>
          <w:lang w:val="en-GB"/>
        </w:rPr>
        <w:t>. It also sets</w:t>
      </w:r>
      <w:r w:rsidR="0079531B" w:rsidRPr="00461CBD">
        <w:rPr>
          <w:lang w:val="en-GB"/>
        </w:rPr>
        <w:t xml:space="preserve"> </w:t>
      </w:r>
      <w:r w:rsidR="0079531B">
        <w:rPr>
          <w:rFonts w:eastAsia="Calibri" w:cs="Times New Roman"/>
        </w:rPr>
        <w:t>out</w:t>
      </w:r>
      <w:r w:rsidR="004C607D">
        <w:rPr>
          <w:rFonts w:eastAsia="Calibri" w:cs="Times New Roman"/>
        </w:rPr>
        <w:t xml:space="preserve"> </w:t>
      </w:r>
      <w:r w:rsidR="00771CB6">
        <w:rPr>
          <w:rFonts w:eastAsia="Calibri" w:cs="Times New Roman"/>
        </w:rPr>
        <w:t>n</w:t>
      </w:r>
      <w:r w:rsidR="00601030">
        <w:rPr>
          <w:rFonts w:eastAsia="Calibri" w:cs="Times New Roman"/>
        </w:rPr>
        <w:t>bn</w:t>
      </w:r>
      <w:r w:rsidR="0079531B" w:rsidRPr="00461CBD">
        <w:rPr>
          <w:rFonts w:eastAsia="Calibri" w:cs="Times New Roman"/>
        </w:rPr>
        <w:t xml:space="preserve"> access </w:t>
      </w:r>
      <w:r w:rsidR="004C607D">
        <w:rPr>
          <w:rFonts w:eastAsia="Calibri" w:cs="Times New Roman"/>
        </w:rPr>
        <w:t xml:space="preserve">to </w:t>
      </w:r>
      <w:r w:rsidR="0079531B" w:rsidRPr="00461CBD">
        <w:rPr>
          <w:rFonts w:eastAsia="Calibri" w:cs="Times New Roman"/>
        </w:rPr>
        <w:t>certain Telstra infrastructure</w:t>
      </w:r>
      <w:r w:rsidR="004C607D">
        <w:rPr>
          <w:rFonts w:eastAsia="Calibri" w:cs="Times New Roman"/>
        </w:rPr>
        <w:t>. T</w:t>
      </w:r>
      <w:r w:rsidR="0079531B" w:rsidRPr="003840BF">
        <w:rPr>
          <w:rFonts w:eastAsia="Calibri" w:cs="Times New Roman"/>
        </w:rPr>
        <w:t>hese arrangements facilitate the structural separation of Telstra.</w:t>
      </w:r>
      <w:r w:rsidR="0079531B">
        <w:rPr>
          <w:rFonts w:eastAsia="Calibri" w:cs="Times New Roman"/>
        </w:rPr>
        <w:t xml:space="preserve"> </w:t>
      </w:r>
      <w:r w:rsidR="0079531B" w:rsidRPr="003840BF">
        <w:rPr>
          <w:rFonts w:eastAsia="Calibri" w:cs="Times New Roman"/>
        </w:rPr>
        <w:t xml:space="preserve">The disconnection arrangements are set out in the Disconnection Protocols which are part of the </w:t>
      </w:r>
      <w:r w:rsidR="0079531B">
        <w:rPr>
          <w:rFonts w:eastAsia="Calibri" w:cs="Times New Roman"/>
        </w:rPr>
        <w:t>Definitive Agreements</w:t>
      </w:r>
      <w:r w:rsidR="0079531B" w:rsidRPr="003840BF">
        <w:rPr>
          <w:rFonts w:eastAsia="Calibri" w:cs="Times New Roman"/>
        </w:rPr>
        <w:t>.</w:t>
      </w:r>
    </w:p>
    <w:p w14:paraId="5C63225E" w14:textId="33197117" w:rsidR="00FE7E5B" w:rsidRDefault="00FE7E5B" w:rsidP="009475AE">
      <w:pPr>
        <w:spacing w:before="0" w:line="276" w:lineRule="auto"/>
        <w:rPr>
          <w:rFonts w:eastAsia="Calibri" w:cs="Times New Roman"/>
          <w:b/>
        </w:rPr>
      </w:pPr>
    </w:p>
    <w:p w14:paraId="45E3C489" w14:textId="77777777" w:rsidR="003840BF" w:rsidRPr="00EB7952" w:rsidRDefault="003840BF" w:rsidP="009475AE">
      <w:pPr>
        <w:spacing w:before="0" w:line="276" w:lineRule="auto"/>
        <w:ind w:left="360" w:hanging="360"/>
        <w:rPr>
          <w:rFonts w:eastAsia="Calibri" w:cs="Times New Roman"/>
          <w:b/>
        </w:rPr>
      </w:pPr>
      <w:r w:rsidRPr="003840BF">
        <w:rPr>
          <w:rFonts w:eastAsia="Calibri" w:cs="Times New Roman"/>
          <w:b/>
        </w:rPr>
        <w:t>Migration Plan Principles and Specified Ma</w:t>
      </w:r>
      <w:r w:rsidR="00EB7952">
        <w:rPr>
          <w:rFonts w:eastAsia="Calibri" w:cs="Times New Roman"/>
          <w:b/>
        </w:rPr>
        <w:t>tters Instrument</w:t>
      </w:r>
    </w:p>
    <w:p w14:paraId="459CE99E" w14:textId="77777777" w:rsidR="00190135" w:rsidRDefault="003840BF" w:rsidP="009475AE">
      <w:pPr>
        <w:spacing w:before="0" w:line="276" w:lineRule="auto"/>
        <w:rPr>
          <w:rFonts w:eastAsia="Calibri" w:cs="Times New Roman"/>
          <w:sz w:val="23"/>
          <w:szCs w:val="23"/>
        </w:rPr>
      </w:pPr>
      <w:r w:rsidRPr="003840BF">
        <w:rPr>
          <w:rFonts w:eastAsia="Calibri" w:cs="Times New Roman"/>
          <w:sz w:val="23"/>
          <w:szCs w:val="23"/>
        </w:rPr>
        <w:t xml:space="preserve">Under the </w:t>
      </w:r>
      <w:r w:rsidRPr="003840BF">
        <w:rPr>
          <w:rFonts w:eastAsia="Calibri" w:cs="Times New Roman"/>
          <w:i/>
          <w:sz w:val="23"/>
          <w:szCs w:val="23"/>
        </w:rPr>
        <w:t>Telecommunications Act 1997</w:t>
      </w:r>
      <w:r w:rsidRPr="003840BF">
        <w:rPr>
          <w:rFonts w:eastAsia="Calibri" w:cs="Times New Roman"/>
          <w:sz w:val="23"/>
          <w:szCs w:val="23"/>
        </w:rPr>
        <w:t xml:space="preserve"> the Minister for Communications may make two instruments, known as the Migration Plan Principles and the Specified Matters Instrument, which set the required scope of Telstra’s Migration Plan. The </w:t>
      </w:r>
      <w:r w:rsidR="00073C11">
        <w:t>Australian Competition and Consumer Commission</w:t>
      </w:r>
      <w:r w:rsidRPr="003840BF">
        <w:rPr>
          <w:rFonts w:eastAsia="Calibri" w:cs="Times New Roman"/>
          <w:sz w:val="23"/>
          <w:szCs w:val="23"/>
        </w:rPr>
        <w:t xml:space="preserve"> must accept Telstra’s Migration Plan if it </w:t>
      </w:r>
      <w:r w:rsidR="00AC237D">
        <w:rPr>
          <w:rFonts w:eastAsia="Calibri" w:cs="Times New Roman"/>
          <w:sz w:val="23"/>
          <w:szCs w:val="23"/>
        </w:rPr>
        <w:t xml:space="preserve">is </w:t>
      </w:r>
      <w:r w:rsidRPr="003840BF">
        <w:rPr>
          <w:rFonts w:eastAsia="Calibri" w:cs="Times New Roman"/>
          <w:sz w:val="23"/>
          <w:szCs w:val="23"/>
        </w:rPr>
        <w:t xml:space="preserve">satisfied the Plan complies with the Migration Plan Principles. </w:t>
      </w:r>
      <w:r w:rsidR="00AC237D">
        <w:rPr>
          <w:rFonts w:eastAsia="Calibri" w:cs="Times New Roman"/>
          <w:sz w:val="23"/>
          <w:szCs w:val="23"/>
        </w:rPr>
        <w:br/>
      </w:r>
    </w:p>
    <w:p w14:paraId="36601CB3" w14:textId="12B7FF21" w:rsidR="003840BF" w:rsidRPr="00AF587A" w:rsidRDefault="003840BF" w:rsidP="009475AE">
      <w:pPr>
        <w:spacing w:before="0" w:line="276" w:lineRule="auto"/>
        <w:rPr>
          <w:rFonts w:eastAsia="Calibri" w:cs="Times New Roman"/>
          <w:sz w:val="23"/>
          <w:szCs w:val="23"/>
        </w:rPr>
      </w:pPr>
      <w:r w:rsidRPr="003840BF">
        <w:rPr>
          <w:rFonts w:eastAsia="Calibri" w:cs="Times New Roman"/>
          <w:sz w:val="23"/>
          <w:szCs w:val="23"/>
        </w:rPr>
        <w:t xml:space="preserve">The Specified Matters Instrument sets out matters which </w:t>
      </w:r>
      <w:r w:rsidR="004214D3">
        <w:rPr>
          <w:rFonts w:eastAsia="Calibri" w:cs="Times New Roman"/>
          <w:sz w:val="23"/>
          <w:szCs w:val="23"/>
        </w:rPr>
        <w:t>may,</w:t>
      </w:r>
      <w:r w:rsidRPr="003840BF">
        <w:rPr>
          <w:rFonts w:eastAsia="Calibri" w:cs="Times New Roman"/>
          <w:sz w:val="23"/>
          <w:szCs w:val="23"/>
        </w:rPr>
        <w:t xml:space="preserve"> or must not, be included in Telstra’s Migration Plan and any additional matters not dealt with in the Migration Plan Principles.</w:t>
      </w:r>
    </w:p>
    <w:p w14:paraId="0821C301" w14:textId="77777777" w:rsidR="0089371F" w:rsidRDefault="0089371F" w:rsidP="009475AE">
      <w:pPr>
        <w:spacing w:before="0" w:line="276" w:lineRule="auto"/>
        <w:rPr>
          <w:rFonts w:eastAsia="Calibri" w:cs="Times New Roman"/>
          <w:b/>
        </w:rPr>
      </w:pPr>
    </w:p>
    <w:p w14:paraId="0BE2FED8" w14:textId="77777777" w:rsidR="002A2975" w:rsidRDefault="002A2975" w:rsidP="009475AE">
      <w:pPr>
        <w:spacing w:before="0" w:line="276" w:lineRule="auto"/>
        <w:rPr>
          <w:rFonts w:eastAsia="Calibri" w:cs="Times New Roman"/>
          <w:b/>
        </w:rPr>
      </w:pPr>
    </w:p>
    <w:p w14:paraId="2039C922" w14:textId="1242B1AB" w:rsidR="003840BF" w:rsidRPr="00EB7952" w:rsidRDefault="003840BF" w:rsidP="009475AE">
      <w:pPr>
        <w:spacing w:before="0" w:line="276" w:lineRule="auto"/>
        <w:rPr>
          <w:rFonts w:eastAsia="Calibri" w:cs="Times New Roman"/>
          <w:b/>
        </w:rPr>
      </w:pPr>
      <w:r w:rsidRPr="003840BF">
        <w:rPr>
          <w:rFonts w:eastAsia="Calibri" w:cs="Times New Roman"/>
          <w:b/>
        </w:rPr>
        <w:t xml:space="preserve">Telstra’s Migration Plan </w:t>
      </w:r>
    </w:p>
    <w:p w14:paraId="63E5E97A" w14:textId="1047D553" w:rsidR="003840BF" w:rsidRPr="003840BF" w:rsidRDefault="00A54D5B" w:rsidP="009475AE">
      <w:pPr>
        <w:spacing w:before="0" w:line="276" w:lineRule="auto"/>
        <w:rPr>
          <w:rFonts w:eastAsia="Calibri" w:cs="Times New Roman"/>
        </w:rPr>
      </w:pPr>
      <w:r w:rsidRPr="00A54D5B">
        <w:rPr>
          <w:rFonts w:eastAsia="Calibri" w:cs="Times New Roman"/>
        </w:rPr>
        <w:t xml:space="preserve">On 27 February 2012, the Australian Competition and Consumer Commission approved Telstra’s current Migration Plan which sets out the actions Telstra will take when disconnecting end users from its copper and </w:t>
      </w:r>
      <w:r w:rsidR="002A2975">
        <w:rPr>
          <w:rFonts w:eastAsia="Calibri" w:cs="Times New Roman"/>
        </w:rPr>
        <w:t>HFC</w:t>
      </w:r>
      <w:r w:rsidRPr="00A54D5B">
        <w:rPr>
          <w:rFonts w:eastAsia="Calibri" w:cs="Times New Roman"/>
        </w:rPr>
        <w:t xml:space="preserve"> networks. Disconnection under the Migration Plan gives effect to Telstra’s Structural Separation Undertaking and reflects the commercial arrangements set out in the Disconnection Protocols.</w:t>
      </w:r>
    </w:p>
    <w:p w14:paraId="063ADC25" w14:textId="77777777" w:rsidR="003840BF" w:rsidRPr="003840BF" w:rsidRDefault="003840BF" w:rsidP="009475AE">
      <w:pPr>
        <w:spacing w:before="0" w:line="276" w:lineRule="auto"/>
        <w:rPr>
          <w:rFonts w:eastAsia="Calibri" w:cs="Times New Roman"/>
        </w:rPr>
      </w:pPr>
    </w:p>
    <w:p w14:paraId="06FBB98E" w14:textId="6AEEE5D6" w:rsidR="004214D3" w:rsidRDefault="003840BF" w:rsidP="009475AE">
      <w:pPr>
        <w:spacing w:before="0" w:line="276" w:lineRule="auto"/>
        <w:rPr>
          <w:rFonts w:eastAsia="Calibri" w:cs="Times New Roman"/>
        </w:rPr>
      </w:pPr>
      <w:r w:rsidRPr="003840BF">
        <w:rPr>
          <w:rFonts w:eastAsia="Calibri" w:cs="Times New Roman"/>
        </w:rPr>
        <w:t xml:space="preserve">Telstra’s Migration Plan </w:t>
      </w:r>
      <w:r w:rsidR="003B7812">
        <w:rPr>
          <w:rFonts w:eastAsia="Calibri" w:cs="Times New Roman"/>
        </w:rPr>
        <w:t>seeks to provide</w:t>
      </w:r>
      <w:r w:rsidRPr="003840BF">
        <w:rPr>
          <w:rFonts w:eastAsia="Calibri" w:cs="Times New Roman"/>
        </w:rPr>
        <w:t xml:space="preserve"> wholesale customers with control over the timing of the migration of t</w:t>
      </w:r>
      <w:r w:rsidR="00CB4188">
        <w:rPr>
          <w:rFonts w:eastAsia="Calibri" w:cs="Times New Roman"/>
        </w:rPr>
        <w:t xml:space="preserve">heir end users’ services to </w:t>
      </w:r>
      <w:r w:rsidR="00CA379A">
        <w:rPr>
          <w:rFonts w:eastAsia="Calibri" w:cs="Times New Roman"/>
        </w:rPr>
        <w:t>nbn’s network</w:t>
      </w:r>
      <w:r w:rsidR="002A022C">
        <w:rPr>
          <w:rFonts w:eastAsia="Calibri" w:cs="Times New Roman"/>
        </w:rPr>
        <w:t xml:space="preserve"> </w:t>
      </w:r>
      <w:r w:rsidR="002A022C" w:rsidRPr="002A022C">
        <w:rPr>
          <w:rFonts w:eastAsia="Calibri" w:cs="Times New Roman"/>
        </w:rPr>
        <w:t>(to the extent they can)</w:t>
      </w:r>
      <w:r w:rsidRPr="003840BF">
        <w:rPr>
          <w:rFonts w:eastAsia="Calibri" w:cs="Times New Roman"/>
        </w:rPr>
        <w:t xml:space="preserve">, although this migration must occur within the 18 month migration period. Telstra has committed to using existing ‘business as usual’ processes where possible for disconnecting premises. </w:t>
      </w:r>
      <w:r w:rsidR="00E30EBE" w:rsidRPr="00FD5FA3">
        <w:rPr>
          <w:rFonts w:eastAsia="Calibri" w:cs="Times New Roman"/>
        </w:rPr>
        <w:t>Telstra lodged a draft varied Migration Plan with the ACCC on 20 March 2015. For information, please visit the ACCC website.</w:t>
      </w:r>
      <w:r w:rsidR="00190135" w:rsidRPr="00190135">
        <w:rPr>
          <w:rFonts w:eastAsia="Calibri" w:cs="Times New Roman"/>
        </w:rPr>
        <w:t xml:space="preserve"> </w:t>
      </w:r>
      <w:r w:rsidR="00190135" w:rsidRPr="003840BF">
        <w:rPr>
          <w:rFonts w:eastAsia="Calibri" w:cs="Times New Roman"/>
        </w:rPr>
        <w:t xml:space="preserve">For more information, please visit: </w:t>
      </w:r>
      <w:hyperlink r:id="rId13" w:history="1">
        <w:r w:rsidR="004214D3" w:rsidRPr="00F03B9F">
          <w:rPr>
            <w:rStyle w:val="Hyperlink"/>
            <w:rFonts w:eastAsia="Calibri" w:cs="Times New Roman"/>
          </w:rPr>
          <w:t>https://www.accc.gov.au/regulated-infrastructure/communications/industry-reform/telstras-migration-plan/variation-request-submitted-multi-technology-nbn-revised-definitive-agreements</w:t>
        </w:r>
      </w:hyperlink>
    </w:p>
    <w:p w14:paraId="435DB107" w14:textId="2B1AB13D" w:rsidR="000C2467" w:rsidRPr="004214D3" w:rsidRDefault="000C2467" w:rsidP="009475AE">
      <w:pPr>
        <w:spacing w:before="0" w:line="276" w:lineRule="auto"/>
        <w:rPr>
          <w:rFonts w:eastAsia="Calibri" w:cs="Times New Roman"/>
        </w:rPr>
      </w:pPr>
    </w:p>
    <w:p w14:paraId="42BF9FC4" w14:textId="11EAA993" w:rsidR="003840BF" w:rsidRPr="00EB7952" w:rsidRDefault="00771CB6" w:rsidP="009475AE">
      <w:pPr>
        <w:spacing w:before="0" w:line="276" w:lineRule="auto"/>
        <w:rPr>
          <w:rFonts w:eastAsia="Calibri" w:cs="Times New Roman"/>
          <w:b/>
          <w:bCs/>
        </w:rPr>
      </w:pPr>
      <w:r>
        <w:rPr>
          <w:rFonts w:eastAsia="Calibri" w:cs="Times New Roman"/>
          <w:b/>
          <w:bCs/>
        </w:rPr>
        <w:t>n</w:t>
      </w:r>
      <w:r w:rsidR="00601030">
        <w:rPr>
          <w:rFonts w:eastAsia="Calibri" w:cs="Times New Roman"/>
          <w:b/>
          <w:bCs/>
        </w:rPr>
        <w:t>bn</w:t>
      </w:r>
      <w:r w:rsidR="003840BF" w:rsidRPr="003840BF">
        <w:rPr>
          <w:rFonts w:eastAsia="Calibri" w:cs="Times New Roman"/>
          <w:b/>
          <w:bCs/>
        </w:rPr>
        <w:t>’s S</w:t>
      </w:r>
      <w:r w:rsidR="00EB7952">
        <w:rPr>
          <w:rFonts w:eastAsia="Calibri" w:cs="Times New Roman"/>
          <w:b/>
          <w:bCs/>
        </w:rPr>
        <w:t>pecial Access Undertaking</w:t>
      </w:r>
    </w:p>
    <w:p w14:paraId="3EE30CFB" w14:textId="6D78AE4F" w:rsidR="003840BF" w:rsidRPr="003840BF" w:rsidRDefault="00771CB6" w:rsidP="009475AE">
      <w:pPr>
        <w:spacing w:before="0" w:line="276" w:lineRule="auto"/>
        <w:rPr>
          <w:rFonts w:eastAsia="Calibri" w:cs="Times New Roman"/>
        </w:rPr>
      </w:pPr>
      <w:r>
        <w:rPr>
          <w:rFonts w:eastAsia="Calibri" w:cs="Times New Roman"/>
          <w:lang w:val="en"/>
        </w:rPr>
        <w:t>n</w:t>
      </w:r>
      <w:r w:rsidR="00601030">
        <w:rPr>
          <w:rFonts w:eastAsia="Calibri" w:cs="Times New Roman"/>
          <w:lang w:val="en"/>
        </w:rPr>
        <w:t>bn</w:t>
      </w:r>
      <w:r w:rsidR="003840BF" w:rsidRPr="003840BF">
        <w:rPr>
          <w:rFonts w:eastAsia="Calibri" w:cs="Times New Roman"/>
          <w:lang w:val="en"/>
        </w:rPr>
        <w:t xml:space="preserve">’s Special Access Undertaking sets out the prices and non-price terms and conditions for access to its fibre, fixed wireless and satellite networks and related services. The </w:t>
      </w:r>
      <w:r w:rsidR="00073C11">
        <w:t>Australian Competition and Consumer Commission</w:t>
      </w:r>
      <w:r w:rsidR="003840BF" w:rsidRPr="003840BF">
        <w:rPr>
          <w:rFonts w:eastAsia="Calibri" w:cs="Times New Roman"/>
          <w:lang w:val="en"/>
        </w:rPr>
        <w:t xml:space="preserve"> accepted </w:t>
      </w:r>
      <w:r>
        <w:rPr>
          <w:rFonts w:eastAsia="Calibri" w:cs="Times New Roman"/>
          <w:lang w:val="en"/>
        </w:rPr>
        <w:t>n</w:t>
      </w:r>
      <w:r w:rsidR="00601030">
        <w:rPr>
          <w:rFonts w:eastAsia="Calibri" w:cs="Times New Roman"/>
          <w:lang w:val="en"/>
        </w:rPr>
        <w:t>bn</w:t>
      </w:r>
      <w:r w:rsidR="003840BF" w:rsidRPr="003840BF">
        <w:rPr>
          <w:rFonts w:eastAsia="Calibri" w:cs="Times New Roman"/>
          <w:lang w:val="en"/>
        </w:rPr>
        <w:t>’s S</w:t>
      </w:r>
      <w:r w:rsidR="004D4852">
        <w:rPr>
          <w:rFonts w:eastAsia="Calibri" w:cs="Times New Roman"/>
          <w:lang w:val="en"/>
        </w:rPr>
        <w:t>pecial Access Undertaking</w:t>
      </w:r>
      <w:r w:rsidR="003840BF" w:rsidRPr="003840BF">
        <w:rPr>
          <w:rFonts w:eastAsia="Calibri" w:cs="Times New Roman"/>
          <w:lang w:val="en"/>
        </w:rPr>
        <w:t xml:space="preserve"> under section 152CBA of Part XIC of the </w:t>
      </w:r>
      <w:r w:rsidR="003840BF" w:rsidRPr="003840BF">
        <w:rPr>
          <w:rFonts w:eastAsia="Calibri" w:cs="Times New Roman"/>
          <w:i/>
          <w:lang w:val="en"/>
        </w:rPr>
        <w:t>Competition and Consumer Act 2010</w:t>
      </w:r>
      <w:r w:rsidR="003840BF" w:rsidRPr="003840BF">
        <w:rPr>
          <w:rFonts w:eastAsia="Calibri" w:cs="Times New Roman"/>
          <w:lang w:val="en"/>
        </w:rPr>
        <w:t xml:space="preserve"> on 13</w:t>
      </w:r>
      <w:r w:rsidR="00165ACB">
        <w:rPr>
          <w:rFonts w:eastAsia="Calibri" w:cs="Times New Roman"/>
          <w:lang w:val="en"/>
        </w:rPr>
        <w:t> </w:t>
      </w:r>
      <w:r w:rsidR="003840BF" w:rsidRPr="003840BF">
        <w:rPr>
          <w:rFonts w:eastAsia="Calibri" w:cs="Times New Roman"/>
          <w:lang w:val="en"/>
        </w:rPr>
        <w:t xml:space="preserve">December 2013. It expires in 2040. </w:t>
      </w:r>
    </w:p>
    <w:p w14:paraId="2775C862" w14:textId="53E26625" w:rsidR="003840BF" w:rsidRPr="003840BF" w:rsidRDefault="003840BF" w:rsidP="009475AE">
      <w:pPr>
        <w:spacing w:before="0" w:line="276" w:lineRule="auto"/>
        <w:rPr>
          <w:rFonts w:eastAsia="Calibri" w:cs="Times New Roman"/>
        </w:rPr>
      </w:pPr>
      <w:r w:rsidRPr="003840BF">
        <w:rPr>
          <w:rFonts w:eastAsia="Calibri" w:cs="Times New Roman"/>
        </w:rPr>
        <w:t xml:space="preserve">For more information, please visit: </w:t>
      </w:r>
      <w:hyperlink r:id="rId14" w:anchor=".VHPDLYuUdAA" w:history="1">
        <w:r w:rsidR="00AA0443" w:rsidRPr="00696990">
          <w:rPr>
            <w:rStyle w:val="Hyperlink"/>
            <w:rFonts w:eastAsia="Calibri" w:cs="Times New Roman"/>
          </w:rPr>
          <w:t>www.nbnco.com.au/sell-nbn-services/special-access-undertaking-sau.html#.VHPDLYuUdAA</w:t>
        </w:r>
      </w:hyperlink>
    </w:p>
    <w:p w14:paraId="6C953137" w14:textId="77777777" w:rsidR="003840BF" w:rsidRPr="003840BF" w:rsidRDefault="003840BF" w:rsidP="009475AE">
      <w:pPr>
        <w:spacing w:before="0" w:line="276" w:lineRule="auto"/>
        <w:rPr>
          <w:rFonts w:eastAsia="Calibri" w:cs="Times New Roman"/>
          <w:b/>
          <w:bCs/>
        </w:rPr>
      </w:pPr>
    </w:p>
    <w:p w14:paraId="328DEE1D" w14:textId="49C40CC0" w:rsidR="003840BF" w:rsidRPr="003840BF" w:rsidRDefault="00771CB6" w:rsidP="009475AE">
      <w:pPr>
        <w:spacing w:before="0" w:line="276" w:lineRule="auto"/>
        <w:rPr>
          <w:rFonts w:eastAsia="Calibri" w:cs="Times New Roman"/>
        </w:rPr>
      </w:pPr>
      <w:r>
        <w:rPr>
          <w:rFonts w:eastAsia="Calibri" w:cs="Times New Roman"/>
          <w:b/>
          <w:bCs/>
        </w:rPr>
        <w:t>n</w:t>
      </w:r>
      <w:r w:rsidR="00601030">
        <w:rPr>
          <w:rFonts w:eastAsia="Calibri" w:cs="Times New Roman"/>
          <w:b/>
          <w:bCs/>
        </w:rPr>
        <w:t>bn</w:t>
      </w:r>
      <w:r w:rsidR="003840BF" w:rsidRPr="003840BF">
        <w:rPr>
          <w:rFonts w:eastAsia="Calibri" w:cs="Times New Roman"/>
          <w:b/>
          <w:bCs/>
        </w:rPr>
        <w:t>’s Wholesale Broadband Agreement</w:t>
      </w:r>
    </w:p>
    <w:p w14:paraId="67C687B8" w14:textId="5D1A4BEB" w:rsidR="00493BF7" w:rsidRPr="00AC237D" w:rsidRDefault="00771CB6" w:rsidP="009475AE">
      <w:pPr>
        <w:spacing w:before="0" w:line="276" w:lineRule="auto"/>
        <w:rPr>
          <w:rFonts w:eastAsia="Calibri" w:cs="Times New Roman"/>
        </w:rPr>
      </w:pPr>
      <w:r>
        <w:rPr>
          <w:rFonts w:eastAsia="Calibri" w:cs="Times New Roman"/>
        </w:rPr>
        <w:t>n</w:t>
      </w:r>
      <w:r w:rsidR="00601030">
        <w:rPr>
          <w:rFonts w:eastAsia="Calibri" w:cs="Times New Roman"/>
        </w:rPr>
        <w:t>bn</w:t>
      </w:r>
      <w:r w:rsidR="003840BF" w:rsidRPr="003840BF">
        <w:rPr>
          <w:rFonts w:eastAsia="Calibri" w:cs="Times New Roman"/>
        </w:rPr>
        <w:t xml:space="preserve">’s Wholesale Broadband Agreement is its standard form access agreement for the supply of </w:t>
      </w:r>
      <w:r w:rsidR="00CB4188" w:rsidRPr="00CB4188">
        <w:rPr>
          <w:rFonts w:eastAsia="Calibri" w:cs="Times New Roman"/>
        </w:rPr>
        <w:t xml:space="preserve">national broadband network </w:t>
      </w:r>
      <w:r w:rsidR="003840BF" w:rsidRPr="003840BF">
        <w:rPr>
          <w:rFonts w:eastAsia="Calibri" w:cs="Times New Roman"/>
        </w:rPr>
        <w:t xml:space="preserve">services to </w:t>
      </w:r>
      <w:r w:rsidR="000A7DD9">
        <w:rPr>
          <w:rFonts w:eastAsia="Calibri" w:cs="Times New Roman"/>
        </w:rPr>
        <w:t>RSPs</w:t>
      </w:r>
      <w:r w:rsidR="003840BF" w:rsidRPr="003840BF">
        <w:rPr>
          <w:rFonts w:eastAsia="Calibri" w:cs="Times New Roman"/>
        </w:rPr>
        <w:t>. The terms of the W</w:t>
      </w:r>
      <w:r w:rsidR="004D4852">
        <w:rPr>
          <w:rFonts w:eastAsia="Calibri" w:cs="Times New Roman"/>
        </w:rPr>
        <w:t>holesale Broadband Agreement</w:t>
      </w:r>
      <w:r w:rsidR="003840BF" w:rsidRPr="003840BF">
        <w:rPr>
          <w:rFonts w:eastAsia="Calibri" w:cs="Times New Roman"/>
        </w:rPr>
        <w:t xml:space="preserve"> are consistent with those set out in </w:t>
      </w:r>
      <w:r>
        <w:rPr>
          <w:rFonts w:eastAsia="Calibri" w:cs="Times New Roman"/>
        </w:rPr>
        <w:t>n</w:t>
      </w:r>
      <w:r w:rsidR="00601030">
        <w:rPr>
          <w:rFonts w:eastAsia="Calibri" w:cs="Times New Roman"/>
        </w:rPr>
        <w:t>bn</w:t>
      </w:r>
      <w:r w:rsidR="003840BF" w:rsidRPr="003840BF">
        <w:rPr>
          <w:rFonts w:eastAsia="Calibri" w:cs="Times New Roman"/>
        </w:rPr>
        <w:t>’s S</w:t>
      </w:r>
      <w:r w:rsidR="004D4852">
        <w:rPr>
          <w:rFonts w:eastAsia="Calibri" w:cs="Times New Roman"/>
        </w:rPr>
        <w:t>pecial Access Undertaking</w:t>
      </w:r>
      <w:r w:rsidR="00E30EBE">
        <w:rPr>
          <w:rFonts w:eastAsia="Calibri" w:cs="Times New Roman"/>
        </w:rPr>
        <w:t xml:space="preserve">. </w:t>
      </w:r>
      <w:r w:rsidR="003840BF" w:rsidRPr="003840BF">
        <w:rPr>
          <w:rFonts w:eastAsia="Calibri" w:cs="Times New Roman"/>
        </w:rPr>
        <w:t xml:space="preserve">For more information, please visit: </w:t>
      </w:r>
      <w:hyperlink r:id="rId15" w:anchor=".VHOyl4uUdAA" w:history="1">
        <w:r w:rsidR="00AA0443" w:rsidRPr="00696990">
          <w:rPr>
            <w:rStyle w:val="Hyperlink"/>
            <w:rFonts w:eastAsia="Calibri" w:cs="Times New Roman"/>
          </w:rPr>
          <w:t>www.nbnco.com.au/sell-nbn-services/supply-agreements/wba2.html#.VHOyl4uUdAA</w:t>
        </w:r>
      </w:hyperlink>
    </w:p>
    <w:p w14:paraId="341582B1" w14:textId="77777777" w:rsidR="00493BF7" w:rsidRDefault="00493BF7" w:rsidP="009475AE">
      <w:pPr>
        <w:spacing w:before="0" w:line="276" w:lineRule="auto"/>
        <w:rPr>
          <w:rFonts w:eastAsia="Calibri" w:cs="Times New Roman"/>
          <w:b/>
          <w:bCs/>
        </w:rPr>
      </w:pPr>
    </w:p>
    <w:p w14:paraId="4FA84330" w14:textId="77777777" w:rsidR="003840BF" w:rsidRPr="003840BF" w:rsidRDefault="003840BF" w:rsidP="009475AE">
      <w:pPr>
        <w:spacing w:before="0" w:line="276" w:lineRule="auto"/>
        <w:rPr>
          <w:rFonts w:eastAsia="Calibri" w:cs="Times New Roman"/>
          <w:b/>
          <w:bCs/>
        </w:rPr>
      </w:pPr>
      <w:r w:rsidRPr="003840BF">
        <w:rPr>
          <w:rFonts w:eastAsia="Calibri" w:cs="Times New Roman"/>
          <w:b/>
          <w:bCs/>
        </w:rPr>
        <w:t>Shareholder direct</w:t>
      </w:r>
      <w:r w:rsidR="00EB7952">
        <w:rPr>
          <w:rFonts w:eastAsia="Calibri" w:cs="Times New Roman"/>
          <w:b/>
          <w:bCs/>
        </w:rPr>
        <w:t>ion/Statement of Expectations</w:t>
      </w:r>
    </w:p>
    <w:p w14:paraId="2ADD4341" w14:textId="3F550F1F" w:rsidR="003840BF" w:rsidRPr="00E30EBE" w:rsidRDefault="00771CB6" w:rsidP="009475AE">
      <w:pPr>
        <w:spacing w:before="0" w:line="276" w:lineRule="auto"/>
        <w:rPr>
          <w:rFonts w:eastAsia="Calibri" w:cs="Times New Roman"/>
          <w:sz w:val="23"/>
          <w:szCs w:val="23"/>
        </w:rPr>
      </w:pPr>
      <w:r>
        <w:rPr>
          <w:rFonts w:eastAsia="Calibri" w:cs="Times New Roman"/>
        </w:rPr>
        <w:t>n</w:t>
      </w:r>
      <w:r w:rsidR="00601030">
        <w:rPr>
          <w:rFonts w:eastAsia="Calibri" w:cs="Times New Roman"/>
        </w:rPr>
        <w:t>bn</w:t>
      </w:r>
      <w:r w:rsidR="00165ACB">
        <w:rPr>
          <w:rFonts w:eastAsia="Calibri" w:cs="Times New Roman"/>
        </w:rPr>
        <w:t xml:space="preserve"> is a Government Business Enterprise and is wholly-owned by the Government. </w:t>
      </w:r>
      <w:r w:rsidR="003840BF" w:rsidRPr="003840BF">
        <w:rPr>
          <w:rFonts w:eastAsia="Calibri" w:cs="Times New Roman"/>
        </w:rPr>
        <w:t>From time to time, the Government</w:t>
      </w:r>
      <w:r w:rsidR="003840BF" w:rsidRPr="003840BF">
        <w:rPr>
          <w:rFonts w:eastAsia="Calibri" w:cs="Times New Roman"/>
          <w:lang w:val="en"/>
        </w:rPr>
        <w:t xml:space="preserve"> issues </w:t>
      </w:r>
      <w:r>
        <w:rPr>
          <w:rFonts w:eastAsia="Calibri" w:cs="Times New Roman"/>
          <w:lang w:val="en"/>
        </w:rPr>
        <w:t>n</w:t>
      </w:r>
      <w:r w:rsidR="00601030">
        <w:rPr>
          <w:rFonts w:eastAsia="Calibri" w:cs="Times New Roman"/>
          <w:lang w:val="en"/>
        </w:rPr>
        <w:t>bn</w:t>
      </w:r>
      <w:r w:rsidR="003840BF" w:rsidRPr="003840BF">
        <w:rPr>
          <w:rFonts w:eastAsia="Calibri" w:cs="Times New Roman"/>
          <w:lang w:val="en"/>
        </w:rPr>
        <w:t xml:space="preserve"> with a Statement of Expectations to guide</w:t>
      </w:r>
      <w:r w:rsidR="003840BF" w:rsidRPr="003840BF">
        <w:rPr>
          <w:rFonts w:eastAsia="Calibri" w:cs="Times New Roman"/>
        </w:rPr>
        <w:t xml:space="preserve"> </w:t>
      </w:r>
      <w:r w:rsidR="003840BF" w:rsidRPr="003840BF">
        <w:rPr>
          <w:rFonts w:eastAsia="Calibri" w:cs="Times New Roman"/>
          <w:lang w:val="en"/>
        </w:rPr>
        <w:t xml:space="preserve">the next steps in delivering </w:t>
      </w:r>
      <w:r w:rsidR="00D023BE">
        <w:rPr>
          <w:rFonts w:eastAsia="Calibri" w:cs="Times New Roman"/>
          <w:lang w:val="en"/>
        </w:rPr>
        <w:t xml:space="preserve">on the </w:t>
      </w:r>
      <w:r w:rsidR="00CA379A">
        <w:rPr>
          <w:rFonts w:eastAsia="Calibri" w:cs="Times New Roman"/>
          <w:lang w:val="en"/>
        </w:rPr>
        <w:t>Government</w:t>
      </w:r>
      <w:r w:rsidR="00D023BE">
        <w:rPr>
          <w:rFonts w:eastAsia="Calibri" w:cs="Times New Roman"/>
          <w:lang w:val="en"/>
        </w:rPr>
        <w:t>’s</w:t>
      </w:r>
      <w:r w:rsidR="00CA379A">
        <w:rPr>
          <w:rFonts w:eastAsia="Calibri" w:cs="Times New Roman"/>
          <w:lang w:val="en"/>
        </w:rPr>
        <w:t xml:space="preserve"> </w:t>
      </w:r>
      <w:r w:rsidR="00D023BE">
        <w:rPr>
          <w:rFonts w:eastAsia="Calibri" w:cs="Times New Roman"/>
          <w:lang w:val="en"/>
        </w:rPr>
        <w:t>national broadband network policy</w:t>
      </w:r>
      <w:r w:rsidR="003840BF" w:rsidRPr="003840BF">
        <w:rPr>
          <w:rFonts w:eastAsia="Calibri" w:cs="Times New Roman"/>
        </w:rPr>
        <w:t xml:space="preserve">. </w:t>
      </w:r>
      <w:r w:rsidR="003840BF" w:rsidRPr="003840BF">
        <w:rPr>
          <w:rFonts w:eastAsia="Calibri" w:cs="Times New Roman"/>
          <w:sz w:val="23"/>
          <w:szCs w:val="23"/>
        </w:rPr>
        <w:t>The current S</w:t>
      </w:r>
      <w:r w:rsidR="004D4852">
        <w:rPr>
          <w:rFonts w:eastAsia="Calibri" w:cs="Times New Roman"/>
          <w:sz w:val="23"/>
          <w:szCs w:val="23"/>
        </w:rPr>
        <w:t>tatement of Expectations</w:t>
      </w:r>
      <w:r w:rsidR="003840BF" w:rsidRPr="003840BF">
        <w:rPr>
          <w:rFonts w:eastAsia="Calibri" w:cs="Times New Roman"/>
          <w:sz w:val="23"/>
          <w:szCs w:val="23"/>
        </w:rPr>
        <w:t xml:space="preserve"> directs </w:t>
      </w:r>
      <w:r>
        <w:rPr>
          <w:rFonts w:eastAsia="Calibri" w:cs="Times New Roman"/>
          <w:sz w:val="23"/>
          <w:szCs w:val="23"/>
        </w:rPr>
        <w:t>n</w:t>
      </w:r>
      <w:r w:rsidR="00601030">
        <w:rPr>
          <w:rFonts w:eastAsia="Calibri" w:cs="Times New Roman"/>
          <w:sz w:val="23"/>
          <w:szCs w:val="23"/>
        </w:rPr>
        <w:t>bn</w:t>
      </w:r>
      <w:r w:rsidR="003840BF" w:rsidRPr="003840BF">
        <w:rPr>
          <w:rFonts w:eastAsia="Calibri" w:cs="Times New Roman"/>
          <w:sz w:val="23"/>
          <w:szCs w:val="23"/>
        </w:rPr>
        <w:t xml:space="preserve"> </w:t>
      </w:r>
      <w:r w:rsidR="003840BF" w:rsidRPr="003840BF">
        <w:rPr>
          <w:rFonts w:eastAsia="Calibri" w:cs="Times New Roman"/>
        </w:rPr>
        <w:t xml:space="preserve">with regard to migration and disconnection to take proportionate responsibility for the quality, consistency and continuity of service experienced by RSPs and their end users and include in </w:t>
      </w:r>
      <w:r>
        <w:rPr>
          <w:rFonts w:eastAsia="Calibri" w:cs="Times New Roman"/>
        </w:rPr>
        <w:t>n</w:t>
      </w:r>
      <w:r w:rsidR="00601030">
        <w:rPr>
          <w:rFonts w:eastAsia="Calibri" w:cs="Times New Roman"/>
        </w:rPr>
        <w:t>bn</w:t>
      </w:r>
      <w:r w:rsidR="00CA379A">
        <w:rPr>
          <w:rFonts w:eastAsia="Calibri" w:cs="Times New Roman"/>
        </w:rPr>
        <w:t>’s</w:t>
      </w:r>
      <w:r w:rsidR="003840BF" w:rsidRPr="003840BF">
        <w:rPr>
          <w:rFonts w:eastAsia="Calibri" w:cs="Times New Roman"/>
        </w:rPr>
        <w:t xml:space="preserve"> Corporate Plan specific treatment of </w:t>
      </w:r>
      <w:r w:rsidR="00106B9A">
        <w:rPr>
          <w:rFonts w:eastAsia="Calibri" w:cs="Times New Roman"/>
        </w:rPr>
        <w:t>end user</w:t>
      </w:r>
      <w:r w:rsidR="00106B9A" w:rsidRPr="003840BF">
        <w:rPr>
          <w:rFonts w:eastAsia="Calibri" w:cs="Times New Roman"/>
        </w:rPr>
        <w:t xml:space="preserve"> </w:t>
      </w:r>
      <w:r w:rsidR="003840BF" w:rsidRPr="003840BF">
        <w:rPr>
          <w:rFonts w:eastAsia="Calibri" w:cs="Times New Roman"/>
        </w:rPr>
        <w:t xml:space="preserve">migration and migration of services. For more information, please visit: </w:t>
      </w:r>
      <w:hyperlink r:id="rId16" w:anchor=".VHPh04uUdAA" w:history="1">
        <w:r w:rsidR="00AA0443" w:rsidRPr="00696990">
          <w:rPr>
            <w:rStyle w:val="Hyperlink"/>
            <w:rFonts w:eastAsia="Calibri" w:cs="Times New Roman"/>
          </w:rPr>
          <w:t>www.nbnco.com.au/corporate-information/about-nbn-co.html#.VHPh04uUdAA</w:t>
        </w:r>
      </w:hyperlink>
    </w:p>
    <w:p w14:paraId="0569D85A" w14:textId="77777777" w:rsidR="003840BF" w:rsidRPr="003840BF" w:rsidRDefault="003840BF" w:rsidP="009475AE">
      <w:pPr>
        <w:spacing w:before="0" w:line="276" w:lineRule="auto"/>
        <w:rPr>
          <w:rFonts w:eastAsia="Calibri" w:cs="Times New Roman"/>
        </w:rPr>
      </w:pPr>
    </w:p>
    <w:p w14:paraId="489DAFF7" w14:textId="77777777" w:rsidR="003840BF" w:rsidRPr="00EB7952" w:rsidRDefault="00EB7952" w:rsidP="009475AE">
      <w:pPr>
        <w:spacing w:before="0" w:line="276" w:lineRule="auto"/>
        <w:rPr>
          <w:rFonts w:eastAsia="Calibri" w:cs="Times New Roman"/>
          <w:b/>
          <w:bCs/>
        </w:rPr>
      </w:pPr>
      <w:r>
        <w:rPr>
          <w:rFonts w:eastAsia="Calibri" w:cs="Times New Roman"/>
          <w:b/>
          <w:bCs/>
        </w:rPr>
        <w:t>Public Information on Migration</w:t>
      </w:r>
    </w:p>
    <w:p w14:paraId="448BCCFF" w14:textId="4D0637D6" w:rsidR="001B60A5" w:rsidRPr="00AC237D" w:rsidRDefault="000A7DD9" w:rsidP="009475AE">
      <w:pPr>
        <w:autoSpaceDE w:val="0"/>
        <w:autoSpaceDN w:val="0"/>
        <w:spacing w:before="0" w:line="276" w:lineRule="auto"/>
        <w:rPr>
          <w:rFonts w:eastAsia="Calibri" w:cs="Times New Roman"/>
          <w:lang w:eastAsia="en-AU"/>
        </w:rPr>
      </w:pPr>
      <w:r w:rsidRPr="003840BF">
        <w:rPr>
          <w:rFonts w:eastAsia="Calibri" w:cs="Times New Roman"/>
          <w:lang w:eastAsia="en-AU"/>
        </w:rPr>
        <w:t>As part of its activities</w:t>
      </w:r>
      <w:r w:rsidR="00493BF7">
        <w:rPr>
          <w:rFonts w:eastAsia="Calibri" w:cs="Times New Roman"/>
          <w:lang w:eastAsia="en-AU"/>
        </w:rPr>
        <w:t xml:space="preserve">, </w:t>
      </w:r>
      <w:r w:rsidR="00771CB6">
        <w:rPr>
          <w:rFonts w:eastAsia="Calibri" w:cs="Times New Roman"/>
          <w:lang w:eastAsia="en-AU"/>
        </w:rPr>
        <w:t>n</w:t>
      </w:r>
      <w:r w:rsidR="00601030">
        <w:rPr>
          <w:rFonts w:eastAsia="Calibri" w:cs="Times New Roman"/>
          <w:lang w:eastAsia="en-AU"/>
        </w:rPr>
        <w:t>bn</w:t>
      </w:r>
      <w:r w:rsidR="00493BF7">
        <w:rPr>
          <w:rFonts w:eastAsia="Calibri" w:cs="Times New Roman"/>
          <w:lang w:eastAsia="en-AU"/>
        </w:rPr>
        <w:t xml:space="preserve"> is required to conduct</w:t>
      </w:r>
      <w:r>
        <w:rPr>
          <w:rFonts w:eastAsia="Calibri" w:cs="Times New Roman"/>
          <w:lang w:eastAsia="en-AU"/>
        </w:rPr>
        <w:t xml:space="preserve"> </w:t>
      </w:r>
      <w:r w:rsidRPr="003840BF">
        <w:rPr>
          <w:rFonts w:eastAsia="Calibri" w:cs="Times New Roman"/>
          <w:lang w:eastAsia="en-AU"/>
        </w:rPr>
        <w:t xml:space="preserve">public information </w:t>
      </w:r>
      <w:r>
        <w:rPr>
          <w:rFonts w:eastAsia="Calibri" w:cs="Times New Roman"/>
          <w:lang w:eastAsia="en-AU"/>
        </w:rPr>
        <w:t xml:space="preserve">activities </w:t>
      </w:r>
      <w:r w:rsidRPr="00FE0747">
        <w:t>to</w:t>
      </w:r>
      <w:r w:rsidRPr="00FE0747">
        <w:rPr>
          <w:spacing w:val="-4"/>
        </w:rPr>
        <w:t xml:space="preserve"> </w:t>
      </w:r>
      <w:r w:rsidRPr="00FE0747">
        <w:t>en</w:t>
      </w:r>
      <w:r w:rsidRPr="00FE0747">
        <w:rPr>
          <w:spacing w:val="1"/>
        </w:rPr>
        <w:t>s</w:t>
      </w:r>
      <w:r w:rsidRPr="00FE0747">
        <w:t>ure</w:t>
      </w:r>
      <w:r w:rsidRPr="00FE0747">
        <w:rPr>
          <w:spacing w:val="-6"/>
        </w:rPr>
        <w:t xml:space="preserve"> </w:t>
      </w:r>
      <w:r w:rsidRPr="00FE0747">
        <w:rPr>
          <w:spacing w:val="2"/>
        </w:rPr>
        <w:t>t</w:t>
      </w:r>
      <w:r w:rsidRPr="00FE0747">
        <w:t>o</w:t>
      </w:r>
      <w:r w:rsidRPr="00FE0747">
        <w:rPr>
          <w:spacing w:val="-6"/>
        </w:rPr>
        <w:t xml:space="preserve"> </w:t>
      </w:r>
      <w:r w:rsidRPr="00FE0747">
        <w:t>t</w:t>
      </w:r>
      <w:r w:rsidRPr="00FE0747">
        <w:rPr>
          <w:spacing w:val="2"/>
        </w:rPr>
        <w:t>h</w:t>
      </w:r>
      <w:r w:rsidRPr="00FE0747">
        <w:t>e</w:t>
      </w:r>
      <w:r w:rsidRPr="00FE0747">
        <w:rPr>
          <w:spacing w:val="-4"/>
        </w:rPr>
        <w:t xml:space="preserve"> </w:t>
      </w:r>
      <w:r w:rsidRPr="00FE0747">
        <w:rPr>
          <w:spacing w:val="4"/>
        </w:rPr>
        <w:t>m</w:t>
      </w:r>
      <w:r w:rsidRPr="00FE0747">
        <w:rPr>
          <w:spacing w:val="-3"/>
        </w:rPr>
        <w:t>a</w:t>
      </w:r>
      <w:r w:rsidRPr="00FE0747">
        <w:rPr>
          <w:spacing w:val="1"/>
        </w:rPr>
        <w:t>x</w:t>
      </w:r>
      <w:r w:rsidRPr="00FE0747">
        <w:rPr>
          <w:spacing w:val="-5"/>
        </w:rPr>
        <w:t>i</w:t>
      </w:r>
      <w:r w:rsidRPr="00FE0747">
        <w:rPr>
          <w:spacing w:val="4"/>
        </w:rPr>
        <w:t>m</w:t>
      </w:r>
      <w:r w:rsidRPr="00FE0747">
        <w:rPr>
          <w:spacing w:val="-3"/>
        </w:rPr>
        <w:t>u</w:t>
      </w:r>
      <w:r w:rsidRPr="00FE0747">
        <w:t>m e</w:t>
      </w:r>
      <w:r w:rsidRPr="00FE0747">
        <w:rPr>
          <w:spacing w:val="1"/>
        </w:rPr>
        <w:t>x</w:t>
      </w:r>
      <w:r w:rsidRPr="00FE0747">
        <w:t>tent</w:t>
      </w:r>
      <w:r w:rsidRPr="00FE0747">
        <w:rPr>
          <w:spacing w:val="-6"/>
        </w:rPr>
        <w:t xml:space="preserve"> </w:t>
      </w:r>
      <w:r w:rsidRPr="00FE0747">
        <w:t>p</w:t>
      </w:r>
      <w:r w:rsidRPr="00FE0747">
        <w:rPr>
          <w:spacing w:val="1"/>
        </w:rPr>
        <w:t>r</w:t>
      </w:r>
      <w:r w:rsidRPr="00FE0747">
        <w:t>a</w:t>
      </w:r>
      <w:r w:rsidRPr="00FE0747">
        <w:rPr>
          <w:spacing w:val="1"/>
        </w:rPr>
        <w:t>c</w:t>
      </w:r>
      <w:r w:rsidRPr="00FE0747">
        <w:t>ti</w:t>
      </w:r>
      <w:r w:rsidRPr="00FE0747">
        <w:rPr>
          <w:spacing w:val="1"/>
        </w:rPr>
        <w:t>ca</w:t>
      </w:r>
      <w:r w:rsidRPr="00FE0747">
        <w:t>b</w:t>
      </w:r>
      <w:r w:rsidRPr="00FE0747">
        <w:rPr>
          <w:spacing w:val="1"/>
        </w:rPr>
        <w:t>l</w:t>
      </w:r>
      <w:r w:rsidRPr="00FE0747">
        <w:t>e</w:t>
      </w:r>
      <w:r w:rsidRPr="00FE0747">
        <w:rPr>
          <w:spacing w:val="-5"/>
        </w:rPr>
        <w:t xml:space="preserve"> </w:t>
      </w:r>
      <w:r w:rsidRPr="00FE0747">
        <w:t>that</w:t>
      </w:r>
      <w:r w:rsidRPr="00FE0747">
        <w:rPr>
          <w:spacing w:val="1"/>
        </w:rPr>
        <w:t xml:space="preserve"> </w:t>
      </w:r>
      <w:r w:rsidRPr="00FE0747">
        <w:t>e</w:t>
      </w:r>
      <w:r w:rsidRPr="00FE0747">
        <w:rPr>
          <w:spacing w:val="1"/>
        </w:rPr>
        <w:t>v</w:t>
      </w:r>
      <w:r w:rsidRPr="00FE0747">
        <w:t>e</w:t>
      </w:r>
      <w:r w:rsidRPr="00FE0747">
        <w:rPr>
          <w:spacing w:val="3"/>
        </w:rPr>
        <w:t>r</w:t>
      </w:r>
      <w:r w:rsidRPr="00FE0747">
        <w:t>y</w:t>
      </w:r>
      <w:r w:rsidRPr="00FE0747">
        <w:rPr>
          <w:spacing w:val="-9"/>
        </w:rPr>
        <w:t xml:space="preserve"> </w:t>
      </w:r>
      <w:r w:rsidRPr="00FE0747">
        <w:rPr>
          <w:spacing w:val="1"/>
        </w:rPr>
        <w:t>end</w:t>
      </w:r>
      <w:r w:rsidR="007B544C">
        <w:rPr>
          <w:spacing w:val="1"/>
        </w:rPr>
        <w:t xml:space="preserve"> </w:t>
      </w:r>
      <w:r w:rsidRPr="00FE0747">
        <w:rPr>
          <w:spacing w:val="1"/>
        </w:rPr>
        <w:t>user</w:t>
      </w:r>
      <w:r w:rsidRPr="00FE0747">
        <w:rPr>
          <w:spacing w:val="-3"/>
        </w:rPr>
        <w:t xml:space="preserve"> w</w:t>
      </w:r>
      <w:r w:rsidRPr="00FE0747">
        <w:rPr>
          <w:spacing w:val="2"/>
        </w:rPr>
        <w:t>h</w:t>
      </w:r>
      <w:r w:rsidRPr="00FE0747">
        <w:t>o</w:t>
      </w:r>
      <w:r w:rsidRPr="00FE0747">
        <w:rPr>
          <w:spacing w:val="-5"/>
        </w:rPr>
        <w:t xml:space="preserve"> </w:t>
      </w:r>
      <w:r w:rsidRPr="00FE0747">
        <w:rPr>
          <w:spacing w:val="1"/>
        </w:rPr>
        <w:t>i</w:t>
      </w:r>
      <w:r w:rsidRPr="00FE0747">
        <w:t>s</w:t>
      </w:r>
      <w:r w:rsidRPr="00FE0747">
        <w:rPr>
          <w:spacing w:val="-5"/>
        </w:rPr>
        <w:t xml:space="preserve"> </w:t>
      </w:r>
      <w:r w:rsidRPr="00FE0747">
        <w:t>on</w:t>
      </w:r>
      <w:r w:rsidRPr="00FE0747">
        <w:rPr>
          <w:spacing w:val="-6"/>
        </w:rPr>
        <w:t xml:space="preserve"> </w:t>
      </w:r>
      <w:r w:rsidRPr="00FE0747">
        <w:t>a</w:t>
      </w:r>
      <w:r w:rsidRPr="00FE0747">
        <w:rPr>
          <w:spacing w:val="-5"/>
        </w:rPr>
        <w:t xml:space="preserve"> </w:t>
      </w:r>
      <w:r w:rsidRPr="00FE0747">
        <w:rPr>
          <w:spacing w:val="1"/>
        </w:rPr>
        <w:t>s</w:t>
      </w:r>
      <w:r w:rsidRPr="00FE0747">
        <w:t>e</w:t>
      </w:r>
      <w:r w:rsidRPr="00FE0747">
        <w:rPr>
          <w:spacing w:val="3"/>
        </w:rPr>
        <w:t>r</w:t>
      </w:r>
      <w:r w:rsidRPr="00FE0747">
        <w:rPr>
          <w:spacing w:val="-2"/>
        </w:rPr>
        <w:t>vi</w:t>
      </w:r>
      <w:r w:rsidRPr="00FE0747">
        <w:rPr>
          <w:spacing w:val="1"/>
        </w:rPr>
        <w:t>c</w:t>
      </w:r>
      <w:r w:rsidRPr="00FE0747">
        <w:t>e</w:t>
      </w:r>
      <w:r w:rsidRPr="00FE0747">
        <w:rPr>
          <w:spacing w:val="-6"/>
        </w:rPr>
        <w:t xml:space="preserve"> </w:t>
      </w:r>
      <w:r w:rsidRPr="00FE0747">
        <w:rPr>
          <w:spacing w:val="2"/>
        </w:rPr>
        <w:t>t</w:t>
      </w:r>
      <w:r w:rsidRPr="00FE0747">
        <w:t>o</w:t>
      </w:r>
      <w:r w:rsidRPr="00FE0747">
        <w:rPr>
          <w:spacing w:val="-6"/>
        </w:rPr>
        <w:t xml:space="preserve"> </w:t>
      </w:r>
      <w:r w:rsidRPr="00FE0747">
        <w:rPr>
          <w:spacing w:val="1"/>
        </w:rPr>
        <w:t>b</w:t>
      </w:r>
      <w:r w:rsidRPr="00FE0747">
        <w:t>e</w:t>
      </w:r>
      <w:r w:rsidRPr="00FE0747">
        <w:rPr>
          <w:spacing w:val="-5"/>
        </w:rPr>
        <w:t xml:space="preserve"> </w:t>
      </w:r>
      <w:r w:rsidRPr="00FE0747">
        <w:rPr>
          <w:spacing w:val="4"/>
        </w:rPr>
        <w:t>m</w:t>
      </w:r>
      <w:r w:rsidRPr="00FE0747">
        <w:rPr>
          <w:spacing w:val="-2"/>
        </w:rPr>
        <w:t>i</w:t>
      </w:r>
      <w:r w:rsidRPr="00FE0747">
        <w:t>g</w:t>
      </w:r>
      <w:r w:rsidRPr="00FE0747">
        <w:rPr>
          <w:spacing w:val="1"/>
        </w:rPr>
        <w:t>r</w:t>
      </w:r>
      <w:r w:rsidRPr="00FE0747">
        <w:t xml:space="preserve">ated to </w:t>
      </w:r>
      <w:r w:rsidR="00CB4188" w:rsidRPr="00CB4188">
        <w:t xml:space="preserve">national broadband network </w:t>
      </w:r>
      <w:r w:rsidRPr="00FE0747">
        <w:rPr>
          <w:spacing w:val="1"/>
        </w:rPr>
        <w:t>r</w:t>
      </w:r>
      <w:r w:rsidRPr="00FE0747">
        <w:t>e</w:t>
      </w:r>
      <w:r w:rsidRPr="00FE0747">
        <w:rPr>
          <w:spacing w:val="1"/>
        </w:rPr>
        <w:t>c</w:t>
      </w:r>
      <w:r w:rsidRPr="00FE0747">
        <w:t>e</w:t>
      </w:r>
      <w:r w:rsidRPr="00FE0747">
        <w:rPr>
          <w:spacing w:val="1"/>
        </w:rPr>
        <w:t>iv</w:t>
      </w:r>
      <w:r w:rsidRPr="00FE0747">
        <w:t>es</w:t>
      </w:r>
      <w:r w:rsidRPr="00FE0747">
        <w:rPr>
          <w:spacing w:val="-5"/>
        </w:rPr>
        <w:t xml:space="preserve"> </w:t>
      </w:r>
      <w:r w:rsidRPr="00FE0747">
        <w:t>a</w:t>
      </w:r>
      <w:r w:rsidRPr="00FE0747">
        <w:rPr>
          <w:spacing w:val="1"/>
        </w:rPr>
        <w:t>d</w:t>
      </w:r>
      <w:r w:rsidRPr="00FE0747">
        <w:rPr>
          <w:spacing w:val="-2"/>
        </w:rPr>
        <w:t>v</w:t>
      </w:r>
      <w:r w:rsidRPr="00FE0747">
        <w:t>an</w:t>
      </w:r>
      <w:r w:rsidRPr="00FE0747">
        <w:rPr>
          <w:spacing w:val="1"/>
        </w:rPr>
        <w:t>c</w:t>
      </w:r>
      <w:r w:rsidRPr="00FE0747">
        <w:t>e</w:t>
      </w:r>
      <w:r w:rsidRPr="00FE0747">
        <w:rPr>
          <w:spacing w:val="-3"/>
        </w:rPr>
        <w:t xml:space="preserve"> </w:t>
      </w:r>
      <w:r w:rsidRPr="00FE0747">
        <w:t>no</w:t>
      </w:r>
      <w:r w:rsidRPr="00FE0747">
        <w:rPr>
          <w:spacing w:val="2"/>
        </w:rPr>
        <w:t>t</w:t>
      </w:r>
      <w:r w:rsidRPr="00FE0747">
        <w:rPr>
          <w:spacing w:val="-2"/>
        </w:rPr>
        <w:t>i</w:t>
      </w:r>
      <w:r w:rsidRPr="00FE0747">
        <w:rPr>
          <w:spacing w:val="1"/>
        </w:rPr>
        <w:t>c</w:t>
      </w:r>
      <w:r w:rsidRPr="00FE0747">
        <w:t>e</w:t>
      </w:r>
      <w:r w:rsidRPr="00FE0747">
        <w:rPr>
          <w:spacing w:val="-4"/>
        </w:rPr>
        <w:t xml:space="preserve"> </w:t>
      </w:r>
      <w:r w:rsidRPr="00FE0747">
        <w:t>of</w:t>
      </w:r>
      <w:r w:rsidRPr="00FE0747">
        <w:rPr>
          <w:spacing w:val="-5"/>
        </w:rPr>
        <w:t xml:space="preserve"> </w:t>
      </w:r>
      <w:r w:rsidRPr="00FE0747">
        <w:t xml:space="preserve">the </w:t>
      </w:r>
      <w:r w:rsidRPr="00FE0747">
        <w:rPr>
          <w:spacing w:val="1"/>
        </w:rPr>
        <w:t>p</w:t>
      </w:r>
      <w:r w:rsidRPr="00FE0747">
        <w:rPr>
          <w:spacing w:val="-2"/>
        </w:rPr>
        <w:t>l</w:t>
      </w:r>
      <w:r w:rsidRPr="00FE0747">
        <w:rPr>
          <w:spacing w:val="1"/>
        </w:rPr>
        <w:t>a</w:t>
      </w:r>
      <w:r w:rsidRPr="00FE0747">
        <w:t>nn</w:t>
      </w:r>
      <w:r w:rsidRPr="00FE0747">
        <w:rPr>
          <w:spacing w:val="2"/>
        </w:rPr>
        <w:t>e</w:t>
      </w:r>
      <w:r w:rsidRPr="00FE0747">
        <w:t>d</w:t>
      </w:r>
      <w:r w:rsidRPr="00FE0747">
        <w:rPr>
          <w:spacing w:val="-7"/>
        </w:rPr>
        <w:t xml:space="preserve"> </w:t>
      </w:r>
      <w:r w:rsidRPr="00FE0747">
        <w:rPr>
          <w:spacing w:val="4"/>
        </w:rPr>
        <w:t>m</w:t>
      </w:r>
      <w:r w:rsidRPr="00FE0747">
        <w:rPr>
          <w:spacing w:val="-2"/>
        </w:rPr>
        <w:t>i</w:t>
      </w:r>
      <w:r w:rsidRPr="00FE0747">
        <w:t>grati</w:t>
      </w:r>
      <w:r w:rsidRPr="00FE0747">
        <w:rPr>
          <w:spacing w:val="1"/>
        </w:rPr>
        <w:t>o</w:t>
      </w:r>
      <w:r w:rsidRPr="00FE0747">
        <w:t>n,</w:t>
      </w:r>
      <w:r w:rsidRPr="00FE0747">
        <w:rPr>
          <w:spacing w:val="-6"/>
        </w:rPr>
        <w:t xml:space="preserve"> </w:t>
      </w:r>
      <w:r w:rsidRPr="00FE0747">
        <w:rPr>
          <w:spacing w:val="-2"/>
        </w:rPr>
        <w:t>i</w:t>
      </w:r>
      <w:r w:rsidRPr="00FE0747">
        <w:t>s</w:t>
      </w:r>
      <w:r w:rsidRPr="00FE0747">
        <w:rPr>
          <w:spacing w:val="-5"/>
        </w:rPr>
        <w:t xml:space="preserve"> </w:t>
      </w:r>
      <w:r w:rsidRPr="00FE0747">
        <w:rPr>
          <w:spacing w:val="2"/>
        </w:rPr>
        <w:t>f</w:t>
      </w:r>
      <w:r w:rsidRPr="00FE0747">
        <w:rPr>
          <w:spacing w:val="1"/>
        </w:rPr>
        <w:t>a</w:t>
      </w:r>
      <w:r w:rsidRPr="00FE0747">
        <w:rPr>
          <w:spacing w:val="4"/>
        </w:rPr>
        <w:t>m</w:t>
      </w:r>
      <w:r w:rsidRPr="00FE0747">
        <w:rPr>
          <w:spacing w:val="-2"/>
        </w:rPr>
        <w:t>ili</w:t>
      </w:r>
      <w:r w:rsidRPr="00FE0747">
        <w:t>ar</w:t>
      </w:r>
      <w:r w:rsidRPr="00FE0747">
        <w:rPr>
          <w:spacing w:val="-5"/>
        </w:rPr>
        <w:t xml:space="preserve"> </w:t>
      </w:r>
      <w:r w:rsidRPr="00FE0747">
        <w:t>w</w:t>
      </w:r>
      <w:r w:rsidRPr="00FE0747">
        <w:rPr>
          <w:spacing w:val="-2"/>
        </w:rPr>
        <w:t>i</w:t>
      </w:r>
      <w:r w:rsidRPr="00FE0747">
        <w:t>th</w:t>
      </w:r>
      <w:r w:rsidRPr="00FE0747">
        <w:rPr>
          <w:spacing w:val="-4"/>
        </w:rPr>
        <w:t xml:space="preserve"> </w:t>
      </w:r>
      <w:r w:rsidRPr="00FE0747">
        <w:t>the</w:t>
      </w:r>
      <w:r w:rsidRPr="00FE0747">
        <w:rPr>
          <w:spacing w:val="-4"/>
        </w:rPr>
        <w:t xml:space="preserve"> </w:t>
      </w:r>
      <w:r w:rsidRPr="00FE0747">
        <w:t>a</w:t>
      </w:r>
      <w:r w:rsidRPr="00FE0747">
        <w:rPr>
          <w:spacing w:val="1"/>
        </w:rPr>
        <w:t>c</w:t>
      </w:r>
      <w:r w:rsidRPr="00FE0747">
        <w:t>t</w:t>
      </w:r>
      <w:r w:rsidRPr="00FE0747">
        <w:rPr>
          <w:spacing w:val="1"/>
        </w:rPr>
        <w:t>i</w:t>
      </w:r>
      <w:r w:rsidRPr="00FE0747">
        <w:t>on</w:t>
      </w:r>
      <w:r w:rsidRPr="00FE0747">
        <w:rPr>
          <w:spacing w:val="-6"/>
        </w:rPr>
        <w:t xml:space="preserve"> </w:t>
      </w:r>
      <w:r w:rsidRPr="00FE0747">
        <w:t>r</w:t>
      </w:r>
      <w:r w:rsidRPr="00FE0747">
        <w:rPr>
          <w:spacing w:val="1"/>
        </w:rPr>
        <w:t>e</w:t>
      </w:r>
      <w:r w:rsidRPr="00FE0747">
        <w:t>qu</w:t>
      </w:r>
      <w:r w:rsidRPr="00FE0747">
        <w:rPr>
          <w:spacing w:val="-2"/>
        </w:rPr>
        <w:t>i</w:t>
      </w:r>
      <w:r w:rsidRPr="00FE0747">
        <w:rPr>
          <w:spacing w:val="3"/>
        </w:rPr>
        <w:t>r</w:t>
      </w:r>
      <w:r w:rsidRPr="00FE0747">
        <w:t>ed</w:t>
      </w:r>
      <w:r w:rsidRPr="00FE0747">
        <w:rPr>
          <w:spacing w:val="-6"/>
        </w:rPr>
        <w:t xml:space="preserve"> </w:t>
      </w:r>
      <w:r w:rsidRPr="00FE0747">
        <w:t>to</w:t>
      </w:r>
      <w:r w:rsidRPr="00FE0747">
        <w:rPr>
          <w:spacing w:val="-5"/>
        </w:rPr>
        <w:t xml:space="preserve"> </w:t>
      </w:r>
      <w:r w:rsidRPr="00FE0747">
        <w:rPr>
          <w:spacing w:val="4"/>
        </w:rPr>
        <w:t>m</w:t>
      </w:r>
      <w:r w:rsidRPr="00FE0747">
        <w:rPr>
          <w:spacing w:val="-2"/>
        </w:rPr>
        <w:t>i</w:t>
      </w:r>
      <w:r w:rsidRPr="00FE0747">
        <w:t>grate,</w:t>
      </w:r>
      <w:r w:rsidRPr="00FE0747">
        <w:rPr>
          <w:spacing w:val="-6"/>
        </w:rPr>
        <w:t xml:space="preserve"> </w:t>
      </w:r>
      <w:r w:rsidRPr="00FE0747">
        <w:t>a</w:t>
      </w:r>
      <w:r w:rsidRPr="00FE0747">
        <w:rPr>
          <w:spacing w:val="1"/>
        </w:rPr>
        <w:t>n</w:t>
      </w:r>
      <w:r w:rsidRPr="00FE0747">
        <w:t>d,</w:t>
      </w:r>
      <w:r w:rsidRPr="00FE0747">
        <w:rPr>
          <w:spacing w:val="-6"/>
        </w:rPr>
        <w:t xml:space="preserve"> </w:t>
      </w:r>
      <w:r w:rsidRPr="00FE0747">
        <w:rPr>
          <w:spacing w:val="1"/>
        </w:rPr>
        <w:t>u</w:t>
      </w:r>
      <w:r w:rsidRPr="00FE0747">
        <w:t>n</w:t>
      </w:r>
      <w:r w:rsidRPr="00FE0747">
        <w:rPr>
          <w:spacing w:val="1"/>
        </w:rPr>
        <w:t>l</w:t>
      </w:r>
      <w:r w:rsidRPr="00FE0747">
        <w:t>e</w:t>
      </w:r>
      <w:r w:rsidRPr="00FE0747">
        <w:rPr>
          <w:spacing w:val="1"/>
        </w:rPr>
        <w:t>s</w:t>
      </w:r>
      <w:r w:rsidRPr="00FE0747">
        <w:t>s</w:t>
      </w:r>
      <w:r w:rsidRPr="00FE0747">
        <w:rPr>
          <w:spacing w:val="-5"/>
        </w:rPr>
        <w:t xml:space="preserve"> </w:t>
      </w:r>
      <w:r w:rsidRPr="00FE0747">
        <w:t>th</w:t>
      </w:r>
      <w:r w:rsidRPr="00FE0747">
        <w:rPr>
          <w:spacing w:val="4"/>
        </w:rPr>
        <w:t>e</w:t>
      </w:r>
      <w:r w:rsidRPr="00FE0747">
        <w:t>y</w:t>
      </w:r>
      <w:r w:rsidRPr="00FE0747">
        <w:rPr>
          <w:spacing w:val="-9"/>
        </w:rPr>
        <w:t xml:space="preserve"> </w:t>
      </w:r>
      <w:r w:rsidRPr="00FE0747">
        <w:rPr>
          <w:spacing w:val="4"/>
        </w:rPr>
        <w:t>m</w:t>
      </w:r>
      <w:r w:rsidRPr="00FE0747">
        <w:rPr>
          <w:spacing w:val="-3"/>
        </w:rPr>
        <w:t>a</w:t>
      </w:r>
      <w:r w:rsidRPr="00FE0747">
        <w:rPr>
          <w:spacing w:val="3"/>
        </w:rPr>
        <w:t>k</w:t>
      </w:r>
      <w:r w:rsidRPr="00FE0747">
        <w:t>e</w:t>
      </w:r>
      <w:r w:rsidRPr="00FE0747">
        <w:rPr>
          <w:spacing w:val="-6"/>
        </w:rPr>
        <w:t xml:space="preserve"> </w:t>
      </w:r>
      <w:r w:rsidRPr="00FE0747">
        <w:t>a de</w:t>
      </w:r>
      <w:r w:rsidRPr="00FE0747">
        <w:rPr>
          <w:spacing w:val="1"/>
        </w:rPr>
        <w:t>c</w:t>
      </w:r>
      <w:r w:rsidRPr="00FE0747">
        <w:rPr>
          <w:spacing w:val="-2"/>
        </w:rPr>
        <w:t>i</w:t>
      </w:r>
      <w:r w:rsidRPr="00FE0747">
        <w:rPr>
          <w:spacing w:val="1"/>
        </w:rPr>
        <w:t>si</w:t>
      </w:r>
      <w:r w:rsidRPr="00FE0747">
        <w:t>on</w:t>
      </w:r>
      <w:r w:rsidRPr="00FE0747">
        <w:rPr>
          <w:spacing w:val="-6"/>
        </w:rPr>
        <w:t xml:space="preserve"> </w:t>
      </w:r>
      <w:r w:rsidRPr="00FE0747">
        <w:rPr>
          <w:spacing w:val="2"/>
        </w:rPr>
        <w:t>t</w:t>
      </w:r>
      <w:r w:rsidRPr="00FE0747">
        <w:t>hat</w:t>
      </w:r>
      <w:r w:rsidRPr="00FE0747">
        <w:rPr>
          <w:spacing w:val="-6"/>
        </w:rPr>
        <w:t xml:space="preserve"> </w:t>
      </w:r>
      <w:r w:rsidRPr="00FE0747">
        <w:rPr>
          <w:spacing w:val="2"/>
        </w:rPr>
        <w:t>t</w:t>
      </w:r>
      <w:r w:rsidRPr="00FE0747">
        <w:t>h</w:t>
      </w:r>
      <w:r w:rsidRPr="00FE0747">
        <w:rPr>
          <w:spacing w:val="1"/>
        </w:rPr>
        <w:t>e</w:t>
      </w:r>
      <w:r w:rsidRPr="00FE0747">
        <w:t>y</w:t>
      </w:r>
      <w:r w:rsidRPr="00FE0747">
        <w:rPr>
          <w:spacing w:val="-7"/>
        </w:rPr>
        <w:t xml:space="preserve"> </w:t>
      </w:r>
      <w:r w:rsidRPr="00FE0747">
        <w:t>do</w:t>
      </w:r>
      <w:r w:rsidRPr="00FE0747">
        <w:rPr>
          <w:spacing w:val="-4"/>
        </w:rPr>
        <w:t xml:space="preserve"> </w:t>
      </w:r>
      <w:r w:rsidRPr="00FE0747">
        <w:t>not</w:t>
      </w:r>
      <w:r w:rsidRPr="00FE0747">
        <w:rPr>
          <w:spacing w:val="-3"/>
        </w:rPr>
        <w:t xml:space="preserve"> </w:t>
      </w:r>
      <w:r w:rsidRPr="00FE0747">
        <w:t>w</w:t>
      </w:r>
      <w:r w:rsidRPr="00FE0747">
        <w:rPr>
          <w:spacing w:val="-2"/>
        </w:rPr>
        <w:t>i</w:t>
      </w:r>
      <w:r w:rsidRPr="00FE0747">
        <w:rPr>
          <w:spacing w:val="1"/>
        </w:rPr>
        <w:t>s</w:t>
      </w:r>
      <w:r w:rsidRPr="00FE0747">
        <w:t>h</w:t>
      </w:r>
      <w:r w:rsidRPr="00FE0747">
        <w:rPr>
          <w:spacing w:val="-6"/>
        </w:rPr>
        <w:t xml:space="preserve"> </w:t>
      </w:r>
      <w:r w:rsidRPr="00FE0747">
        <w:rPr>
          <w:spacing w:val="2"/>
        </w:rPr>
        <w:t>t</w:t>
      </w:r>
      <w:r w:rsidRPr="00FE0747">
        <w:t>o</w:t>
      </w:r>
      <w:r w:rsidRPr="00FE0747">
        <w:rPr>
          <w:spacing w:val="-6"/>
        </w:rPr>
        <w:t xml:space="preserve"> </w:t>
      </w:r>
      <w:r w:rsidRPr="00FE0747">
        <w:t>ta</w:t>
      </w:r>
      <w:r w:rsidRPr="00FE0747">
        <w:rPr>
          <w:spacing w:val="3"/>
        </w:rPr>
        <w:t>k</w:t>
      </w:r>
      <w:r w:rsidRPr="00FE0747">
        <w:t>e</w:t>
      </w:r>
      <w:r w:rsidRPr="00FE0747">
        <w:rPr>
          <w:spacing w:val="-5"/>
        </w:rPr>
        <w:t xml:space="preserve"> </w:t>
      </w:r>
      <w:r w:rsidR="00CB4188">
        <w:t>a</w:t>
      </w:r>
      <w:r w:rsidR="00CB4188">
        <w:rPr>
          <w:spacing w:val="-6"/>
        </w:rPr>
        <w:t xml:space="preserve"> n</w:t>
      </w:r>
      <w:r w:rsidR="00CB4188" w:rsidRPr="00CB4188">
        <w:rPr>
          <w:spacing w:val="-6"/>
        </w:rPr>
        <w:t xml:space="preserve">ational broadband network </w:t>
      </w:r>
      <w:r w:rsidRPr="00FE0747">
        <w:rPr>
          <w:spacing w:val="1"/>
        </w:rPr>
        <w:t>s</w:t>
      </w:r>
      <w:r w:rsidRPr="00FE0747">
        <w:t>e</w:t>
      </w:r>
      <w:r w:rsidRPr="00FE0747">
        <w:rPr>
          <w:spacing w:val="1"/>
        </w:rPr>
        <w:t>rv</w:t>
      </w:r>
      <w:r w:rsidRPr="00FE0747">
        <w:rPr>
          <w:spacing w:val="-2"/>
        </w:rPr>
        <w:t>i</w:t>
      </w:r>
      <w:r w:rsidRPr="00FE0747">
        <w:rPr>
          <w:spacing w:val="1"/>
        </w:rPr>
        <w:t>c</w:t>
      </w:r>
      <w:r w:rsidRPr="00FE0747">
        <w:t>e,</w:t>
      </w:r>
      <w:r w:rsidRPr="00FE0747">
        <w:rPr>
          <w:spacing w:val="-6"/>
        </w:rPr>
        <w:t xml:space="preserve"> </w:t>
      </w:r>
      <w:r w:rsidRPr="00FE0747">
        <w:rPr>
          <w:spacing w:val="1"/>
        </w:rPr>
        <w:t>i</w:t>
      </w:r>
      <w:r w:rsidRPr="00FE0747">
        <w:t>n</w:t>
      </w:r>
      <w:r w:rsidRPr="00FE0747">
        <w:rPr>
          <w:spacing w:val="-2"/>
        </w:rPr>
        <w:t>i</w:t>
      </w:r>
      <w:r w:rsidRPr="00FE0747">
        <w:rPr>
          <w:spacing w:val="2"/>
        </w:rPr>
        <w:t>t</w:t>
      </w:r>
      <w:r w:rsidRPr="00FE0747">
        <w:rPr>
          <w:spacing w:val="-2"/>
        </w:rPr>
        <w:t>i</w:t>
      </w:r>
      <w:r w:rsidRPr="00FE0747">
        <w:t>a</w:t>
      </w:r>
      <w:r w:rsidRPr="00FE0747">
        <w:rPr>
          <w:spacing w:val="2"/>
        </w:rPr>
        <w:t>t</w:t>
      </w:r>
      <w:r w:rsidRPr="00FE0747">
        <w:t>es</w:t>
      </w:r>
      <w:r w:rsidRPr="00FE0747">
        <w:rPr>
          <w:spacing w:val="-5"/>
        </w:rPr>
        <w:t xml:space="preserve"> </w:t>
      </w:r>
      <w:r w:rsidRPr="00FE0747">
        <w:t>the</w:t>
      </w:r>
      <w:r w:rsidRPr="00FE0747">
        <w:rPr>
          <w:spacing w:val="-5"/>
        </w:rPr>
        <w:t xml:space="preserve"> </w:t>
      </w:r>
      <w:r w:rsidRPr="00FE0747">
        <w:t>ne</w:t>
      </w:r>
      <w:r w:rsidRPr="00FE0747">
        <w:rPr>
          <w:spacing w:val="1"/>
        </w:rPr>
        <w:t>c</w:t>
      </w:r>
      <w:r w:rsidRPr="00FE0747">
        <w:t>e</w:t>
      </w:r>
      <w:r w:rsidRPr="00FE0747">
        <w:rPr>
          <w:spacing w:val="1"/>
        </w:rPr>
        <w:t>ss</w:t>
      </w:r>
      <w:r w:rsidRPr="00FE0747">
        <w:t>a</w:t>
      </w:r>
      <w:r w:rsidRPr="00FE0747">
        <w:rPr>
          <w:spacing w:val="3"/>
        </w:rPr>
        <w:t>r</w:t>
      </w:r>
      <w:r w:rsidRPr="00FE0747">
        <w:t>y</w:t>
      </w:r>
      <w:r w:rsidRPr="00FE0747">
        <w:rPr>
          <w:spacing w:val="-9"/>
        </w:rPr>
        <w:t xml:space="preserve"> </w:t>
      </w:r>
      <w:r w:rsidRPr="00FE0747">
        <w:rPr>
          <w:spacing w:val="4"/>
        </w:rPr>
        <w:t>m</w:t>
      </w:r>
      <w:r w:rsidRPr="00FE0747">
        <w:rPr>
          <w:spacing w:val="-2"/>
        </w:rPr>
        <w:t>i</w:t>
      </w:r>
      <w:r w:rsidRPr="00FE0747">
        <w:t>grat</w:t>
      </w:r>
      <w:r w:rsidRPr="00FE0747">
        <w:rPr>
          <w:spacing w:val="-2"/>
        </w:rPr>
        <w:t>i</w:t>
      </w:r>
      <w:r w:rsidRPr="00FE0747">
        <w:rPr>
          <w:spacing w:val="2"/>
        </w:rPr>
        <w:t>o</w:t>
      </w:r>
      <w:r w:rsidRPr="00FE0747">
        <w:t>n p</w:t>
      </w:r>
      <w:r w:rsidRPr="00FE0747">
        <w:rPr>
          <w:spacing w:val="1"/>
        </w:rPr>
        <w:t>r</w:t>
      </w:r>
      <w:r w:rsidRPr="00FE0747">
        <w:t>o</w:t>
      </w:r>
      <w:r w:rsidRPr="00FE0747">
        <w:rPr>
          <w:spacing w:val="1"/>
        </w:rPr>
        <w:t>c</w:t>
      </w:r>
      <w:r w:rsidRPr="00FE0747">
        <w:t>e</w:t>
      </w:r>
      <w:r w:rsidRPr="00FE0747">
        <w:rPr>
          <w:spacing w:val="3"/>
        </w:rPr>
        <w:t>s</w:t>
      </w:r>
      <w:r w:rsidRPr="00FE0747">
        <w:t>s</w:t>
      </w:r>
      <w:r w:rsidRPr="00FE0747">
        <w:rPr>
          <w:spacing w:val="-5"/>
        </w:rPr>
        <w:t xml:space="preserve"> </w:t>
      </w:r>
      <w:r w:rsidRPr="00FE0747">
        <w:t>p</w:t>
      </w:r>
      <w:r w:rsidRPr="00FE0747">
        <w:rPr>
          <w:spacing w:val="1"/>
        </w:rPr>
        <w:t>r</w:t>
      </w:r>
      <w:r w:rsidRPr="00FE0747">
        <w:rPr>
          <w:spacing w:val="-2"/>
        </w:rPr>
        <w:t>i</w:t>
      </w:r>
      <w:r w:rsidRPr="00FE0747">
        <w:t>or</w:t>
      </w:r>
      <w:r w:rsidRPr="00FE0747">
        <w:rPr>
          <w:spacing w:val="-5"/>
        </w:rPr>
        <w:t xml:space="preserve"> </w:t>
      </w:r>
      <w:r w:rsidRPr="00FE0747">
        <w:t>to</w:t>
      </w:r>
      <w:r w:rsidRPr="00FE0747">
        <w:rPr>
          <w:spacing w:val="-3"/>
        </w:rPr>
        <w:t xml:space="preserve"> </w:t>
      </w:r>
      <w:r w:rsidRPr="00FE0747">
        <w:t>the</w:t>
      </w:r>
      <w:r w:rsidRPr="00FE0747">
        <w:rPr>
          <w:spacing w:val="-4"/>
        </w:rPr>
        <w:t xml:space="preserve"> </w:t>
      </w:r>
      <w:r w:rsidRPr="00FE0747">
        <w:t>disconnection</w:t>
      </w:r>
      <w:r w:rsidRPr="00FE0747">
        <w:rPr>
          <w:spacing w:val="-4"/>
        </w:rPr>
        <w:t xml:space="preserve"> </w:t>
      </w:r>
      <w:r w:rsidRPr="00FE0747">
        <w:t>of</w:t>
      </w:r>
      <w:r w:rsidRPr="00FE0747">
        <w:rPr>
          <w:spacing w:val="-3"/>
        </w:rPr>
        <w:t xml:space="preserve"> </w:t>
      </w:r>
      <w:r w:rsidRPr="00FE0747">
        <w:t>the</w:t>
      </w:r>
      <w:r w:rsidRPr="00FE0747">
        <w:rPr>
          <w:spacing w:val="-6"/>
        </w:rPr>
        <w:t xml:space="preserve"> relevant </w:t>
      </w:r>
      <w:r w:rsidRPr="00FE0747">
        <w:rPr>
          <w:spacing w:val="1"/>
        </w:rPr>
        <w:t>c</w:t>
      </w:r>
      <w:r w:rsidRPr="00FE0747">
        <w:t>o</w:t>
      </w:r>
      <w:r w:rsidRPr="00FE0747">
        <w:rPr>
          <w:spacing w:val="1"/>
        </w:rPr>
        <w:t>p</w:t>
      </w:r>
      <w:r w:rsidRPr="00FE0747">
        <w:t>per</w:t>
      </w:r>
      <w:r w:rsidRPr="00FE0747">
        <w:rPr>
          <w:spacing w:val="-5"/>
        </w:rPr>
        <w:t xml:space="preserve"> </w:t>
      </w:r>
      <w:r w:rsidRPr="00B1048B">
        <w:t>or</w:t>
      </w:r>
      <w:r w:rsidRPr="00B1048B">
        <w:rPr>
          <w:spacing w:val="-4"/>
        </w:rPr>
        <w:t xml:space="preserve"> </w:t>
      </w:r>
      <w:r w:rsidR="002A2975">
        <w:t>HFC</w:t>
      </w:r>
      <w:r>
        <w:t xml:space="preserve"> </w:t>
      </w:r>
      <w:r w:rsidRPr="00B1048B">
        <w:rPr>
          <w:spacing w:val="-2"/>
        </w:rPr>
        <w:t>service</w:t>
      </w:r>
      <w:r w:rsidRPr="00FE0747">
        <w:rPr>
          <w:spacing w:val="-5"/>
        </w:rPr>
        <w:t xml:space="preserve"> </w:t>
      </w:r>
      <w:r w:rsidRPr="00FE0747">
        <w:t>to</w:t>
      </w:r>
      <w:r w:rsidRPr="00FE0747">
        <w:rPr>
          <w:spacing w:val="-4"/>
        </w:rPr>
        <w:t xml:space="preserve"> </w:t>
      </w:r>
      <w:r w:rsidRPr="00FE0747">
        <w:t>th</w:t>
      </w:r>
      <w:r w:rsidRPr="00FE0747">
        <w:rPr>
          <w:spacing w:val="1"/>
        </w:rPr>
        <w:t>e</w:t>
      </w:r>
      <w:r w:rsidRPr="00FE0747">
        <w:rPr>
          <w:spacing w:val="-2"/>
        </w:rPr>
        <w:t>i</w:t>
      </w:r>
      <w:r w:rsidRPr="00FE0747">
        <w:t>r</w:t>
      </w:r>
      <w:r w:rsidRPr="00FE0747">
        <w:rPr>
          <w:spacing w:val="-5"/>
        </w:rPr>
        <w:t xml:space="preserve"> </w:t>
      </w:r>
      <w:r w:rsidRPr="00FE0747">
        <w:t>pre</w:t>
      </w:r>
      <w:r w:rsidRPr="00FE0747">
        <w:rPr>
          <w:spacing w:val="4"/>
        </w:rPr>
        <w:t>m</w:t>
      </w:r>
      <w:r w:rsidRPr="00FE0747">
        <w:rPr>
          <w:spacing w:val="-2"/>
        </w:rPr>
        <w:t>i</w:t>
      </w:r>
      <w:r w:rsidRPr="00FE0747">
        <w:rPr>
          <w:spacing w:val="1"/>
        </w:rPr>
        <w:t>s</w:t>
      </w:r>
      <w:r w:rsidRPr="00FE0747">
        <w:t>e</w:t>
      </w:r>
      <w:r w:rsidRPr="00FE0747">
        <w:rPr>
          <w:spacing w:val="1"/>
        </w:rPr>
        <w:t>s</w:t>
      </w:r>
      <w:r>
        <w:rPr>
          <w:spacing w:val="1"/>
        </w:rPr>
        <w:t>.</w:t>
      </w:r>
      <w:r w:rsidR="0058505F">
        <w:br w:type="page"/>
      </w:r>
    </w:p>
    <w:p w14:paraId="42442415" w14:textId="77777777" w:rsidR="0050456C" w:rsidRDefault="00921A06" w:rsidP="009475AE">
      <w:pPr>
        <w:pStyle w:val="Heading1"/>
        <w:spacing w:line="276" w:lineRule="auto"/>
      </w:pPr>
      <w:bookmarkStart w:id="79" w:name="_Toc406491078"/>
      <w:bookmarkStart w:id="80" w:name="_Toc406497287"/>
      <w:bookmarkStart w:id="81" w:name="_Toc422237734"/>
      <w:r>
        <w:t>Glossary</w:t>
      </w:r>
      <w:bookmarkEnd w:id="79"/>
      <w:bookmarkEnd w:id="80"/>
      <w:bookmarkEnd w:id="81"/>
    </w:p>
    <w:p w14:paraId="7FB7C2A1" w14:textId="4BA1AE7D" w:rsidR="009A3A78" w:rsidRDefault="001B60A5" w:rsidP="009475AE">
      <w:pPr>
        <w:keepNext/>
        <w:spacing w:before="120" w:after="120" w:line="276" w:lineRule="auto"/>
      </w:pPr>
      <w:r w:rsidRPr="0082226E">
        <w:rPr>
          <w:rFonts w:cstheme="minorHAnsi"/>
          <w:b/>
          <w:bCs/>
        </w:rPr>
        <w:t>A</w:t>
      </w:r>
      <w:r w:rsidR="00073C11">
        <w:rPr>
          <w:rFonts w:cstheme="minorHAnsi"/>
          <w:b/>
          <w:bCs/>
        </w:rPr>
        <w:t>pplication service provider</w:t>
      </w:r>
      <w:r w:rsidR="00A70D30">
        <w:rPr>
          <w:rFonts w:cstheme="minorHAnsi"/>
          <w:bCs/>
        </w:rPr>
        <w:t xml:space="preserve"> means a </w:t>
      </w:r>
      <w:r w:rsidR="009A3A78">
        <w:t>supplier or provider of any over the top services or applications supplied over a telecommunications network or using a carriage service, including (without limitation):</w:t>
      </w:r>
    </w:p>
    <w:p w14:paraId="47B28EED" w14:textId="1B21C17B" w:rsidR="009A3A78" w:rsidRDefault="00AC237D" w:rsidP="009475AE">
      <w:pPr>
        <w:keepNext/>
        <w:spacing w:before="120" w:after="120" w:line="276" w:lineRule="auto"/>
      </w:pPr>
      <w:r>
        <w:t>(a)  medical alarms</w:t>
      </w:r>
    </w:p>
    <w:p w14:paraId="2821FE6E" w14:textId="2D0F8E29" w:rsidR="009A3A78" w:rsidRDefault="009A3A78" w:rsidP="009475AE">
      <w:pPr>
        <w:keepNext/>
        <w:spacing w:before="120" w:after="120" w:line="276" w:lineRule="auto"/>
      </w:pPr>
      <w:r>
        <w:t>(b)  emergency alarms (e.g. fi</w:t>
      </w:r>
      <w:r w:rsidR="00AC237D">
        <w:t>re alarms and indicator panels)</w:t>
      </w:r>
    </w:p>
    <w:p w14:paraId="3B2A7DC1" w14:textId="43FF6CC3" w:rsidR="009A3A78" w:rsidRDefault="009A3A78" w:rsidP="009475AE">
      <w:pPr>
        <w:keepNext/>
        <w:spacing w:before="120" w:after="120" w:line="276" w:lineRule="auto"/>
      </w:pPr>
      <w:r>
        <w:t xml:space="preserve">(c)  </w:t>
      </w:r>
      <w:r w:rsidR="00AC237D">
        <w:t>payment services (ATMs, EFTPOS)</w:t>
      </w:r>
    </w:p>
    <w:p w14:paraId="68272D01" w14:textId="18BDCB2D" w:rsidR="009A3A78" w:rsidRDefault="00AC237D" w:rsidP="009475AE">
      <w:pPr>
        <w:keepNext/>
        <w:spacing w:before="120" w:after="120" w:line="276" w:lineRule="auto"/>
      </w:pPr>
      <w:r>
        <w:t>(d)  lift phones</w:t>
      </w:r>
    </w:p>
    <w:p w14:paraId="02EC6F04" w14:textId="391DC867" w:rsidR="001B60A5" w:rsidRPr="00A70D30" w:rsidRDefault="009A3A78" w:rsidP="009475AE">
      <w:pPr>
        <w:keepNext/>
        <w:spacing w:before="120" w:after="120" w:line="276" w:lineRule="auto"/>
      </w:pPr>
      <w:r>
        <w:t>(e)  di</w:t>
      </w:r>
      <w:r w:rsidR="00AC237D">
        <w:t>sability services and equipment.</w:t>
      </w:r>
    </w:p>
    <w:p w14:paraId="436B91C4" w14:textId="02C94724" w:rsidR="001B60A5" w:rsidRDefault="00215AF7" w:rsidP="009475AE">
      <w:pPr>
        <w:spacing w:line="276" w:lineRule="auto"/>
        <w:rPr>
          <w:rFonts w:cstheme="minorHAnsi"/>
        </w:rPr>
      </w:pPr>
      <w:r>
        <w:rPr>
          <w:rFonts w:cstheme="minorHAnsi"/>
          <w:b/>
          <w:bCs/>
        </w:rPr>
        <w:t>Assurance p</w:t>
      </w:r>
      <w:r w:rsidR="001B60A5" w:rsidRPr="00240502">
        <w:rPr>
          <w:rFonts w:cstheme="minorHAnsi"/>
          <w:b/>
          <w:bCs/>
        </w:rPr>
        <w:t>rocesses</w:t>
      </w:r>
      <w:r w:rsidR="001B60A5" w:rsidRPr="00240502">
        <w:rPr>
          <w:rFonts w:cstheme="minorHAnsi"/>
        </w:rPr>
        <w:t xml:space="preserve"> </w:t>
      </w:r>
      <w:r w:rsidR="002A022C" w:rsidRPr="002A022C">
        <w:rPr>
          <w:rFonts w:cstheme="minorHAnsi"/>
        </w:rPr>
        <w:t>means migration processes, and the processes and measures that ensure networks, products, services and operational capability exist, (</w:t>
      </w:r>
      <w:r w:rsidR="00070045">
        <w:rPr>
          <w:rFonts w:cstheme="minorHAnsi"/>
        </w:rPr>
        <w:t xml:space="preserve">and </w:t>
      </w:r>
      <w:r w:rsidR="002A022C" w:rsidRPr="002A022C">
        <w:rPr>
          <w:rFonts w:cstheme="minorHAnsi"/>
        </w:rPr>
        <w:t xml:space="preserve">to the extent practicable) enable end users to have continuity of supply during disconnection from </w:t>
      </w:r>
      <w:r w:rsidR="00E30EBE">
        <w:rPr>
          <w:rFonts w:cstheme="minorHAnsi"/>
        </w:rPr>
        <w:t>telecommunications</w:t>
      </w:r>
      <w:r w:rsidR="00070045" w:rsidRPr="002A022C">
        <w:rPr>
          <w:rFonts w:cstheme="minorHAnsi"/>
        </w:rPr>
        <w:t xml:space="preserve"> </w:t>
      </w:r>
      <w:r w:rsidR="002A022C" w:rsidRPr="002A022C">
        <w:rPr>
          <w:rFonts w:cstheme="minorHAnsi"/>
        </w:rPr>
        <w:t xml:space="preserve">networks and migration to the </w:t>
      </w:r>
      <w:r w:rsidR="00E542C2">
        <w:rPr>
          <w:rFonts w:cstheme="minorHAnsi"/>
        </w:rPr>
        <w:t>national broadband network</w:t>
      </w:r>
      <w:r w:rsidR="002A022C" w:rsidRPr="002A022C">
        <w:rPr>
          <w:rFonts w:cstheme="minorHAnsi"/>
        </w:rPr>
        <w:t>.</w:t>
      </w:r>
    </w:p>
    <w:p w14:paraId="15866B85" w14:textId="7008222C" w:rsidR="00412500" w:rsidRPr="00FE7E5B" w:rsidRDefault="00412500" w:rsidP="009475AE">
      <w:pPr>
        <w:spacing w:line="276" w:lineRule="auto"/>
        <w:rPr>
          <w:rFonts w:cstheme="minorHAnsi"/>
          <w:b/>
        </w:rPr>
      </w:pPr>
      <w:r w:rsidRPr="00FE7E5B">
        <w:rPr>
          <w:rFonts w:cstheme="minorHAnsi"/>
          <w:b/>
        </w:rPr>
        <w:t>Brownfields</w:t>
      </w:r>
      <w:r w:rsidRPr="00FE7E5B">
        <w:rPr>
          <w:rFonts w:cstheme="minorHAnsi"/>
        </w:rPr>
        <w:t xml:space="preserve"> are pre-existing commercial or residential site </w:t>
      </w:r>
      <w:r w:rsidR="002A022C" w:rsidRPr="002A022C">
        <w:rPr>
          <w:rFonts w:cstheme="minorHAnsi"/>
        </w:rPr>
        <w:t xml:space="preserve">with access to existing telecommunications infrastructure </w:t>
      </w:r>
      <w:r w:rsidRPr="00FE7E5B">
        <w:rPr>
          <w:rFonts w:cstheme="minorHAnsi"/>
        </w:rPr>
        <w:t xml:space="preserve">where no previous Open Access Wholesale fibre access has been provided to premises. </w:t>
      </w:r>
    </w:p>
    <w:p w14:paraId="10C3F795" w14:textId="12BDD10E" w:rsidR="0097644F" w:rsidRPr="009064BC" w:rsidRDefault="0097644F" w:rsidP="009475AE">
      <w:pPr>
        <w:spacing w:line="276" w:lineRule="auto"/>
        <w:rPr>
          <w:rFonts w:cstheme="minorHAnsi"/>
        </w:rPr>
      </w:pPr>
      <w:r w:rsidRPr="00FE7E5B">
        <w:rPr>
          <w:rFonts w:cstheme="minorHAnsi"/>
          <w:b/>
        </w:rPr>
        <w:t>Business as usual</w:t>
      </w:r>
      <w:r w:rsidR="009064BC">
        <w:rPr>
          <w:rFonts w:cstheme="minorHAnsi"/>
        </w:rPr>
        <w:t xml:space="preserve"> </w:t>
      </w:r>
      <w:r w:rsidR="002A11F7">
        <w:rPr>
          <w:rFonts w:cstheme="minorHAnsi"/>
        </w:rPr>
        <w:t xml:space="preserve">refers to the normal conduct of business irrespective of a different working environment. </w:t>
      </w:r>
    </w:p>
    <w:p w14:paraId="497E8D39" w14:textId="3CCA7998" w:rsidR="001E5C0C" w:rsidRPr="00FE7E5B" w:rsidRDefault="001E5C0C" w:rsidP="009475AE">
      <w:pPr>
        <w:spacing w:line="276" w:lineRule="auto"/>
        <w:rPr>
          <w:rFonts w:cstheme="minorHAnsi"/>
          <w:b/>
        </w:rPr>
      </w:pPr>
      <w:r w:rsidRPr="00FE7E5B">
        <w:rPr>
          <w:rFonts w:cstheme="minorHAnsi"/>
          <w:b/>
        </w:rPr>
        <w:t>Cease sale</w:t>
      </w:r>
      <w:r w:rsidR="00773935" w:rsidRPr="00FE7E5B">
        <w:rPr>
          <w:rFonts w:cstheme="minorHAnsi"/>
          <w:b/>
        </w:rPr>
        <w:t xml:space="preserve"> </w:t>
      </w:r>
      <w:r w:rsidR="00773935" w:rsidRPr="00FE7E5B">
        <w:rPr>
          <w:rFonts w:cstheme="minorHAnsi"/>
        </w:rPr>
        <w:t xml:space="preserve">refers to the regulatory arrangements </w:t>
      </w:r>
      <w:r w:rsidR="00070045">
        <w:rPr>
          <w:rFonts w:cstheme="minorHAnsi"/>
        </w:rPr>
        <w:t>set out in</w:t>
      </w:r>
      <w:r w:rsidR="00773935" w:rsidRPr="00FE7E5B">
        <w:rPr>
          <w:rFonts w:cstheme="minorHAnsi"/>
        </w:rPr>
        <w:t xml:space="preserve"> Telstra</w:t>
      </w:r>
      <w:r w:rsidR="00070045">
        <w:rPr>
          <w:rFonts w:cstheme="minorHAnsi"/>
        </w:rPr>
        <w:t>’s Migration Plan</w:t>
      </w:r>
      <w:r w:rsidR="00773935" w:rsidRPr="00FE7E5B">
        <w:rPr>
          <w:rFonts w:cstheme="minorHAnsi"/>
        </w:rPr>
        <w:t xml:space="preserve"> </w:t>
      </w:r>
      <w:r w:rsidR="00915F05">
        <w:rPr>
          <w:rFonts w:cstheme="minorHAnsi"/>
        </w:rPr>
        <w:t xml:space="preserve">that prohibit Telstra </w:t>
      </w:r>
      <w:r w:rsidR="00773935" w:rsidRPr="00FE7E5B">
        <w:rPr>
          <w:rFonts w:cstheme="minorHAnsi"/>
        </w:rPr>
        <w:t xml:space="preserve">from connecting new services to its copper or </w:t>
      </w:r>
      <w:r w:rsidR="002A2975">
        <w:rPr>
          <w:rFonts w:cstheme="minorHAnsi"/>
        </w:rPr>
        <w:t>HFC</w:t>
      </w:r>
      <w:r w:rsidR="00773935" w:rsidRPr="00FE7E5B">
        <w:rPr>
          <w:rFonts w:cstheme="minorHAnsi"/>
        </w:rPr>
        <w:t xml:space="preserve"> networks at premises </w:t>
      </w:r>
      <w:r w:rsidR="00070045">
        <w:rPr>
          <w:rFonts w:cstheme="minorHAnsi"/>
        </w:rPr>
        <w:t xml:space="preserve">in the </w:t>
      </w:r>
      <w:r w:rsidR="00771CB6">
        <w:rPr>
          <w:rFonts w:cstheme="minorHAnsi"/>
        </w:rPr>
        <w:t>nbn</w:t>
      </w:r>
      <w:r w:rsidR="00915F05">
        <w:rPr>
          <w:rFonts w:cstheme="minorHAnsi"/>
        </w:rPr>
        <w:t xml:space="preserve"> Fibre Footprint</w:t>
      </w:r>
      <w:r w:rsidR="00773935" w:rsidRPr="00FE7E5B">
        <w:rPr>
          <w:rFonts w:cstheme="minorHAnsi"/>
        </w:rPr>
        <w:t xml:space="preserve"> </w:t>
      </w:r>
      <w:r w:rsidR="00915F05">
        <w:rPr>
          <w:rFonts w:cstheme="minorHAnsi"/>
        </w:rPr>
        <w:t xml:space="preserve">in </w:t>
      </w:r>
      <w:r w:rsidR="002A022C" w:rsidRPr="002A022C">
        <w:rPr>
          <w:rFonts w:cstheme="minorHAnsi"/>
        </w:rPr>
        <w:t>NBN rollout regions which are declared ready for service</w:t>
      </w:r>
      <w:r w:rsidR="00773935" w:rsidRPr="00FE7E5B">
        <w:rPr>
          <w:rFonts w:cstheme="minorHAnsi"/>
        </w:rPr>
        <w:t xml:space="preserve">. </w:t>
      </w:r>
    </w:p>
    <w:p w14:paraId="1E914409" w14:textId="120EAB45" w:rsidR="00C2194A" w:rsidRPr="00C2194A" w:rsidRDefault="00C2194A" w:rsidP="009475AE">
      <w:pPr>
        <w:autoSpaceDE w:val="0"/>
        <w:autoSpaceDN w:val="0"/>
        <w:spacing w:line="276" w:lineRule="auto"/>
        <w:rPr>
          <w:rFonts w:eastAsia="Times New Roman" w:cs="Times New Roman"/>
          <w:lang w:eastAsia="ja-JP"/>
        </w:rPr>
      </w:pPr>
      <w:r>
        <w:rPr>
          <w:rFonts w:cstheme="minorHAnsi"/>
          <w:b/>
        </w:rPr>
        <w:t xml:space="preserve">Disconnection </w:t>
      </w:r>
      <w:r w:rsidR="0063173C">
        <w:rPr>
          <w:rFonts w:cstheme="minorHAnsi"/>
          <w:b/>
        </w:rPr>
        <w:t>D</w:t>
      </w:r>
      <w:r>
        <w:rPr>
          <w:rFonts w:cstheme="minorHAnsi"/>
          <w:b/>
        </w:rPr>
        <w:t xml:space="preserve">ate </w:t>
      </w:r>
      <w:r w:rsidR="00EB7FCB">
        <w:rPr>
          <w:rFonts w:asciiTheme="minorHAnsi" w:hAnsiTheme="minorHAnsi" w:cstheme="minorHAnsi"/>
        </w:rPr>
        <w:t>refers to</w:t>
      </w:r>
      <w:r w:rsidR="007A26F2">
        <w:rPr>
          <w:rFonts w:asciiTheme="minorHAnsi" w:hAnsiTheme="minorHAnsi" w:cstheme="minorHAnsi"/>
        </w:rPr>
        <w:t xml:space="preserve">, </w:t>
      </w:r>
      <w:r w:rsidR="007A26F2" w:rsidRPr="00EB7FCB">
        <w:rPr>
          <w:rFonts w:asciiTheme="minorHAnsi" w:hAnsiTheme="minorHAnsi" w:cstheme="minorHAnsi"/>
        </w:rPr>
        <w:t xml:space="preserve">for a rollout region, </w:t>
      </w:r>
      <w:r w:rsidRPr="00EB7FCB">
        <w:rPr>
          <w:rFonts w:asciiTheme="minorHAnsi" w:hAnsiTheme="minorHAnsi"/>
        </w:rPr>
        <w:t xml:space="preserve">the date </w:t>
      </w:r>
      <w:r w:rsidR="007F731E">
        <w:rPr>
          <w:rFonts w:asciiTheme="minorHAnsi" w:eastAsia="Times New Roman" w:hAnsiTheme="minorHAnsi" w:cs="Arial"/>
          <w:lang w:eastAsia="ja-JP"/>
        </w:rPr>
        <w:t>that is generally</w:t>
      </w:r>
      <w:r w:rsidR="00EB7FCB" w:rsidRPr="00EB7FCB">
        <w:rPr>
          <w:rFonts w:asciiTheme="minorHAnsi" w:eastAsia="Times New Roman" w:hAnsiTheme="minorHAnsi" w:cs="Arial"/>
          <w:lang w:eastAsia="ja-JP"/>
        </w:rPr>
        <w:t xml:space="preserve"> 18 months after the region was declared ready for service by </w:t>
      </w:r>
      <w:r w:rsidR="00771CB6">
        <w:rPr>
          <w:rFonts w:asciiTheme="minorHAnsi" w:eastAsia="Times New Roman" w:hAnsiTheme="minorHAnsi" w:cs="Arial"/>
          <w:lang w:eastAsia="ja-JP"/>
        </w:rPr>
        <w:t>n</w:t>
      </w:r>
      <w:r w:rsidR="00601030">
        <w:rPr>
          <w:rFonts w:asciiTheme="minorHAnsi" w:eastAsia="Times New Roman" w:hAnsiTheme="minorHAnsi" w:cs="Arial"/>
          <w:lang w:eastAsia="ja-JP"/>
        </w:rPr>
        <w:t>bn</w:t>
      </w:r>
      <w:r w:rsidR="007A26F2">
        <w:rPr>
          <w:rFonts w:asciiTheme="minorHAnsi" w:eastAsia="Times New Roman" w:hAnsiTheme="minorHAnsi" w:cs="Arial"/>
          <w:lang w:eastAsia="ja-JP"/>
        </w:rPr>
        <w:t xml:space="preserve"> and</w:t>
      </w:r>
      <w:r w:rsidR="00EB7FCB" w:rsidRPr="00EB7FCB">
        <w:rPr>
          <w:rFonts w:asciiTheme="minorHAnsi" w:eastAsia="Times New Roman" w:hAnsiTheme="minorHAnsi" w:cs="Arial"/>
          <w:lang w:eastAsia="ja-JP"/>
        </w:rPr>
        <w:t xml:space="preserve"> </w:t>
      </w:r>
      <w:r w:rsidRPr="00EB7FCB">
        <w:rPr>
          <w:rFonts w:asciiTheme="minorHAnsi" w:eastAsia="Times New Roman" w:hAnsiTheme="minorHAnsi" w:cs="Arial"/>
          <w:color w:val="000000"/>
          <w:lang w:eastAsia="ja-JP"/>
        </w:rPr>
        <w:t xml:space="preserve">specified as the Disconnection Date for that </w:t>
      </w:r>
      <w:r w:rsidR="00EB7FCB" w:rsidRPr="00EB7FCB">
        <w:rPr>
          <w:rFonts w:asciiTheme="minorHAnsi" w:eastAsia="Times New Roman" w:hAnsiTheme="minorHAnsi" w:cs="Arial"/>
          <w:color w:val="000000"/>
          <w:lang w:eastAsia="ja-JP"/>
        </w:rPr>
        <w:t>region</w:t>
      </w:r>
      <w:r w:rsidRPr="00EB7FCB">
        <w:rPr>
          <w:rFonts w:asciiTheme="minorHAnsi" w:eastAsia="Times New Roman" w:hAnsiTheme="minorHAnsi" w:cs="Arial"/>
          <w:color w:val="000000"/>
          <w:lang w:eastAsia="ja-JP"/>
        </w:rPr>
        <w:t xml:space="preserve"> in the </w:t>
      </w:r>
      <w:r w:rsidR="00771CB6">
        <w:rPr>
          <w:rFonts w:asciiTheme="minorHAnsi" w:eastAsia="Times New Roman" w:hAnsiTheme="minorHAnsi" w:cs="Arial"/>
          <w:color w:val="000000"/>
          <w:lang w:eastAsia="ja-JP"/>
        </w:rPr>
        <w:t>n</w:t>
      </w:r>
      <w:r w:rsidR="00601030">
        <w:rPr>
          <w:rFonts w:asciiTheme="minorHAnsi" w:eastAsia="Times New Roman" w:hAnsiTheme="minorHAnsi" w:cs="Arial"/>
          <w:color w:val="000000"/>
          <w:lang w:eastAsia="ja-JP"/>
        </w:rPr>
        <w:t>bn</w:t>
      </w:r>
      <w:r w:rsidRPr="00EB7FCB">
        <w:rPr>
          <w:rFonts w:asciiTheme="minorHAnsi" w:eastAsia="Times New Roman" w:hAnsiTheme="minorHAnsi" w:cs="Arial"/>
          <w:color w:val="000000"/>
          <w:lang w:eastAsia="ja-JP"/>
        </w:rPr>
        <w:t xml:space="preserve"> Rollout Schedule published by Telstra from time to time at </w:t>
      </w:r>
      <w:hyperlink r:id="rId17" w:history="1">
        <w:r w:rsidR="00EB7FCB" w:rsidRPr="00EB7FCB">
          <w:rPr>
            <w:rStyle w:val="Hyperlink"/>
            <w:rFonts w:asciiTheme="minorHAnsi" w:eastAsia="Times New Roman" w:hAnsiTheme="minorHAnsi" w:cs="Arial"/>
            <w:lang w:eastAsia="ja-JP"/>
          </w:rPr>
          <w:t>http://www.telstrawholesale.com.au/download/document/rollout-list.pdf</w:t>
        </w:r>
      </w:hyperlink>
      <w:r w:rsidR="00EB7FCB">
        <w:rPr>
          <w:rFonts w:ascii="Arial" w:eastAsia="Times New Roman" w:hAnsi="Arial" w:cs="Arial"/>
          <w:sz w:val="17"/>
          <w:szCs w:val="17"/>
          <w:lang w:eastAsia="ja-JP"/>
        </w:rPr>
        <w:t xml:space="preserve"> </w:t>
      </w:r>
    </w:p>
    <w:p w14:paraId="16FC9DB3" w14:textId="64F6E7A8" w:rsidR="001E5C0C" w:rsidRPr="00FE7E5B" w:rsidRDefault="001E5C0C" w:rsidP="009475AE">
      <w:pPr>
        <w:spacing w:line="276" w:lineRule="auto"/>
        <w:rPr>
          <w:rFonts w:cstheme="minorHAnsi"/>
          <w:b/>
        </w:rPr>
      </w:pPr>
      <w:r w:rsidRPr="00FE7E5B">
        <w:rPr>
          <w:rFonts w:cstheme="minorHAnsi"/>
          <w:b/>
        </w:rPr>
        <w:t>End</w:t>
      </w:r>
      <w:r w:rsidR="004E7A96" w:rsidRPr="00FE7E5B">
        <w:rPr>
          <w:rFonts w:cstheme="minorHAnsi"/>
          <w:b/>
        </w:rPr>
        <w:t xml:space="preserve"> </w:t>
      </w:r>
      <w:r w:rsidRPr="00FE7E5B">
        <w:rPr>
          <w:rFonts w:cstheme="minorHAnsi"/>
          <w:b/>
        </w:rPr>
        <w:t>user</w:t>
      </w:r>
      <w:r w:rsidR="008F3E1C" w:rsidRPr="00FE7E5B">
        <w:rPr>
          <w:rFonts w:cstheme="minorHAnsi"/>
          <w:b/>
        </w:rPr>
        <w:t xml:space="preserve">s </w:t>
      </w:r>
      <w:r w:rsidR="002A022C" w:rsidRPr="002A022C">
        <w:rPr>
          <w:rFonts w:cstheme="minorHAnsi"/>
        </w:rPr>
        <w:t>are</w:t>
      </w:r>
      <w:r w:rsidR="00C85421">
        <w:rPr>
          <w:rFonts w:cstheme="minorHAnsi"/>
        </w:rPr>
        <w:t xml:space="preserve"> the</w:t>
      </w:r>
      <w:r w:rsidR="002A022C" w:rsidRPr="002A022C">
        <w:rPr>
          <w:rFonts w:cstheme="minorHAnsi"/>
        </w:rPr>
        <w:t xml:space="preserve"> final</w:t>
      </w:r>
      <w:r w:rsidR="00C85421">
        <w:rPr>
          <w:rFonts w:cstheme="minorHAnsi"/>
        </w:rPr>
        <w:t xml:space="preserve"> </w:t>
      </w:r>
      <w:r w:rsidR="002A022C" w:rsidRPr="002A022C">
        <w:rPr>
          <w:rFonts w:cstheme="minorHAnsi"/>
        </w:rPr>
        <w:t>downstream customers of RSPs</w:t>
      </w:r>
      <w:r w:rsidR="002A022C">
        <w:rPr>
          <w:rFonts w:cstheme="minorHAnsi"/>
        </w:rPr>
        <w:t>.</w:t>
      </w:r>
      <w:r w:rsidR="008F3E1C" w:rsidRPr="00FE7E5B">
        <w:rPr>
          <w:rFonts w:cstheme="minorHAnsi"/>
        </w:rPr>
        <w:t xml:space="preserve"> </w:t>
      </w:r>
    </w:p>
    <w:p w14:paraId="22DA2C0A" w14:textId="742A11E4" w:rsidR="00070045" w:rsidRPr="00070045" w:rsidRDefault="00070045" w:rsidP="009475AE">
      <w:pPr>
        <w:spacing w:line="276" w:lineRule="auto"/>
        <w:rPr>
          <w:rFonts w:cstheme="minorHAnsi"/>
        </w:rPr>
      </w:pPr>
      <w:r w:rsidRPr="00070045">
        <w:rPr>
          <w:rFonts w:cstheme="minorHAnsi"/>
          <w:b/>
        </w:rPr>
        <w:t>Rollout region</w:t>
      </w:r>
      <w:r w:rsidRPr="00070045">
        <w:rPr>
          <w:rFonts w:cstheme="minorHAnsi"/>
        </w:rPr>
        <w:t xml:space="preserve"> refers to an area (which may be a service area module) that </w:t>
      </w:r>
      <w:r w:rsidR="00771CB6">
        <w:rPr>
          <w:rFonts w:cstheme="minorHAnsi"/>
        </w:rPr>
        <w:t>n</w:t>
      </w:r>
      <w:r w:rsidR="00601030">
        <w:rPr>
          <w:rFonts w:cstheme="minorHAnsi"/>
        </w:rPr>
        <w:t>bn</w:t>
      </w:r>
      <w:r w:rsidRPr="00070045">
        <w:rPr>
          <w:rFonts w:cstheme="minorHAnsi"/>
        </w:rPr>
        <w:t xml:space="preserve"> intends to serve using the </w:t>
      </w:r>
      <w:r w:rsidR="00771CB6">
        <w:rPr>
          <w:rFonts w:cstheme="minorHAnsi"/>
        </w:rPr>
        <w:t>n</w:t>
      </w:r>
      <w:r w:rsidR="00601030">
        <w:rPr>
          <w:rFonts w:cstheme="minorHAnsi"/>
        </w:rPr>
        <w:t>bn</w:t>
      </w:r>
      <w:r w:rsidRPr="00070045">
        <w:rPr>
          <w:rFonts w:cstheme="minorHAnsi"/>
        </w:rPr>
        <w:t xml:space="preserve"> Fixed Line Network.  </w:t>
      </w:r>
    </w:p>
    <w:p w14:paraId="49278F51" w14:textId="75F5472C" w:rsidR="001B60A5" w:rsidRPr="00240502" w:rsidRDefault="00112DAB" w:rsidP="009475AE">
      <w:pPr>
        <w:spacing w:line="276" w:lineRule="auto"/>
        <w:rPr>
          <w:rFonts w:cstheme="minorHAnsi"/>
          <w:b/>
          <w:i/>
        </w:rPr>
      </w:pPr>
      <w:r w:rsidRPr="00D017D3">
        <w:rPr>
          <w:b/>
        </w:rPr>
        <w:t>Over-the-top</w:t>
      </w:r>
      <w:r w:rsidRPr="0080481E">
        <w:t xml:space="preserve"> </w:t>
      </w:r>
      <w:r>
        <w:rPr>
          <w:rFonts w:cstheme="minorHAnsi"/>
          <w:b/>
        </w:rPr>
        <w:t>l</w:t>
      </w:r>
      <w:r w:rsidR="00215AF7">
        <w:rPr>
          <w:rFonts w:cstheme="minorHAnsi"/>
          <w:b/>
        </w:rPr>
        <w:t>egacy s</w:t>
      </w:r>
      <w:r w:rsidR="001B60A5" w:rsidRPr="00240502">
        <w:rPr>
          <w:rFonts w:cstheme="minorHAnsi"/>
          <w:b/>
        </w:rPr>
        <w:t xml:space="preserve">ervices </w:t>
      </w:r>
      <w:r w:rsidR="00E30EBE" w:rsidRPr="00E30EBE">
        <w:rPr>
          <w:rFonts w:cstheme="minorHAnsi"/>
        </w:rPr>
        <w:t xml:space="preserve">are services supplied by </w:t>
      </w:r>
      <w:r w:rsidR="002A2975">
        <w:rPr>
          <w:rFonts w:cstheme="minorHAnsi"/>
        </w:rPr>
        <w:t>a</w:t>
      </w:r>
      <w:r w:rsidR="00E30EBE" w:rsidRPr="00E30EBE">
        <w:rPr>
          <w:rFonts w:cstheme="minorHAnsi"/>
        </w:rPr>
        <w:t xml:space="preserve">pplication service providers that currently </w:t>
      </w:r>
      <w:r w:rsidR="00E30EBE">
        <w:rPr>
          <w:rFonts w:cstheme="minorHAnsi"/>
        </w:rPr>
        <w:t>operate over the copper network</w:t>
      </w:r>
      <w:r w:rsidR="00E30EBE" w:rsidRPr="00E30EBE">
        <w:rPr>
          <w:rFonts w:cstheme="minorHAnsi"/>
        </w:rPr>
        <w:t>. Examples can include medical alarms, security alarms, fire indicator panels</w:t>
      </w:r>
      <w:r w:rsidR="002A2975">
        <w:rPr>
          <w:rFonts w:cstheme="minorHAnsi"/>
        </w:rPr>
        <w:t xml:space="preserve"> and</w:t>
      </w:r>
      <w:r w:rsidR="00E30EBE" w:rsidRPr="00E30EBE">
        <w:rPr>
          <w:rFonts w:cstheme="minorHAnsi"/>
        </w:rPr>
        <w:t xml:space="preserve"> lift phones.</w:t>
      </w:r>
    </w:p>
    <w:p w14:paraId="00077F1C" w14:textId="0995ED4B" w:rsidR="00EF7E72" w:rsidRPr="00507648" w:rsidRDefault="00EF7E72" w:rsidP="009475AE">
      <w:pPr>
        <w:spacing w:line="276" w:lineRule="auto"/>
        <w:rPr>
          <w:rFonts w:cstheme="minorHAnsi"/>
        </w:rPr>
      </w:pPr>
      <w:r w:rsidRPr="00FE7E5B">
        <w:rPr>
          <w:rFonts w:cstheme="minorHAnsi"/>
          <w:b/>
        </w:rPr>
        <w:t>Migration window</w:t>
      </w:r>
      <w:r w:rsidR="00412500">
        <w:rPr>
          <w:rFonts w:cstheme="minorHAnsi"/>
        </w:rPr>
        <w:t xml:space="preserve"> </w:t>
      </w:r>
      <w:r w:rsidR="00171395">
        <w:t xml:space="preserve">for a </w:t>
      </w:r>
      <w:r w:rsidR="00082033">
        <w:t>r</w:t>
      </w:r>
      <w:r w:rsidR="00171395">
        <w:t xml:space="preserve">ollout </w:t>
      </w:r>
      <w:r w:rsidR="00082033">
        <w:t>r</w:t>
      </w:r>
      <w:r w:rsidR="00171395">
        <w:t xml:space="preserve">egion, means the period commencing on the </w:t>
      </w:r>
      <w:r w:rsidR="0063173C">
        <w:t>r</w:t>
      </w:r>
      <w:r w:rsidR="00171395">
        <w:t xml:space="preserve">eady for </w:t>
      </w:r>
      <w:r w:rsidR="0063173C">
        <w:t>s</w:t>
      </w:r>
      <w:r w:rsidR="00171395">
        <w:t xml:space="preserve">ervice </w:t>
      </w:r>
      <w:r w:rsidR="0063173C">
        <w:t>d</w:t>
      </w:r>
      <w:r w:rsidR="00171395">
        <w:t xml:space="preserve">ate and ending on the Disconnection Date for that </w:t>
      </w:r>
      <w:r w:rsidR="00082033">
        <w:t>r</w:t>
      </w:r>
      <w:r w:rsidR="00171395">
        <w:t xml:space="preserve">ollout </w:t>
      </w:r>
      <w:r w:rsidR="00082033">
        <w:t>r</w:t>
      </w:r>
      <w:r w:rsidR="00171395">
        <w:t>egion</w:t>
      </w:r>
      <w:r w:rsidR="00412500">
        <w:rPr>
          <w:rFonts w:cstheme="minorHAnsi"/>
        </w:rPr>
        <w:t xml:space="preserve">. </w:t>
      </w:r>
    </w:p>
    <w:p w14:paraId="4C6239D5" w14:textId="57BD1CFA" w:rsidR="00D14EA9" w:rsidRPr="005060E5" w:rsidRDefault="001E5C0C" w:rsidP="009475AE">
      <w:pPr>
        <w:spacing w:line="276" w:lineRule="auto"/>
        <w:rPr>
          <w:rFonts w:cstheme="minorHAnsi"/>
          <w:b/>
        </w:rPr>
      </w:pPr>
      <w:r w:rsidRPr="00FE7E5B">
        <w:rPr>
          <w:rFonts w:cstheme="minorHAnsi"/>
          <w:b/>
        </w:rPr>
        <w:t>M</w:t>
      </w:r>
      <w:r w:rsidR="00507648" w:rsidRPr="00FE7E5B">
        <w:rPr>
          <w:rFonts w:cstheme="minorHAnsi"/>
          <w:b/>
        </w:rPr>
        <w:t>ulti dwelling unit</w:t>
      </w:r>
      <w:r w:rsidR="001D50A8" w:rsidRPr="00FE7E5B">
        <w:rPr>
          <w:rFonts w:cstheme="minorHAnsi"/>
          <w:b/>
        </w:rPr>
        <w:t xml:space="preserve"> </w:t>
      </w:r>
      <w:r w:rsidR="00E30EBE">
        <w:rPr>
          <w:rFonts w:cstheme="minorHAnsi"/>
          <w:b/>
        </w:rPr>
        <w:t xml:space="preserve">(MDU) </w:t>
      </w:r>
      <w:r w:rsidR="00171395">
        <w:rPr>
          <w:rFonts w:cs="Arial"/>
        </w:rPr>
        <w:t xml:space="preserve">means building or structure which comprises more than one </w:t>
      </w:r>
      <w:r w:rsidR="002A2975">
        <w:rPr>
          <w:rFonts w:cs="Arial"/>
        </w:rPr>
        <w:t>p</w:t>
      </w:r>
      <w:r w:rsidR="00171395">
        <w:rPr>
          <w:rFonts w:cs="Arial"/>
        </w:rPr>
        <w:t>remises (whether used for residential, business, government or other purposes) and which may include common areas</w:t>
      </w:r>
      <w:r w:rsidR="001D50A8" w:rsidRPr="00FE7E5B">
        <w:rPr>
          <w:rFonts w:cstheme="minorHAnsi"/>
        </w:rPr>
        <w:t xml:space="preserve">. </w:t>
      </w:r>
    </w:p>
    <w:p w14:paraId="6537EBB1" w14:textId="0E793B3E" w:rsidR="002A11F7" w:rsidRPr="009730CD" w:rsidRDefault="002A11F7" w:rsidP="009475AE">
      <w:pPr>
        <w:spacing w:line="276" w:lineRule="auto"/>
        <w:rPr>
          <w:rFonts w:cstheme="minorHAnsi"/>
        </w:rPr>
      </w:pPr>
      <w:r>
        <w:rPr>
          <w:rFonts w:cstheme="minorHAnsi"/>
          <w:b/>
        </w:rPr>
        <w:t xml:space="preserve">NBN Migration Management Industry Guideline </w:t>
      </w:r>
      <w:r w:rsidR="002E058B">
        <w:rPr>
          <w:rFonts w:cstheme="minorHAnsi"/>
        </w:rPr>
        <w:t>refers to the</w:t>
      </w:r>
      <w:r>
        <w:rPr>
          <w:rFonts w:cstheme="minorHAnsi"/>
        </w:rPr>
        <w:t xml:space="preserve"> document that was developed by the Communications Alliance Working </w:t>
      </w:r>
      <w:r w:rsidR="005E54A3">
        <w:rPr>
          <w:rFonts w:cstheme="minorHAnsi"/>
        </w:rPr>
        <w:t xml:space="preserve">Committee (WC63) </w:t>
      </w:r>
      <w:r w:rsidR="002E058B">
        <w:rPr>
          <w:rFonts w:cstheme="minorHAnsi"/>
        </w:rPr>
        <w:t xml:space="preserve">to clarify the roles and responsibilities of relevant parties in the migration process </w:t>
      </w:r>
      <w:r>
        <w:rPr>
          <w:rFonts w:cstheme="minorHAnsi"/>
        </w:rPr>
        <w:t>and</w:t>
      </w:r>
      <w:r w:rsidR="002E058B">
        <w:rPr>
          <w:rFonts w:cstheme="minorHAnsi"/>
        </w:rPr>
        <w:t xml:space="preserve"> was</w:t>
      </w:r>
      <w:r>
        <w:rPr>
          <w:rFonts w:cstheme="minorHAnsi"/>
        </w:rPr>
        <w:t xml:space="preserve"> </w:t>
      </w:r>
      <w:r w:rsidRPr="00FE7E5B">
        <w:rPr>
          <w:rFonts w:cstheme="minorHAnsi"/>
        </w:rPr>
        <w:t xml:space="preserve">released on </w:t>
      </w:r>
      <w:r w:rsidR="004D4852">
        <w:rPr>
          <w:rFonts w:cstheme="minorHAnsi"/>
        </w:rPr>
        <w:t>22 December 2014</w:t>
      </w:r>
      <w:r>
        <w:rPr>
          <w:rFonts w:cstheme="minorHAnsi"/>
        </w:rPr>
        <w:t xml:space="preserve">. </w:t>
      </w:r>
    </w:p>
    <w:p w14:paraId="69B11455" w14:textId="77777777" w:rsidR="00171395" w:rsidRPr="00205B0C" w:rsidRDefault="001B60A5" w:rsidP="009475AE">
      <w:pPr>
        <w:keepNext/>
        <w:spacing w:before="120" w:after="120" w:line="276" w:lineRule="auto"/>
      </w:pPr>
      <w:r w:rsidRPr="00171395">
        <w:rPr>
          <w:rFonts w:cstheme="minorHAnsi"/>
          <w:b/>
        </w:rPr>
        <w:t>Premises</w:t>
      </w:r>
      <w:r w:rsidRPr="00171395">
        <w:t xml:space="preserve"> </w:t>
      </w:r>
      <w:r w:rsidR="00171395" w:rsidRPr="00B735E0">
        <w:t>means each of the following:</w:t>
      </w:r>
    </w:p>
    <w:p w14:paraId="4965F997" w14:textId="4205FE1A" w:rsidR="00171395" w:rsidRPr="00B735E0" w:rsidRDefault="00171395" w:rsidP="009475AE">
      <w:pPr>
        <w:keepNext/>
        <w:spacing w:before="120" w:after="120" w:line="276" w:lineRule="auto"/>
      </w:pPr>
      <w:r>
        <w:t xml:space="preserve">(a)  </w:t>
      </w:r>
      <w:r w:rsidRPr="00205B0C">
        <w:t>a location at an address currently used on an on-going basis for residential, business (whether for profit or not), government, health or educational purpose</w:t>
      </w:r>
      <w:r w:rsidR="00017299">
        <w:t>s</w:t>
      </w:r>
    </w:p>
    <w:p w14:paraId="6824E13B" w14:textId="329EE93C" w:rsidR="00171395" w:rsidRPr="00205B0C" w:rsidRDefault="00171395" w:rsidP="009475AE">
      <w:pPr>
        <w:keepNext/>
        <w:spacing w:before="120" w:after="120" w:line="276" w:lineRule="auto"/>
      </w:pPr>
      <w:r>
        <w:t xml:space="preserve">(b)  </w:t>
      </w:r>
      <w:r w:rsidRPr="00205B0C">
        <w:t>a school as defined by the Department of Education, Emp</w:t>
      </w:r>
      <w:r w:rsidR="00017299" w:rsidRPr="00017299">
        <w:t>loyment and Workplace Relations</w:t>
      </w:r>
    </w:p>
    <w:p w14:paraId="69E18A4B" w14:textId="0CFD47B3" w:rsidR="00171395" w:rsidRPr="00205B0C" w:rsidRDefault="00171395" w:rsidP="009475AE">
      <w:pPr>
        <w:keepNext/>
        <w:spacing w:before="120" w:after="120" w:line="276" w:lineRule="auto"/>
      </w:pPr>
      <w:r>
        <w:t xml:space="preserve">(c)  </w:t>
      </w:r>
      <w:r w:rsidRPr="00205B0C">
        <w:t xml:space="preserve">a location within a new development at an address for which </w:t>
      </w:r>
      <w:r w:rsidR="00771CB6">
        <w:t>n</w:t>
      </w:r>
      <w:r w:rsidR="00601030">
        <w:t>bn</w:t>
      </w:r>
      <w:r w:rsidRPr="00205B0C">
        <w:t xml:space="preserve"> is the who</w:t>
      </w:r>
      <w:r w:rsidR="00017299" w:rsidRPr="00017299">
        <w:t>lesale provider of last resort</w:t>
      </w:r>
    </w:p>
    <w:p w14:paraId="0C8354BD" w14:textId="01ED0B82" w:rsidR="00171395" w:rsidRPr="00205B0C" w:rsidRDefault="00171395" w:rsidP="009475AE">
      <w:pPr>
        <w:keepNext/>
        <w:spacing w:before="120" w:after="120" w:line="276" w:lineRule="auto"/>
      </w:pPr>
      <w:r>
        <w:t xml:space="preserve">(d)  </w:t>
      </w:r>
      <w:r w:rsidRPr="00205B0C">
        <w:t xml:space="preserve">a location at an address for a Standard Telephone Service which is activated in compliance with the </w:t>
      </w:r>
      <w:r w:rsidR="00017299" w:rsidRPr="00017299">
        <w:t>universal service obligation</w:t>
      </w:r>
    </w:p>
    <w:p w14:paraId="255682F2" w14:textId="3AEBEDA0" w:rsidR="00171395" w:rsidRPr="00205B0C" w:rsidRDefault="00171395" w:rsidP="009475AE">
      <w:pPr>
        <w:keepNext/>
        <w:spacing w:before="120" w:after="120" w:line="276" w:lineRule="auto"/>
      </w:pPr>
      <w:r>
        <w:t xml:space="preserve">(e)  </w:t>
      </w:r>
      <w:r w:rsidRPr="00205B0C">
        <w:t>a payphone at a location at which Telstra is required to install or maintain a payphone in accordance with an instrument made under section 12EF</w:t>
      </w:r>
      <w:r w:rsidR="00017299" w:rsidRPr="00017299">
        <w:t xml:space="preserve"> of the Consumer Protection Act</w:t>
      </w:r>
    </w:p>
    <w:p w14:paraId="02EA3ECE" w14:textId="0D226BFC" w:rsidR="00171395" w:rsidRDefault="00171395" w:rsidP="009475AE">
      <w:pPr>
        <w:keepNext/>
        <w:spacing w:before="120" w:after="120" w:line="276" w:lineRule="auto"/>
      </w:pPr>
      <w:r>
        <w:t xml:space="preserve">(f)  </w:t>
      </w:r>
      <w:r w:rsidRPr="00AF4283">
        <w:t xml:space="preserve">a location which </w:t>
      </w:r>
      <w:r w:rsidR="00771CB6">
        <w:t>n</w:t>
      </w:r>
      <w:r w:rsidR="00601030">
        <w:t>bn</w:t>
      </w:r>
      <w:r w:rsidRPr="00AF4283">
        <w:t xml:space="preserve"> is directed by the Minister to connec</w:t>
      </w:r>
      <w:r w:rsidR="00017299">
        <w:t xml:space="preserve">t to </w:t>
      </w:r>
      <w:r w:rsidR="00CA379A">
        <w:t xml:space="preserve">nbn’s </w:t>
      </w:r>
      <w:r w:rsidR="00070045">
        <w:t>Fibre</w:t>
      </w:r>
      <w:r w:rsidR="00017299">
        <w:t xml:space="preserve"> Network</w:t>
      </w:r>
    </w:p>
    <w:p w14:paraId="383793C3" w14:textId="798937CB" w:rsidR="001B60A5" w:rsidRPr="00171395" w:rsidRDefault="00171395" w:rsidP="009475AE">
      <w:pPr>
        <w:keepNext/>
        <w:spacing w:before="120" w:after="120" w:line="276" w:lineRule="auto"/>
      </w:pPr>
      <w:r>
        <w:t xml:space="preserve">(g)  </w:t>
      </w:r>
      <w:r w:rsidR="004D4852">
        <w:t>a multi dwelling unit</w:t>
      </w:r>
      <w:r>
        <w:t xml:space="preserve"> </w:t>
      </w:r>
      <w:r w:rsidR="00070045">
        <w:t>common area</w:t>
      </w:r>
      <w:r>
        <w:t xml:space="preserve"> where</w:t>
      </w:r>
      <w:r w:rsidR="00915F05">
        <w:t>,</w:t>
      </w:r>
      <w:r>
        <w:t xml:space="preserve"> and for so long as</w:t>
      </w:r>
      <w:r w:rsidR="00915F05">
        <w:t>,</w:t>
      </w:r>
      <w:r>
        <w:t xml:space="preserve"> it is notified by </w:t>
      </w:r>
      <w:r w:rsidR="00771CB6">
        <w:t>n</w:t>
      </w:r>
      <w:r w:rsidR="00601030">
        <w:t>bn</w:t>
      </w:r>
      <w:r>
        <w:t xml:space="preserve"> to Telstra as being included in the Fixed Line Footprint</w:t>
      </w:r>
      <w:r w:rsidR="00070045">
        <w:t xml:space="preserve"> in a </w:t>
      </w:r>
      <w:r w:rsidR="00082033">
        <w:t>r</w:t>
      </w:r>
      <w:r w:rsidR="00070045">
        <w:t xml:space="preserve">ollout </w:t>
      </w:r>
      <w:r w:rsidR="00082033">
        <w:t>r</w:t>
      </w:r>
      <w:r w:rsidR="00070045">
        <w:t>egion</w:t>
      </w:r>
      <w:r>
        <w:t>.</w:t>
      </w:r>
      <w:r w:rsidR="001B60A5">
        <w:t xml:space="preserve"> </w:t>
      </w:r>
    </w:p>
    <w:p w14:paraId="472C6DC4" w14:textId="649B31A0" w:rsidR="00507648" w:rsidRPr="00FE7E5B" w:rsidRDefault="00070045" w:rsidP="009475AE">
      <w:pPr>
        <w:spacing w:line="276" w:lineRule="auto"/>
        <w:rPr>
          <w:rFonts w:cstheme="minorHAnsi"/>
        </w:rPr>
      </w:pPr>
      <w:r w:rsidRPr="00A0552C">
        <w:rPr>
          <w:rFonts w:asciiTheme="minorHAnsi" w:eastAsia="SimSun" w:hAnsiTheme="minorHAnsi" w:cs="Times New Roman"/>
          <w:b/>
          <w:lang w:eastAsia="zh-CN"/>
        </w:rPr>
        <w:t>P</w:t>
      </w:r>
      <w:r w:rsidR="007B5B29">
        <w:rPr>
          <w:rFonts w:asciiTheme="minorHAnsi" w:eastAsia="SimSun" w:hAnsiTheme="minorHAnsi" w:cs="Times New Roman"/>
          <w:b/>
          <w:lang w:eastAsia="zh-CN"/>
        </w:rPr>
        <w:t>remises p</w:t>
      </w:r>
      <w:r w:rsidRPr="00A0552C">
        <w:rPr>
          <w:rFonts w:asciiTheme="minorHAnsi" w:eastAsia="SimSun" w:hAnsiTheme="minorHAnsi" w:cs="Times New Roman"/>
          <w:b/>
          <w:lang w:eastAsia="zh-CN"/>
        </w:rPr>
        <w:t>assed</w:t>
      </w:r>
      <w:r w:rsidRPr="00A0552C">
        <w:rPr>
          <w:rFonts w:asciiTheme="minorHAnsi" w:hAnsiTheme="minorHAnsi"/>
          <w:b/>
        </w:rPr>
        <w:t xml:space="preserve"> </w:t>
      </w:r>
      <w:r w:rsidR="007B5B29">
        <w:rPr>
          <w:rFonts w:asciiTheme="minorHAnsi" w:hAnsiTheme="minorHAnsi"/>
        </w:rPr>
        <w:t xml:space="preserve">means that a premises is included in the Fixed Footprint List determined based on information notified by nbn to Telstra and is further defined in </w:t>
      </w:r>
      <w:r w:rsidRPr="00A0552C">
        <w:rPr>
          <w:rFonts w:asciiTheme="minorHAnsi" w:eastAsia="SimSun" w:hAnsiTheme="minorHAnsi" w:cs="Times New Roman"/>
          <w:lang w:eastAsia="zh-CN"/>
        </w:rPr>
        <w:t>Telstra</w:t>
      </w:r>
      <w:r w:rsidR="007B5B29">
        <w:rPr>
          <w:rFonts w:asciiTheme="minorHAnsi" w:eastAsia="SimSun" w:hAnsiTheme="minorHAnsi" w:cs="Times New Roman"/>
          <w:lang w:eastAsia="zh-CN"/>
        </w:rPr>
        <w:t>’s</w:t>
      </w:r>
      <w:r w:rsidRPr="00A0552C">
        <w:rPr>
          <w:rFonts w:asciiTheme="minorHAnsi" w:eastAsia="SimSun" w:hAnsiTheme="minorHAnsi" w:cs="Times New Roman"/>
          <w:lang w:eastAsia="zh-CN"/>
        </w:rPr>
        <w:t xml:space="preserve"> Migration Plan</w:t>
      </w:r>
      <w:r>
        <w:rPr>
          <w:rFonts w:asciiTheme="minorHAnsi" w:eastAsia="SimSun" w:hAnsiTheme="minorHAnsi" w:cs="Times New Roman"/>
          <w:lang w:eastAsia="zh-CN"/>
        </w:rPr>
        <w:t xml:space="preserve">. </w:t>
      </w:r>
      <w:r w:rsidR="008F3E1C" w:rsidRPr="00FE7E5B">
        <w:rPr>
          <w:rFonts w:cstheme="minorHAnsi"/>
        </w:rPr>
        <w:t xml:space="preserve"> </w:t>
      </w:r>
    </w:p>
    <w:p w14:paraId="0E7BCE73" w14:textId="1AB47BC7" w:rsidR="001E5C0C" w:rsidRDefault="001E5C0C" w:rsidP="009475AE">
      <w:pPr>
        <w:spacing w:line="276" w:lineRule="auto"/>
        <w:rPr>
          <w:rFonts w:cstheme="minorHAnsi"/>
          <w:b/>
        </w:rPr>
      </w:pPr>
      <w:r w:rsidRPr="00FE7E5B">
        <w:rPr>
          <w:rFonts w:cstheme="minorHAnsi"/>
          <w:b/>
        </w:rPr>
        <w:t>Ready for service</w:t>
      </w:r>
      <w:r w:rsidR="008F3E1C">
        <w:rPr>
          <w:rFonts w:cstheme="minorHAnsi"/>
          <w:b/>
        </w:rPr>
        <w:t xml:space="preserve"> </w:t>
      </w:r>
      <w:r w:rsidR="00412500">
        <w:rPr>
          <w:rFonts w:cstheme="minorHAnsi"/>
        </w:rPr>
        <w:t>means an area is</w:t>
      </w:r>
      <w:r w:rsidR="008F3E1C">
        <w:rPr>
          <w:rFonts w:cstheme="minorHAnsi"/>
        </w:rPr>
        <w:t xml:space="preserve"> ready to accept/provision service orders from R</w:t>
      </w:r>
      <w:r w:rsidR="004D4852">
        <w:rPr>
          <w:rFonts w:cstheme="minorHAnsi"/>
        </w:rPr>
        <w:t>SP</w:t>
      </w:r>
      <w:r w:rsidR="008F3E1C">
        <w:rPr>
          <w:rFonts w:cstheme="minorHAnsi"/>
        </w:rPr>
        <w:t>s</w:t>
      </w:r>
      <w:r w:rsidR="00EB5F71">
        <w:rPr>
          <w:rFonts w:cstheme="minorHAnsi"/>
        </w:rPr>
        <w:t xml:space="preserve"> for serviceable premises</w:t>
      </w:r>
      <w:r w:rsidR="008F3E1C">
        <w:rPr>
          <w:rFonts w:cstheme="minorHAnsi"/>
        </w:rPr>
        <w:t xml:space="preserve">. </w:t>
      </w:r>
    </w:p>
    <w:p w14:paraId="3EABC7E0" w14:textId="44928397" w:rsidR="001B60A5" w:rsidRPr="001B60A5" w:rsidRDefault="001B60A5" w:rsidP="009475AE">
      <w:pPr>
        <w:spacing w:line="276" w:lineRule="auto"/>
        <w:rPr>
          <w:rFonts w:cstheme="minorHAnsi"/>
        </w:rPr>
      </w:pPr>
      <w:r>
        <w:rPr>
          <w:rFonts w:cstheme="minorHAnsi"/>
          <w:b/>
        </w:rPr>
        <w:t xml:space="preserve">RSPs </w:t>
      </w:r>
      <w:r>
        <w:rPr>
          <w:rFonts w:cstheme="minorHAnsi"/>
        </w:rPr>
        <w:t xml:space="preserve">(retail service providers) </w:t>
      </w:r>
      <w:r w:rsidRPr="0030420D">
        <w:rPr>
          <w:rFonts w:cstheme="minorHAnsi"/>
        </w:rPr>
        <w:t xml:space="preserve">are those </w:t>
      </w:r>
      <w:r w:rsidR="002A022C">
        <w:rPr>
          <w:rFonts w:cstheme="minorHAnsi"/>
        </w:rPr>
        <w:t xml:space="preserve">service providers </w:t>
      </w:r>
      <w:r w:rsidRPr="0030420D">
        <w:rPr>
          <w:rFonts w:cstheme="minorHAnsi"/>
        </w:rPr>
        <w:t xml:space="preserve">that provide </w:t>
      </w:r>
      <w:r w:rsidR="00CA379A">
        <w:rPr>
          <w:rFonts w:cstheme="minorHAnsi"/>
        </w:rPr>
        <w:t xml:space="preserve">telecommunications </w:t>
      </w:r>
      <w:r w:rsidRPr="0030420D">
        <w:rPr>
          <w:rFonts w:cstheme="minorHAnsi"/>
        </w:rPr>
        <w:t>services to end users and have a direct</w:t>
      </w:r>
      <w:r>
        <w:rPr>
          <w:rFonts w:cstheme="minorHAnsi"/>
        </w:rPr>
        <w:t xml:space="preserve"> customer relationship with </w:t>
      </w:r>
      <w:r w:rsidRPr="0030420D">
        <w:rPr>
          <w:rFonts w:cstheme="minorHAnsi"/>
        </w:rPr>
        <w:t>end users.</w:t>
      </w:r>
    </w:p>
    <w:p w14:paraId="6AE4B43D" w14:textId="3B8E7853" w:rsidR="003430C3" w:rsidRDefault="003430C3" w:rsidP="009475AE">
      <w:pPr>
        <w:spacing w:line="276" w:lineRule="auto"/>
        <w:rPr>
          <w:rFonts w:cstheme="minorHAnsi"/>
          <w:b/>
        </w:rPr>
      </w:pPr>
      <w:r w:rsidRPr="003430C3">
        <w:rPr>
          <w:rFonts w:cstheme="minorHAnsi"/>
          <w:b/>
        </w:rPr>
        <w:t xml:space="preserve">Service area module </w:t>
      </w:r>
      <w:r w:rsidRPr="003430C3">
        <w:rPr>
          <w:rFonts w:cstheme="minorHAnsi"/>
        </w:rPr>
        <w:t xml:space="preserve">means an area, defined by polygon boundaries, selected by </w:t>
      </w:r>
      <w:r w:rsidR="00771CB6">
        <w:rPr>
          <w:rFonts w:cstheme="minorHAnsi"/>
        </w:rPr>
        <w:t>n</w:t>
      </w:r>
      <w:r w:rsidR="00601030">
        <w:rPr>
          <w:rFonts w:cstheme="minorHAnsi"/>
        </w:rPr>
        <w:t>bn</w:t>
      </w:r>
      <w:r w:rsidRPr="003430C3">
        <w:rPr>
          <w:rFonts w:cstheme="minorHAnsi"/>
        </w:rPr>
        <w:t xml:space="preserve"> in accordance with </w:t>
      </w:r>
      <w:r w:rsidR="00771CB6">
        <w:rPr>
          <w:rFonts w:cstheme="minorHAnsi"/>
        </w:rPr>
        <w:t>n</w:t>
      </w:r>
      <w:r w:rsidR="00601030">
        <w:rPr>
          <w:rFonts w:cstheme="minorHAnsi"/>
        </w:rPr>
        <w:t>bn</w:t>
      </w:r>
      <w:r w:rsidRPr="003430C3">
        <w:rPr>
          <w:rFonts w:cstheme="minorHAnsi"/>
        </w:rPr>
        <w:t xml:space="preserve">’s design </w:t>
      </w:r>
      <w:r w:rsidR="0089371F" w:rsidRPr="003430C3">
        <w:rPr>
          <w:rFonts w:cstheme="minorHAnsi"/>
        </w:rPr>
        <w:t>rules that</w:t>
      </w:r>
      <w:r w:rsidRPr="003430C3">
        <w:rPr>
          <w:rFonts w:cstheme="minorHAnsi"/>
        </w:rPr>
        <w:t xml:space="preserve"> covers a maximum of 4,000 premises (which may be a small town or part suburb in the case of large cities). </w:t>
      </w:r>
    </w:p>
    <w:p w14:paraId="4BBBE292" w14:textId="2CAE993D" w:rsidR="005F043B" w:rsidRPr="000C2467" w:rsidRDefault="001E5C0C" w:rsidP="009475AE">
      <w:pPr>
        <w:spacing w:line="276" w:lineRule="auto"/>
      </w:pPr>
      <w:r w:rsidRPr="00FE7E5B">
        <w:rPr>
          <w:rFonts w:cstheme="minorHAnsi"/>
          <w:b/>
        </w:rPr>
        <w:t xml:space="preserve">Serviceability </w:t>
      </w:r>
      <w:r w:rsidR="00E06E79" w:rsidRPr="00E06E79">
        <w:rPr>
          <w:rFonts w:cstheme="minorHAnsi"/>
        </w:rPr>
        <w:t xml:space="preserve">means the ability of </w:t>
      </w:r>
      <w:r w:rsidR="00CA379A">
        <w:rPr>
          <w:rFonts w:cstheme="minorHAnsi"/>
        </w:rPr>
        <w:t>one of</w:t>
      </w:r>
      <w:r w:rsidR="00CA379A" w:rsidRPr="00E06E79">
        <w:rPr>
          <w:rFonts w:cstheme="minorHAnsi"/>
        </w:rPr>
        <w:t xml:space="preserve"> </w:t>
      </w:r>
      <w:r w:rsidR="00771CB6">
        <w:rPr>
          <w:rFonts w:cstheme="minorHAnsi"/>
        </w:rPr>
        <w:t>n</w:t>
      </w:r>
      <w:r w:rsidR="00601030">
        <w:rPr>
          <w:rFonts w:cstheme="minorHAnsi"/>
        </w:rPr>
        <w:t>bn</w:t>
      </w:r>
      <w:r w:rsidR="00CA379A">
        <w:rPr>
          <w:rFonts w:cstheme="minorHAnsi"/>
        </w:rPr>
        <w:t>’s</w:t>
      </w:r>
      <w:r w:rsidR="00E06E79" w:rsidRPr="00E06E79">
        <w:rPr>
          <w:rFonts w:cstheme="minorHAnsi"/>
        </w:rPr>
        <w:t xml:space="preserve"> RSP customer</w:t>
      </w:r>
      <w:r w:rsidR="00CA379A">
        <w:rPr>
          <w:rFonts w:cstheme="minorHAnsi"/>
        </w:rPr>
        <w:t>s</w:t>
      </w:r>
      <w:r w:rsidR="00E06E79" w:rsidRPr="00E06E79">
        <w:rPr>
          <w:rFonts w:cstheme="minorHAnsi"/>
        </w:rPr>
        <w:t xml:space="preserve"> to place </w:t>
      </w:r>
      <w:r w:rsidR="00E06E79">
        <w:rPr>
          <w:rFonts w:cstheme="minorHAnsi"/>
        </w:rPr>
        <w:t>a</w:t>
      </w:r>
      <w:r w:rsidR="009547EB">
        <w:rPr>
          <w:rFonts w:cstheme="minorHAnsi"/>
        </w:rPr>
        <w:t xml:space="preserve"> national broadand</w:t>
      </w:r>
      <w:r w:rsidR="00CA379A">
        <w:rPr>
          <w:rFonts w:cstheme="minorHAnsi"/>
        </w:rPr>
        <w:t xml:space="preserve"> network</w:t>
      </w:r>
      <w:r w:rsidR="00E06E79">
        <w:rPr>
          <w:rFonts w:cstheme="minorHAnsi"/>
        </w:rPr>
        <w:t xml:space="preserve"> connection order into </w:t>
      </w:r>
      <w:r w:rsidR="00771CB6">
        <w:rPr>
          <w:rFonts w:cstheme="minorHAnsi"/>
        </w:rPr>
        <w:t>n</w:t>
      </w:r>
      <w:r w:rsidR="00601030">
        <w:rPr>
          <w:rFonts w:cstheme="minorHAnsi"/>
        </w:rPr>
        <w:t>bn</w:t>
      </w:r>
      <w:r w:rsidR="00E06E79" w:rsidRPr="00E06E79">
        <w:rPr>
          <w:rFonts w:cstheme="minorHAnsi"/>
        </w:rPr>
        <w:t>'s ordering systems for a specified premises</w:t>
      </w:r>
      <w:r w:rsidR="002A11F7" w:rsidRPr="00FE7E5B">
        <w:t>.</w:t>
      </w:r>
    </w:p>
    <w:p w14:paraId="0519A4AE" w14:textId="77777777" w:rsidR="005F043B" w:rsidRDefault="005F043B" w:rsidP="009475AE">
      <w:pPr>
        <w:spacing w:before="0" w:line="276" w:lineRule="auto"/>
      </w:pPr>
    </w:p>
    <w:p w14:paraId="1788B5BF" w14:textId="6BC72A85" w:rsidR="00E06E79" w:rsidRDefault="002A11F7" w:rsidP="009475AE">
      <w:pPr>
        <w:pStyle w:val="BodyText"/>
        <w:spacing w:before="0" w:after="0" w:line="276" w:lineRule="auto"/>
      </w:pPr>
      <w:r w:rsidRPr="00FE7E5B">
        <w:rPr>
          <w:b/>
        </w:rPr>
        <w:t xml:space="preserve">Service class </w:t>
      </w:r>
      <w:r w:rsidR="00E06E79">
        <w:rPr>
          <w:b/>
        </w:rPr>
        <w:t>0</w:t>
      </w:r>
      <w:r w:rsidRPr="00FE7E5B">
        <w:t xml:space="preserve"> </w:t>
      </w:r>
      <w:r w:rsidR="00215AF7">
        <w:t>means the service c</w:t>
      </w:r>
      <w:r w:rsidR="00E06E79">
        <w:t xml:space="preserve">lass </w:t>
      </w:r>
      <w:r w:rsidR="0061154A">
        <w:t xml:space="preserve">determined by </w:t>
      </w:r>
      <w:r w:rsidR="00771CB6">
        <w:t>n</w:t>
      </w:r>
      <w:r w:rsidR="00601030">
        <w:t>bn</w:t>
      </w:r>
      <w:r w:rsidR="0061154A">
        <w:t xml:space="preserve"> </w:t>
      </w:r>
      <w:r w:rsidR="00E06E79">
        <w:t xml:space="preserve">that applies to a </w:t>
      </w:r>
      <w:r w:rsidR="009976F7">
        <w:t>p</w:t>
      </w:r>
      <w:r w:rsidR="00E06E79">
        <w:t xml:space="preserve">remises that is: </w:t>
      </w:r>
    </w:p>
    <w:p w14:paraId="70170214" w14:textId="52B721FB" w:rsidR="00E06E79" w:rsidRDefault="00E06E79" w:rsidP="009475AE">
      <w:pPr>
        <w:pStyle w:val="BodyText"/>
        <w:numPr>
          <w:ilvl w:val="0"/>
          <w:numId w:val="46"/>
        </w:numPr>
        <w:spacing w:before="0" w:after="0" w:line="276" w:lineRule="auto"/>
      </w:pPr>
      <w:r>
        <w:t>in the footpr</w:t>
      </w:r>
      <w:r w:rsidR="009D34DD">
        <w:t xml:space="preserve">int of the </w:t>
      </w:r>
      <w:r w:rsidR="00771CB6">
        <w:t>n</w:t>
      </w:r>
      <w:r w:rsidR="00601030">
        <w:t>bn</w:t>
      </w:r>
      <w:r w:rsidR="009D34DD">
        <w:t xml:space="preserve"> </w:t>
      </w:r>
      <w:r w:rsidR="003430C3">
        <w:t xml:space="preserve">Fixed Line </w:t>
      </w:r>
      <w:r w:rsidR="009D34DD">
        <w:t>Network</w:t>
      </w:r>
      <w:r>
        <w:t xml:space="preserve"> and </w:t>
      </w:r>
    </w:p>
    <w:p w14:paraId="2CE51323" w14:textId="413976D4" w:rsidR="005060E5" w:rsidRPr="00CD5334" w:rsidRDefault="00E06E79" w:rsidP="00CD5334">
      <w:pPr>
        <w:pStyle w:val="BodyText"/>
        <w:numPr>
          <w:ilvl w:val="0"/>
          <w:numId w:val="46"/>
        </w:numPr>
        <w:spacing w:before="0" w:line="276" w:lineRule="auto"/>
      </w:pPr>
      <w:r>
        <w:t xml:space="preserve">not </w:t>
      </w:r>
      <w:r w:rsidR="00CA379A">
        <w:t>n</w:t>
      </w:r>
      <w:r w:rsidR="009547EB">
        <w:t>ational broadband</w:t>
      </w:r>
      <w:r w:rsidR="00CA379A">
        <w:t xml:space="preserve"> network</w:t>
      </w:r>
      <w:r>
        <w:t xml:space="preserve"> </w:t>
      </w:r>
      <w:r w:rsidR="002A2975">
        <w:t>s</w:t>
      </w:r>
      <w:r>
        <w:t xml:space="preserve">erviceable for the purposes of the </w:t>
      </w:r>
      <w:r w:rsidR="00771CB6">
        <w:t>n</w:t>
      </w:r>
      <w:r w:rsidR="00601030">
        <w:t>bn</w:t>
      </w:r>
      <w:r w:rsidR="00CA379A">
        <w:t>’s</w:t>
      </w:r>
      <w:r w:rsidR="002543F6">
        <w:t xml:space="preserve"> </w:t>
      </w:r>
      <w:r>
        <w:t>E</w:t>
      </w:r>
      <w:r w:rsidR="002543F6">
        <w:t xml:space="preserve">thernet </w:t>
      </w:r>
      <w:r>
        <w:t>B</w:t>
      </w:r>
      <w:r w:rsidR="002543F6">
        <w:t xml:space="preserve">itstream </w:t>
      </w:r>
      <w:r>
        <w:t>S</w:t>
      </w:r>
      <w:r w:rsidR="002543F6">
        <w:t>ervice</w:t>
      </w:r>
      <w:r>
        <w:t xml:space="preserve"> </w:t>
      </w:r>
      <w:r w:rsidR="003430C3" w:rsidRPr="003430C3">
        <w:t xml:space="preserve">using FTTP access technology and </w:t>
      </w:r>
      <w:r>
        <w:t xml:space="preserve">supplied by means of </w:t>
      </w:r>
      <w:r w:rsidR="00771CB6">
        <w:t>n</w:t>
      </w:r>
      <w:r w:rsidR="00601030">
        <w:t>bn</w:t>
      </w:r>
      <w:r w:rsidR="00CA379A">
        <w:t>’s</w:t>
      </w:r>
      <w:r>
        <w:t xml:space="preserve"> </w:t>
      </w:r>
      <w:r w:rsidR="003430C3">
        <w:t xml:space="preserve">Fixed Line </w:t>
      </w:r>
      <w:r>
        <w:t>Network.</w:t>
      </w:r>
    </w:p>
    <w:p w14:paraId="3B122364" w14:textId="24F188E6" w:rsidR="00E06E79" w:rsidRPr="00E06E79" w:rsidRDefault="002A11F7" w:rsidP="009475AE">
      <w:pPr>
        <w:pStyle w:val="BodyText"/>
        <w:spacing w:before="0" w:after="0" w:line="276" w:lineRule="auto"/>
      </w:pPr>
      <w:r w:rsidRPr="00FE7E5B">
        <w:rPr>
          <w:b/>
        </w:rPr>
        <w:t xml:space="preserve">Service class </w:t>
      </w:r>
      <w:r w:rsidR="00E06E79">
        <w:rPr>
          <w:b/>
        </w:rPr>
        <w:t>1</w:t>
      </w:r>
      <w:r w:rsidRPr="00FE7E5B">
        <w:t xml:space="preserve"> </w:t>
      </w:r>
      <w:r w:rsidR="00215AF7">
        <w:t>means the service c</w:t>
      </w:r>
      <w:r w:rsidR="00E06E79" w:rsidRPr="00E06E79">
        <w:t xml:space="preserve">lass that </w:t>
      </w:r>
      <w:r w:rsidR="0061154A">
        <w:t xml:space="preserve">is determined by </w:t>
      </w:r>
      <w:r w:rsidR="00771CB6">
        <w:t>n</w:t>
      </w:r>
      <w:r w:rsidR="00601030">
        <w:t>bn</w:t>
      </w:r>
      <w:r w:rsidR="0061154A">
        <w:t xml:space="preserve"> and </w:t>
      </w:r>
      <w:r w:rsidR="00E06E79" w:rsidRPr="00E06E79">
        <w:t xml:space="preserve">applies to a </w:t>
      </w:r>
      <w:r w:rsidR="009976F7">
        <w:t>p</w:t>
      </w:r>
      <w:r w:rsidR="00E06E79" w:rsidRPr="00E06E79">
        <w:t xml:space="preserve">remises: </w:t>
      </w:r>
    </w:p>
    <w:p w14:paraId="41E49975" w14:textId="00C880BA" w:rsidR="00E06E79" w:rsidRPr="00E06E79" w:rsidRDefault="00E06E79" w:rsidP="009475AE">
      <w:pPr>
        <w:pStyle w:val="ListParagraph"/>
        <w:numPr>
          <w:ilvl w:val="0"/>
          <w:numId w:val="47"/>
        </w:numPr>
        <w:spacing w:before="0" w:line="276" w:lineRule="auto"/>
      </w:pPr>
      <w:r w:rsidRPr="00E06E79">
        <w:t>that is in the footpr</w:t>
      </w:r>
      <w:r w:rsidR="009D34DD">
        <w:t xml:space="preserve">int of </w:t>
      </w:r>
      <w:r w:rsidR="00771CB6">
        <w:t>n</w:t>
      </w:r>
      <w:r w:rsidR="00601030">
        <w:t>bn</w:t>
      </w:r>
      <w:r w:rsidR="00CA379A">
        <w:t>’s</w:t>
      </w:r>
      <w:r w:rsidR="009D34DD">
        <w:t xml:space="preserve"> </w:t>
      </w:r>
      <w:r w:rsidR="003430C3">
        <w:t xml:space="preserve">Fixed Line </w:t>
      </w:r>
      <w:r w:rsidR="009D34DD">
        <w:t>Network</w:t>
      </w:r>
    </w:p>
    <w:p w14:paraId="79DFE715" w14:textId="5490694C" w:rsidR="00E06E79" w:rsidRPr="00E06E79" w:rsidRDefault="00E06E79" w:rsidP="009475AE">
      <w:pPr>
        <w:pStyle w:val="ListParagraph"/>
        <w:numPr>
          <w:ilvl w:val="0"/>
          <w:numId w:val="47"/>
        </w:numPr>
        <w:spacing w:before="0" w:line="276" w:lineRule="auto"/>
      </w:pPr>
      <w:r w:rsidRPr="00E06E79">
        <w:t xml:space="preserve">that is </w:t>
      </w:r>
      <w:r w:rsidR="00CA379A">
        <w:t>n</w:t>
      </w:r>
      <w:r w:rsidR="009547EB">
        <w:t>ational broadband</w:t>
      </w:r>
      <w:r w:rsidR="00CA379A">
        <w:t xml:space="preserve"> network</w:t>
      </w:r>
      <w:r w:rsidRPr="00E06E79">
        <w:t xml:space="preserve"> </w:t>
      </w:r>
      <w:r w:rsidR="002A2975">
        <w:t>s</w:t>
      </w:r>
      <w:r w:rsidRPr="00E06E79">
        <w:t xml:space="preserve">erviceable for the purposes of </w:t>
      </w:r>
      <w:r w:rsidR="00771CB6">
        <w:t>n</w:t>
      </w:r>
      <w:r w:rsidR="00601030">
        <w:t>bn</w:t>
      </w:r>
      <w:r w:rsidR="00CA379A">
        <w:t>’s</w:t>
      </w:r>
      <w:r w:rsidR="004D4852">
        <w:t xml:space="preserve"> Ethernet Bitstream Service</w:t>
      </w:r>
      <w:r w:rsidRPr="00E06E79">
        <w:t xml:space="preserve"> </w:t>
      </w:r>
      <w:r w:rsidR="00452BAC" w:rsidRPr="00452BAC">
        <w:t xml:space="preserve">using FTTP access technology and </w:t>
      </w:r>
      <w:r w:rsidRPr="00E06E79">
        <w:t>supplied by mea</w:t>
      </w:r>
      <w:r w:rsidR="009D34DD">
        <w:t xml:space="preserve">ns of </w:t>
      </w:r>
      <w:r w:rsidR="00771CB6">
        <w:t>n</w:t>
      </w:r>
      <w:r w:rsidR="00601030">
        <w:t>bn</w:t>
      </w:r>
      <w:r w:rsidR="00CA379A">
        <w:t>’s</w:t>
      </w:r>
      <w:r w:rsidR="009D34DD">
        <w:t xml:space="preserve"> </w:t>
      </w:r>
      <w:r w:rsidR="003430C3">
        <w:t xml:space="preserve">Fixed Line </w:t>
      </w:r>
      <w:r w:rsidR="009D34DD">
        <w:t xml:space="preserve">Network </w:t>
      </w:r>
      <w:r w:rsidRPr="00E06E79">
        <w:t>and</w:t>
      </w:r>
    </w:p>
    <w:p w14:paraId="1DB0F8B5" w14:textId="3C688DEA" w:rsidR="00E06E79" w:rsidRPr="00E06E79" w:rsidRDefault="00E06E79" w:rsidP="009475AE">
      <w:pPr>
        <w:pStyle w:val="ListParagraph"/>
        <w:numPr>
          <w:ilvl w:val="0"/>
          <w:numId w:val="47"/>
        </w:numPr>
        <w:spacing w:before="0" w:line="276" w:lineRule="auto"/>
      </w:pPr>
      <w:r w:rsidRPr="00E06E79">
        <w:t xml:space="preserve">where a physical connection is not in place between the </w:t>
      </w:r>
      <w:r w:rsidR="009976F7">
        <w:t>n</w:t>
      </w:r>
      <w:r w:rsidR="002543F6">
        <w:t xml:space="preserve">etwork </w:t>
      </w:r>
      <w:r w:rsidR="009976F7">
        <w:t>a</w:t>
      </w:r>
      <w:r w:rsidR="002543F6">
        <w:t xml:space="preserve">ccess </w:t>
      </w:r>
      <w:r w:rsidR="009976F7">
        <w:t>p</w:t>
      </w:r>
      <w:r w:rsidR="002543F6">
        <w:t>oint</w:t>
      </w:r>
      <w:r w:rsidRPr="00E06E79">
        <w:t xml:space="preserve"> and the </w:t>
      </w:r>
      <w:r w:rsidR="009976F7">
        <w:t>p</w:t>
      </w:r>
      <w:r w:rsidR="002543F6">
        <w:t xml:space="preserve">remises </w:t>
      </w:r>
      <w:r w:rsidR="009976F7">
        <w:t>c</w:t>
      </w:r>
      <w:r w:rsidR="002543F6">
        <w:t xml:space="preserve">onnection </w:t>
      </w:r>
      <w:r w:rsidR="009976F7">
        <w:t>d</w:t>
      </w:r>
      <w:r w:rsidR="002543F6">
        <w:t>evice</w:t>
      </w:r>
      <w:r w:rsidRPr="00E06E79">
        <w:t>, including where:</w:t>
      </w:r>
    </w:p>
    <w:p w14:paraId="2941F6C5" w14:textId="2EA591AF" w:rsidR="00E06E79" w:rsidRPr="00E06E79" w:rsidRDefault="00E06E79" w:rsidP="009475AE">
      <w:pPr>
        <w:pStyle w:val="ListParagraph"/>
        <w:numPr>
          <w:ilvl w:val="1"/>
          <w:numId w:val="48"/>
        </w:numPr>
        <w:spacing w:before="0" w:line="276" w:lineRule="auto"/>
      </w:pPr>
      <w:r w:rsidRPr="00E06E79">
        <w:t xml:space="preserve">the Drop Fibre or </w:t>
      </w:r>
      <w:r w:rsidR="004D4852">
        <w:t>premises connection device</w:t>
      </w:r>
      <w:r w:rsidR="009D34DD">
        <w:t xml:space="preserve"> has not been installed </w:t>
      </w:r>
      <w:r w:rsidRPr="00E06E79">
        <w:t>or</w:t>
      </w:r>
    </w:p>
    <w:p w14:paraId="334B95D3" w14:textId="2671C608" w:rsidR="00E06E79" w:rsidRDefault="00E06E79" w:rsidP="009475AE">
      <w:pPr>
        <w:pStyle w:val="ListParagraph"/>
        <w:numPr>
          <w:ilvl w:val="1"/>
          <w:numId w:val="48"/>
        </w:numPr>
        <w:spacing w:before="0" w:line="276" w:lineRule="auto"/>
      </w:pPr>
      <w:r w:rsidRPr="00E06E79">
        <w:t xml:space="preserve">some augmentation or patching between the </w:t>
      </w:r>
      <w:r w:rsidR="004D4852">
        <w:t>premises connection device</w:t>
      </w:r>
      <w:r w:rsidRPr="00E06E79">
        <w:t xml:space="preserve"> and the </w:t>
      </w:r>
      <w:r w:rsidR="004D4852">
        <w:t>network access point</w:t>
      </w:r>
      <w:r w:rsidRPr="00E06E79">
        <w:t xml:space="preserve"> is required for the supply of </w:t>
      </w:r>
      <w:r w:rsidR="00771CB6">
        <w:t>n</w:t>
      </w:r>
      <w:r w:rsidR="00601030">
        <w:t>bn</w:t>
      </w:r>
      <w:r w:rsidR="00CA379A">
        <w:t>’s</w:t>
      </w:r>
      <w:r w:rsidR="004D4852">
        <w:t xml:space="preserve"> Ethernet Bitstream Service</w:t>
      </w:r>
      <w:r w:rsidRPr="00E06E79">
        <w:t xml:space="preserve"> supplied by means of </w:t>
      </w:r>
      <w:r w:rsidR="00771CB6">
        <w:t>n</w:t>
      </w:r>
      <w:r w:rsidR="00601030">
        <w:t>bn</w:t>
      </w:r>
      <w:r w:rsidR="00CA379A">
        <w:t>’s</w:t>
      </w:r>
      <w:r w:rsidRPr="00E06E79">
        <w:t xml:space="preserve"> </w:t>
      </w:r>
      <w:r w:rsidR="003430C3">
        <w:t>Fixed Line</w:t>
      </w:r>
      <w:r w:rsidR="003430C3" w:rsidRPr="00E06E79">
        <w:t xml:space="preserve"> </w:t>
      </w:r>
      <w:r w:rsidRPr="00E06E79">
        <w:t>Network.</w:t>
      </w:r>
    </w:p>
    <w:p w14:paraId="49B56C38" w14:textId="77777777" w:rsidR="00E06E79" w:rsidRPr="00E06E79" w:rsidRDefault="00E06E79" w:rsidP="009475AE">
      <w:pPr>
        <w:pStyle w:val="ListParagraph"/>
        <w:spacing w:before="0" w:line="276" w:lineRule="auto"/>
        <w:ind w:left="1440"/>
      </w:pPr>
    </w:p>
    <w:p w14:paraId="2CDE6567" w14:textId="3F20BDC3" w:rsidR="00E06E79" w:rsidRDefault="00E06E79" w:rsidP="009475AE">
      <w:pPr>
        <w:pStyle w:val="BodyText"/>
        <w:spacing w:before="0" w:after="0" w:line="276" w:lineRule="auto"/>
      </w:pPr>
      <w:r>
        <w:rPr>
          <w:b/>
        </w:rPr>
        <w:t>Service class 2</w:t>
      </w:r>
      <w:r w:rsidR="002A11F7" w:rsidRPr="00FE7E5B">
        <w:rPr>
          <w:b/>
        </w:rPr>
        <w:t xml:space="preserve"> </w:t>
      </w:r>
      <w:r w:rsidR="00215AF7">
        <w:t>means the service c</w:t>
      </w:r>
      <w:r>
        <w:t xml:space="preserve">lass </w:t>
      </w:r>
      <w:r w:rsidR="0061154A" w:rsidRPr="0061154A">
        <w:t xml:space="preserve">determined by </w:t>
      </w:r>
      <w:r w:rsidR="00771CB6">
        <w:t>n</w:t>
      </w:r>
      <w:r w:rsidR="00601030">
        <w:t>bn</w:t>
      </w:r>
      <w:r w:rsidR="0061154A" w:rsidRPr="0061154A">
        <w:t xml:space="preserve"> and </w:t>
      </w:r>
      <w:r>
        <w:t xml:space="preserve">that applies to a </w:t>
      </w:r>
      <w:r w:rsidR="009976F7">
        <w:t>p</w:t>
      </w:r>
      <w:r>
        <w:t xml:space="preserve">remises: </w:t>
      </w:r>
    </w:p>
    <w:p w14:paraId="6AE4EDAB" w14:textId="75C6F1D3" w:rsidR="00E06E79" w:rsidRDefault="00E06E79" w:rsidP="009475AE">
      <w:pPr>
        <w:pStyle w:val="BodyText"/>
        <w:numPr>
          <w:ilvl w:val="0"/>
          <w:numId w:val="49"/>
        </w:numPr>
        <w:spacing w:before="0" w:after="0" w:line="276" w:lineRule="auto"/>
      </w:pPr>
      <w:r>
        <w:t xml:space="preserve">that is in the footprint of </w:t>
      </w:r>
      <w:r w:rsidR="00771CB6">
        <w:t>n</w:t>
      </w:r>
      <w:r w:rsidR="00601030">
        <w:t>bn</w:t>
      </w:r>
      <w:r w:rsidR="00CA379A">
        <w:t>’s</w:t>
      </w:r>
      <w:r>
        <w:t xml:space="preserve"> </w:t>
      </w:r>
      <w:r w:rsidR="003430C3">
        <w:t xml:space="preserve">Fixed Line </w:t>
      </w:r>
      <w:r>
        <w:t xml:space="preserve">Network </w:t>
      </w:r>
    </w:p>
    <w:p w14:paraId="6B7E9D5F" w14:textId="432470FC" w:rsidR="00E06E79" w:rsidRDefault="00E06E79" w:rsidP="009475AE">
      <w:pPr>
        <w:pStyle w:val="BodyText"/>
        <w:numPr>
          <w:ilvl w:val="0"/>
          <w:numId w:val="49"/>
        </w:numPr>
        <w:spacing w:before="0" w:after="0" w:line="276" w:lineRule="auto"/>
      </w:pPr>
      <w:r>
        <w:t xml:space="preserve">that is </w:t>
      </w:r>
      <w:r w:rsidR="00CA379A">
        <w:t>n</w:t>
      </w:r>
      <w:r w:rsidR="009547EB">
        <w:t>ational broadband</w:t>
      </w:r>
      <w:r w:rsidR="00CA379A">
        <w:t xml:space="preserve"> network</w:t>
      </w:r>
      <w:r>
        <w:t xml:space="preserve"> </w:t>
      </w:r>
      <w:r w:rsidR="002A2975">
        <w:t>s</w:t>
      </w:r>
      <w:r>
        <w:t xml:space="preserve">erviceable for the purposes of </w:t>
      </w:r>
      <w:r w:rsidR="00771CB6">
        <w:t>n</w:t>
      </w:r>
      <w:r w:rsidR="00601030">
        <w:t>bn</w:t>
      </w:r>
      <w:r w:rsidR="00CA379A">
        <w:t>’s</w:t>
      </w:r>
      <w:r w:rsidR="00073C11">
        <w:t xml:space="preserve"> Ethernet Bitstream Service</w:t>
      </w:r>
      <w:r>
        <w:t xml:space="preserve"> </w:t>
      </w:r>
      <w:r w:rsidR="003430C3" w:rsidRPr="003430C3">
        <w:t xml:space="preserve">using FTTP access technology and </w:t>
      </w:r>
      <w:r>
        <w:t>supplied by me</w:t>
      </w:r>
      <w:r w:rsidR="009D34DD">
        <w:t xml:space="preserve">ans of </w:t>
      </w:r>
      <w:r w:rsidR="00771CB6">
        <w:t>n</w:t>
      </w:r>
      <w:r w:rsidR="00601030">
        <w:t>bn</w:t>
      </w:r>
      <w:r w:rsidR="00CA379A">
        <w:t>’s</w:t>
      </w:r>
      <w:r w:rsidR="009D34DD">
        <w:t xml:space="preserve"> </w:t>
      </w:r>
      <w:r w:rsidR="003430C3">
        <w:t xml:space="preserve">Fixed Line </w:t>
      </w:r>
      <w:r w:rsidR="009D34DD">
        <w:t>Network</w:t>
      </w:r>
      <w:r>
        <w:t xml:space="preserve"> </w:t>
      </w:r>
    </w:p>
    <w:p w14:paraId="73684736" w14:textId="4C958C71" w:rsidR="00E06E79" w:rsidRDefault="00E06E79" w:rsidP="009475AE">
      <w:pPr>
        <w:pStyle w:val="BodyText"/>
        <w:numPr>
          <w:ilvl w:val="0"/>
          <w:numId w:val="49"/>
        </w:numPr>
        <w:spacing w:before="0" w:after="0" w:line="276" w:lineRule="auto"/>
      </w:pPr>
      <w:r>
        <w:t xml:space="preserve">where a physical connection is in place between the </w:t>
      </w:r>
      <w:r w:rsidR="004D4852">
        <w:t>network access point</w:t>
      </w:r>
      <w:r>
        <w:t xml:space="preserve"> and the </w:t>
      </w:r>
      <w:r w:rsidR="004D4852">
        <w:t>premises connection device</w:t>
      </w:r>
      <w:r>
        <w:t xml:space="preserve"> (including where the Drop Fibre and </w:t>
      </w:r>
      <w:r w:rsidR="004D4852">
        <w:t>premises connection device</w:t>
      </w:r>
      <w:r>
        <w:t xml:space="preserve"> are installed as part of </w:t>
      </w:r>
      <w:r w:rsidR="00771CB6">
        <w:t>n</w:t>
      </w:r>
      <w:r w:rsidR="00601030">
        <w:t>bn</w:t>
      </w:r>
      <w:r w:rsidR="007F745C">
        <w:t>’s</w:t>
      </w:r>
      <w:r>
        <w:t xml:space="preserve"> </w:t>
      </w:r>
      <w:r w:rsidR="003430C3">
        <w:t xml:space="preserve">Fixed Line </w:t>
      </w:r>
      <w:r>
        <w:t xml:space="preserve">Network) and no augmentation or patching between the </w:t>
      </w:r>
      <w:r w:rsidR="004D4852">
        <w:t>premises connection device</w:t>
      </w:r>
      <w:r>
        <w:t xml:space="preserve"> and the </w:t>
      </w:r>
      <w:r w:rsidR="004D4852">
        <w:t>network access point</w:t>
      </w:r>
      <w:r>
        <w:t xml:space="preserve"> is required for the supply of </w:t>
      </w:r>
      <w:r w:rsidR="00771CB6">
        <w:t>n</w:t>
      </w:r>
      <w:r w:rsidR="00601030">
        <w:t>bn</w:t>
      </w:r>
      <w:r w:rsidR="007F745C">
        <w:t>’s</w:t>
      </w:r>
      <w:r w:rsidR="004D4852">
        <w:t xml:space="preserve"> Ethernet Bitstream Service</w:t>
      </w:r>
      <w:r>
        <w:t xml:space="preserve"> supplied by me</w:t>
      </w:r>
      <w:r w:rsidR="009D34DD">
        <w:t xml:space="preserve">ans of </w:t>
      </w:r>
      <w:r w:rsidR="00771CB6">
        <w:t>n</w:t>
      </w:r>
      <w:r w:rsidR="00601030">
        <w:t>bn</w:t>
      </w:r>
      <w:r w:rsidR="00CA379A">
        <w:t>’s</w:t>
      </w:r>
      <w:r w:rsidR="009D34DD">
        <w:t xml:space="preserve"> </w:t>
      </w:r>
      <w:r w:rsidR="003430C3">
        <w:t xml:space="preserve">Fixed Line </w:t>
      </w:r>
      <w:r w:rsidR="009D34DD">
        <w:t>Network</w:t>
      </w:r>
      <w:r>
        <w:t xml:space="preserve"> and</w:t>
      </w:r>
    </w:p>
    <w:p w14:paraId="56D5BD6B" w14:textId="348722A4" w:rsidR="00E06E79" w:rsidRDefault="00E06E79" w:rsidP="009475AE">
      <w:pPr>
        <w:pStyle w:val="BodyText"/>
        <w:numPr>
          <w:ilvl w:val="0"/>
          <w:numId w:val="49"/>
        </w:numPr>
        <w:spacing w:before="0" w:after="0" w:line="276" w:lineRule="auto"/>
        <w:rPr>
          <w:b/>
        </w:rPr>
      </w:pPr>
      <w:r>
        <w:t>where the N</w:t>
      </w:r>
      <w:r w:rsidR="00073C11">
        <w:t>etwork Termination Device</w:t>
      </w:r>
      <w:r>
        <w:t xml:space="preserve"> has not been installed.</w:t>
      </w:r>
    </w:p>
    <w:p w14:paraId="32A8CDC2" w14:textId="77777777" w:rsidR="00E06E79" w:rsidRDefault="00E06E79" w:rsidP="009475AE">
      <w:pPr>
        <w:pStyle w:val="BodyText"/>
        <w:spacing w:before="0" w:after="0" w:line="276" w:lineRule="auto"/>
        <w:rPr>
          <w:b/>
        </w:rPr>
      </w:pPr>
    </w:p>
    <w:p w14:paraId="0B536122" w14:textId="21E27AD7" w:rsidR="00E06E79" w:rsidRDefault="00E06E79" w:rsidP="009475AE">
      <w:pPr>
        <w:pStyle w:val="BodyText"/>
        <w:spacing w:before="0" w:after="0" w:line="276" w:lineRule="auto"/>
      </w:pPr>
      <w:r>
        <w:rPr>
          <w:b/>
        </w:rPr>
        <w:t>S</w:t>
      </w:r>
      <w:r w:rsidR="002A11F7" w:rsidRPr="00FE7E5B">
        <w:rPr>
          <w:b/>
        </w:rPr>
        <w:t xml:space="preserve">ervice class </w:t>
      </w:r>
      <w:r>
        <w:rPr>
          <w:b/>
        </w:rPr>
        <w:t>3</w:t>
      </w:r>
      <w:r w:rsidR="002A11F7" w:rsidRPr="00FE7E5B">
        <w:t xml:space="preserve"> </w:t>
      </w:r>
      <w:r w:rsidR="00215AF7">
        <w:t>means the service c</w:t>
      </w:r>
      <w:r>
        <w:t xml:space="preserve">lass </w:t>
      </w:r>
      <w:r w:rsidR="0061154A" w:rsidRPr="0061154A">
        <w:t xml:space="preserve">determined by </w:t>
      </w:r>
      <w:r w:rsidR="00EB76CC">
        <w:t>n</w:t>
      </w:r>
      <w:r w:rsidR="00601030">
        <w:t>bn</w:t>
      </w:r>
      <w:r w:rsidR="0061154A" w:rsidRPr="0061154A">
        <w:t xml:space="preserve"> and </w:t>
      </w:r>
      <w:r>
        <w:t xml:space="preserve">that applies to a </w:t>
      </w:r>
      <w:r w:rsidR="009976F7">
        <w:t>p</w:t>
      </w:r>
      <w:r>
        <w:t>remises:</w:t>
      </w:r>
    </w:p>
    <w:p w14:paraId="18C20E13" w14:textId="439BD468" w:rsidR="00E06E79" w:rsidRDefault="00E06E79" w:rsidP="009475AE">
      <w:pPr>
        <w:pStyle w:val="BodyText"/>
        <w:numPr>
          <w:ilvl w:val="0"/>
          <w:numId w:val="50"/>
        </w:numPr>
        <w:spacing w:before="0" w:after="0" w:line="276" w:lineRule="auto"/>
      </w:pPr>
      <w:r>
        <w:t xml:space="preserve">that is in the footprint of </w:t>
      </w:r>
      <w:r w:rsidR="00EB76CC">
        <w:t>n</w:t>
      </w:r>
      <w:r w:rsidR="00601030">
        <w:t>bn</w:t>
      </w:r>
      <w:r w:rsidR="00CA379A">
        <w:t>’s</w:t>
      </w:r>
      <w:r>
        <w:t xml:space="preserve"> </w:t>
      </w:r>
      <w:r w:rsidR="003430C3">
        <w:t>Fixed Line</w:t>
      </w:r>
      <w:r w:rsidR="005060E5">
        <w:t xml:space="preserve"> </w:t>
      </w:r>
      <w:r>
        <w:t>Network;</w:t>
      </w:r>
    </w:p>
    <w:p w14:paraId="67A2B5A2" w14:textId="680F4E5C" w:rsidR="00E06E79" w:rsidRDefault="00E06E79" w:rsidP="009475AE">
      <w:pPr>
        <w:pStyle w:val="BodyText"/>
        <w:numPr>
          <w:ilvl w:val="0"/>
          <w:numId w:val="50"/>
        </w:numPr>
        <w:spacing w:before="0" w:after="0" w:line="276" w:lineRule="auto"/>
      </w:pPr>
      <w:r>
        <w:t xml:space="preserve">is </w:t>
      </w:r>
      <w:r w:rsidR="00CA379A">
        <w:t>n</w:t>
      </w:r>
      <w:r w:rsidR="009547EB">
        <w:t>ational broadband</w:t>
      </w:r>
      <w:r w:rsidR="00CA379A">
        <w:t xml:space="preserve"> network</w:t>
      </w:r>
      <w:r>
        <w:t xml:space="preserve"> </w:t>
      </w:r>
      <w:r w:rsidR="002A2975">
        <w:t>s</w:t>
      </w:r>
      <w:r>
        <w:t xml:space="preserve">erviceable for the purposes of </w:t>
      </w:r>
      <w:r w:rsidR="00CA379A">
        <w:t>nbn’s</w:t>
      </w:r>
      <w:r w:rsidR="003768BF">
        <w:t xml:space="preserve"> Ethernet Bitstream Service</w:t>
      </w:r>
      <w:r>
        <w:t xml:space="preserve"> </w:t>
      </w:r>
      <w:r w:rsidR="003430C3" w:rsidRPr="003430C3">
        <w:t xml:space="preserve">using FTTP access technology and </w:t>
      </w:r>
      <w:r>
        <w:t>supplied by mea</w:t>
      </w:r>
      <w:r w:rsidR="009D34DD">
        <w:t xml:space="preserve">ns of </w:t>
      </w:r>
      <w:r w:rsidR="00EB76CC">
        <w:t>n</w:t>
      </w:r>
      <w:r w:rsidR="00601030">
        <w:t>bn</w:t>
      </w:r>
      <w:r w:rsidR="007F745C">
        <w:t>’s</w:t>
      </w:r>
      <w:r w:rsidR="009D34DD">
        <w:t xml:space="preserve"> </w:t>
      </w:r>
      <w:r w:rsidR="003430C3">
        <w:t xml:space="preserve">Fixed Line </w:t>
      </w:r>
      <w:r w:rsidR="009D34DD">
        <w:t>Network</w:t>
      </w:r>
    </w:p>
    <w:p w14:paraId="2EC70072" w14:textId="21C2F90D" w:rsidR="00E06E79" w:rsidRPr="00E06E79" w:rsidRDefault="00E06E79" w:rsidP="009475AE">
      <w:pPr>
        <w:pStyle w:val="BodyText"/>
        <w:numPr>
          <w:ilvl w:val="0"/>
          <w:numId w:val="50"/>
        </w:numPr>
        <w:spacing w:before="0" w:after="0" w:line="276" w:lineRule="auto"/>
        <w:rPr>
          <w:rFonts w:cstheme="minorHAnsi"/>
        </w:rPr>
      </w:pPr>
      <w:r>
        <w:t xml:space="preserve">where a physical connection is in place between the </w:t>
      </w:r>
      <w:r w:rsidR="003768BF">
        <w:t>network access point</w:t>
      </w:r>
      <w:r>
        <w:t xml:space="preserve"> and the </w:t>
      </w:r>
      <w:r w:rsidR="003768BF">
        <w:t>premises connection device</w:t>
      </w:r>
      <w:r>
        <w:t xml:space="preserve"> (including where the Drop Fibre and </w:t>
      </w:r>
      <w:r w:rsidR="003768BF">
        <w:t>premises connection device</w:t>
      </w:r>
      <w:r>
        <w:t xml:space="preserve"> are installed as part of </w:t>
      </w:r>
      <w:r w:rsidR="00EB76CC">
        <w:t>n</w:t>
      </w:r>
      <w:r w:rsidR="00601030">
        <w:t>bn</w:t>
      </w:r>
      <w:r w:rsidR="007F745C">
        <w:t>’s</w:t>
      </w:r>
      <w:r>
        <w:t xml:space="preserve"> </w:t>
      </w:r>
      <w:r w:rsidR="003430C3">
        <w:t xml:space="preserve">Fixed Line </w:t>
      </w:r>
      <w:r>
        <w:t xml:space="preserve">Network) and no augmentation or patching between the </w:t>
      </w:r>
      <w:r w:rsidR="003768BF">
        <w:t>premises connection device</w:t>
      </w:r>
      <w:r>
        <w:t xml:space="preserve"> and the </w:t>
      </w:r>
      <w:r w:rsidR="003768BF">
        <w:t>network access point</w:t>
      </w:r>
      <w:r>
        <w:t xml:space="preserve"> is required for the supply of </w:t>
      </w:r>
      <w:r w:rsidR="00EB76CC">
        <w:t>n</w:t>
      </w:r>
      <w:r w:rsidR="00601030">
        <w:t>bn</w:t>
      </w:r>
      <w:r w:rsidR="007F745C">
        <w:t>’s</w:t>
      </w:r>
      <w:r w:rsidR="003768BF">
        <w:t xml:space="preserve"> Ethernet Bitstream Service</w:t>
      </w:r>
      <w:r>
        <w:t xml:space="preserve"> </w:t>
      </w:r>
      <w:r w:rsidR="003430C3" w:rsidRPr="003430C3">
        <w:t xml:space="preserve">using FTTP access technology and </w:t>
      </w:r>
      <w:r>
        <w:t xml:space="preserve">supplied by means of </w:t>
      </w:r>
      <w:r w:rsidR="00EB76CC">
        <w:t>n</w:t>
      </w:r>
      <w:r w:rsidR="00601030">
        <w:t>bn</w:t>
      </w:r>
      <w:r w:rsidR="007F745C">
        <w:t>’s</w:t>
      </w:r>
      <w:r w:rsidR="009D34DD">
        <w:t xml:space="preserve"> </w:t>
      </w:r>
      <w:r w:rsidR="003430C3">
        <w:t xml:space="preserve">Fixed Line </w:t>
      </w:r>
      <w:r w:rsidR="009D34DD">
        <w:t>Network</w:t>
      </w:r>
    </w:p>
    <w:p w14:paraId="514B5806" w14:textId="6114AD23" w:rsidR="00E06E79" w:rsidRPr="00E06E79" w:rsidRDefault="00E06E79" w:rsidP="009475AE">
      <w:pPr>
        <w:pStyle w:val="BodyText"/>
        <w:numPr>
          <w:ilvl w:val="0"/>
          <w:numId w:val="50"/>
        </w:numPr>
        <w:spacing w:before="0" w:after="0" w:line="276" w:lineRule="auto"/>
        <w:rPr>
          <w:rFonts w:cstheme="minorHAnsi"/>
        </w:rPr>
      </w:pPr>
      <w:r w:rsidRPr="00E06E79">
        <w:t xml:space="preserve">to which </w:t>
      </w:r>
      <w:r w:rsidR="00EB76CC">
        <w:t>n</w:t>
      </w:r>
      <w:r w:rsidR="00601030">
        <w:t>bn</w:t>
      </w:r>
      <w:r w:rsidRPr="00E06E79">
        <w:t xml:space="preserve"> can remotely provision the supply of </w:t>
      </w:r>
      <w:r w:rsidR="007F745C">
        <w:t>nbn’s</w:t>
      </w:r>
      <w:r w:rsidR="003768BF">
        <w:t xml:space="preserve"> Ethernet Bitstream Service</w:t>
      </w:r>
      <w:r w:rsidRPr="00E06E79">
        <w:t xml:space="preserve"> </w:t>
      </w:r>
      <w:r w:rsidR="00915F05">
        <w:t>using FTT</w:t>
      </w:r>
      <w:r w:rsidR="00452BAC">
        <w:t xml:space="preserve">P </w:t>
      </w:r>
      <w:r w:rsidR="00915F05">
        <w:t xml:space="preserve">access technology and </w:t>
      </w:r>
      <w:r w:rsidRPr="00E06E79">
        <w:t>supplied by me</w:t>
      </w:r>
      <w:r w:rsidR="009D34DD">
        <w:t xml:space="preserve">ans of </w:t>
      </w:r>
      <w:r w:rsidR="00EB76CC">
        <w:t>n</w:t>
      </w:r>
      <w:r w:rsidR="00601030">
        <w:t>bn</w:t>
      </w:r>
      <w:r w:rsidR="007F745C">
        <w:t>’s</w:t>
      </w:r>
      <w:r w:rsidR="009D34DD">
        <w:t xml:space="preserve"> </w:t>
      </w:r>
      <w:r w:rsidR="003430C3">
        <w:t xml:space="preserve">Fixed Line </w:t>
      </w:r>
      <w:r w:rsidR="009D34DD">
        <w:t>Network</w:t>
      </w:r>
      <w:r w:rsidRPr="00E06E79">
        <w:t xml:space="preserve"> and</w:t>
      </w:r>
    </w:p>
    <w:p w14:paraId="4D5391AC" w14:textId="71431524" w:rsidR="00E06E79" w:rsidRPr="00E06E79" w:rsidRDefault="00E06E79" w:rsidP="009475AE">
      <w:pPr>
        <w:pStyle w:val="BodyText"/>
        <w:numPr>
          <w:ilvl w:val="0"/>
          <w:numId w:val="50"/>
        </w:numPr>
        <w:spacing w:before="0" w:after="0" w:line="276" w:lineRule="auto"/>
        <w:rPr>
          <w:rFonts w:cstheme="minorHAnsi"/>
        </w:rPr>
      </w:pPr>
      <w:r w:rsidRPr="00E06E79">
        <w:t>the N</w:t>
      </w:r>
      <w:r w:rsidR="003768BF">
        <w:t>etwork Termination Device</w:t>
      </w:r>
      <w:r w:rsidRPr="00E06E79">
        <w:t xml:space="preserve"> has been installed, is receiving mains power and can be made operational as part of </w:t>
      </w:r>
      <w:r w:rsidR="00EB76CC">
        <w:t>n</w:t>
      </w:r>
      <w:r w:rsidR="00601030">
        <w:t>bn</w:t>
      </w:r>
      <w:r w:rsidR="007F745C">
        <w:t>’s</w:t>
      </w:r>
      <w:r w:rsidRPr="00E06E79">
        <w:t xml:space="preserve"> </w:t>
      </w:r>
      <w:r w:rsidR="003430C3">
        <w:t>Fixed Line</w:t>
      </w:r>
      <w:r w:rsidR="003430C3" w:rsidRPr="00E06E79">
        <w:t xml:space="preserve"> </w:t>
      </w:r>
      <w:r w:rsidRPr="00E06E79">
        <w:t>Network.</w:t>
      </w:r>
    </w:p>
    <w:p w14:paraId="7D1C7564" w14:textId="62C6B7FF" w:rsidR="003430C3" w:rsidRDefault="00215AF7" w:rsidP="009475AE">
      <w:pPr>
        <w:pStyle w:val="BodyText"/>
        <w:spacing w:line="276" w:lineRule="auto"/>
        <w:rPr>
          <w:rFonts w:cstheme="minorHAnsi"/>
        </w:rPr>
      </w:pPr>
      <w:r>
        <w:rPr>
          <w:rFonts w:cstheme="minorHAnsi"/>
          <w:b/>
        </w:rPr>
        <w:t>Service c</w:t>
      </w:r>
      <w:r w:rsidR="001B60A5" w:rsidRPr="00F36F9A">
        <w:rPr>
          <w:rFonts w:cstheme="minorHAnsi"/>
          <w:b/>
        </w:rPr>
        <w:t>ontinuity</w:t>
      </w:r>
      <w:r w:rsidR="001B60A5">
        <w:rPr>
          <w:rFonts w:cstheme="minorHAnsi"/>
        </w:rPr>
        <w:t xml:space="preserve"> </w:t>
      </w:r>
      <w:r w:rsidR="0061154A" w:rsidRPr="0061154A">
        <w:rPr>
          <w:rFonts w:cstheme="minorHAnsi"/>
        </w:rPr>
        <w:t xml:space="preserve">refers to an end user’s ability to access </w:t>
      </w:r>
      <w:r w:rsidR="003430C3">
        <w:rPr>
          <w:rFonts w:cstheme="minorHAnsi"/>
        </w:rPr>
        <w:t>substitute</w:t>
      </w:r>
      <w:r w:rsidR="003430C3" w:rsidRPr="0061154A">
        <w:rPr>
          <w:rFonts w:cstheme="minorHAnsi"/>
        </w:rPr>
        <w:t xml:space="preserve"> </w:t>
      </w:r>
      <w:r w:rsidR="0061154A" w:rsidRPr="0061154A">
        <w:rPr>
          <w:rFonts w:cstheme="minorHAnsi"/>
        </w:rPr>
        <w:t xml:space="preserve">telecommunications services in a seamless manner during the migration to </w:t>
      </w:r>
      <w:r w:rsidR="00CB4188">
        <w:rPr>
          <w:rFonts w:cstheme="minorHAnsi"/>
        </w:rPr>
        <w:t xml:space="preserve">the </w:t>
      </w:r>
      <w:r w:rsidR="00CB4188" w:rsidRPr="00CB4188">
        <w:rPr>
          <w:rFonts w:cstheme="minorHAnsi"/>
        </w:rPr>
        <w:t xml:space="preserve">national broadband network </w:t>
      </w:r>
      <w:r w:rsidR="0061154A" w:rsidRPr="0061154A">
        <w:rPr>
          <w:rFonts w:cstheme="minorHAnsi"/>
        </w:rPr>
        <w:t>during the 18 month m</w:t>
      </w:r>
      <w:r w:rsidR="007B544C">
        <w:rPr>
          <w:rFonts w:cstheme="minorHAnsi"/>
        </w:rPr>
        <w:t>igration window, and after the Disconnection D</w:t>
      </w:r>
      <w:r w:rsidR="0061154A" w:rsidRPr="0061154A">
        <w:rPr>
          <w:rFonts w:cstheme="minorHAnsi"/>
        </w:rPr>
        <w:t>ate.</w:t>
      </w:r>
    </w:p>
    <w:p w14:paraId="4C058B45" w14:textId="2D855B1D" w:rsidR="00C71534" w:rsidRPr="003430C3" w:rsidRDefault="000536CB" w:rsidP="009475AE">
      <w:pPr>
        <w:pStyle w:val="BodyText"/>
        <w:spacing w:before="0" w:after="0" w:line="276" w:lineRule="auto"/>
      </w:pPr>
      <w:r w:rsidRPr="00FE7E5B">
        <w:rPr>
          <w:b/>
        </w:rPr>
        <w:t>Soft dial tone</w:t>
      </w:r>
      <w:r w:rsidR="009064BC">
        <w:t xml:space="preserve"> means</w:t>
      </w:r>
      <w:r w:rsidR="003430C3">
        <w:t xml:space="preserve"> </w:t>
      </w:r>
      <w:r w:rsidR="00171395" w:rsidRPr="00B735E0">
        <w:t>a service</w:t>
      </w:r>
      <w:r w:rsidR="0061154A">
        <w:t xml:space="preserve"> restriction</w:t>
      </w:r>
      <w:r w:rsidR="00171395" w:rsidRPr="00B735E0">
        <w:t xml:space="preserve"> that allows an end user at a </w:t>
      </w:r>
      <w:r w:rsidR="002A2975">
        <w:t>p</w:t>
      </w:r>
      <w:r w:rsidR="00171395" w:rsidRPr="00B735E0">
        <w:t xml:space="preserve">remises </w:t>
      </w:r>
      <w:r w:rsidR="00493BF7">
        <w:t xml:space="preserve">with a </w:t>
      </w:r>
      <w:r w:rsidR="0061154A">
        <w:t xml:space="preserve">line rental </w:t>
      </w:r>
      <w:r w:rsidR="00493BF7">
        <w:t xml:space="preserve">service </w:t>
      </w:r>
      <w:r w:rsidR="00171395" w:rsidRPr="00B735E0">
        <w:t>to call Telstra’s customer service and fault centre numbers and to make emergency calls, but does not otherwise allow end users to make or receive other calls, or to re</w:t>
      </w:r>
      <w:r w:rsidR="00017299">
        <w:t xml:space="preserve">ceive other </w:t>
      </w:r>
      <w:r w:rsidR="00E942EE">
        <w:t>legacy network services</w:t>
      </w:r>
      <w:r w:rsidR="00171395">
        <w:t>.</w:t>
      </w:r>
    </w:p>
    <w:bookmarkEnd w:id="5"/>
    <w:p w14:paraId="4DA36DFC" w14:textId="02AE0807" w:rsidR="002014E7" w:rsidRDefault="003430C3" w:rsidP="009475AE">
      <w:pPr>
        <w:spacing w:after="120" w:line="276" w:lineRule="auto"/>
      </w:pPr>
      <w:r w:rsidRPr="003430C3">
        <w:rPr>
          <w:b/>
        </w:rPr>
        <w:t>Telstra Migration Plan</w:t>
      </w:r>
      <w:r w:rsidRPr="003430C3">
        <w:t xml:space="preserve"> means the Migration Plan given by Telstra Corporation Limited to the ACCC under section 577BDA of the Telecommunications Act, as amended from time to time.</w:t>
      </w:r>
    </w:p>
    <w:sectPr w:rsidR="002014E7" w:rsidSect="00190135">
      <w:headerReference w:type="even" r:id="rId18"/>
      <w:headerReference w:type="default" r:id="rId19"/>
      <w:footerReference w:type="even" r:id="rId20"/>
      <w:footerReference w:type="default" r:id="rId21"/>
      <w:headerReference w:type="first" r:id="rId22"/>
      <w:footerReference w:type="first" r:id="rId23"/>
      <w:pgSz w:w="11906" w:h="16838" w:code="9"/>
      <w:pgMar w:top="1418" w:right="991" w:bottom="1135" w:left="1418" w:header="510" w:footer="48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03D9B" w14:textId="77777777" w:rsidR="006620A5" w:rsidRDefault="006620A5" w:rsidP="000720AB">
      <w:r>
        <w:separator/>
      </w:r>
    </w:p>
    <w:p w14:paraId="2D5853A1" w14:textId="77777777" w:rsidR="006620A5" w:rsidRDefault="006620A5"/>
    <w:p w14:paraId="308D05C1" w14:textId="77777777" w:rsidR="006620A5" w:rsidRDefault="006620A5"/>
  </w:endnote>
  <w:endnote w:type="continuationSeparator" w:id="0">
    <w:p w14:paraId="22B28411" w14:textId="77777777" w:rsidR="006620A5" w:rsidRDefault="006620A5" w:rsidP="000720AB">
      <w:r>
        <w:continuationSeparator/>
      </w:r>
    </w:p>
    <w:p w14:paraId="358137A0" w14:textId="77777777" w:rsidR="006620A5" w:rsidRDefault="006620A5"/>
    <w:p w14:paraId="393FB87C" w14:textId="77777777" w:rsidR="006620A5" w:rsidRDefault="006620A5"/>
  </w:endnote>
  <w:endnote w:type="continuationNotice" w:id="1">
    <w:p w14:paraId="677F509B" w14:textId="77777777" w:rsidR="006620A5" w:rsidRDefault="006620A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eGothicLTStd-Light">
    <w:altName w:val="Trade Gothic LT Std Light"/>
    <w:panose1 w:val="00000000000000000000"/>
    <w:charset w:val="4D"/>
    <w:family w:val="auto"/>
    <w:notTrueType/>
    <w:pitch w:val="default"/>
    <w:sig w:usb0="00000003" w:usb1="00000000" w:usb2="00000000" w:usb3="00000000" w:csb0="00000001" w:csb1="00000000"/>
  </w:font>
  <w:font w:name="Geogrotesque-Light">
    <w:altName w:val="Geogrotesque Light"/>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6FA1D" w14:textId="77777777" w:rsidR="006620A5" w:rsidRDefault="006620A5" w:rsidP="00F602E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495F8D6" w14:textId="77777777" w:rsidR="006620A5" w:rsidRDefault="006620A5" w:rsidP="00FC3687">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E1240" w14:textId="5ADDCF4D" w:rsidR="006620A5" w:rsidRPr="00E9164B" w:rsidRDefault="006620A5" w:rsidP="00E9164B">
    <w:pPr>
      <w:pStyle w:val="Footer"/>
      <w:tabs>
        <w:tab w:val="clear" w:pos="4513"/>
        <w:tab w:val="clear" w:pos="9026"/>
        <w:tab w:val="right" w:pos="9497"/>
      </w:tabs>
      <w:rPr>
        <w:rStyle w:val="PageNumber"/>
        <w:sz w:val="20"/>
      </w:rPr>
    </w:pPr>
    <w:r w:rsidRPr="00E9164B">
      <w:rPr>
        <w:noProof/>
        <w:lang w:eastAsia="en-AU"/>
      </w:rPr>
      <w:drawing>
        <wp:anchor distT="0" distB="0" distL="114300" distR="114300" simplePos="0" relativeHeight="251657216" behindDoc="1" locked="0" layoutInCell="1" allowOverlap="1" wp14:anchorId="57CE6C72" wp14:editId="745F79A1">
          <wp:simplePos x="0" y="0"/>
          <wp:positionH relativeFrom="page">
            <wp:posOffset>-4445</wp:posOffset>
          </wp:positionH>
          <wp:positionV relativeFrom="page">
            <wp:posOffset>9956165</wp:posOffset>
          </wp:positionV>
          <wp:extent cx="7559040" cy="725424"/>
          <wp:effectExtent l="0" t="0" r="3810" b="0"/>
          <wp:wrapNone/>
          <wp:docPr id="18" name="Picture 18" descr="Blank blue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foot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725424"/>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anchor>
      </w:drawing>
    </w:r>
    <w:sdt>
      <w:sdtPr>
        <w:id w:val="1637841786"/>
        <w:docPartObj>
          <w:docPartGallery w:val="Page Numbers (Bottom of Page)"/>
          <w:docPartUnique/>
        </w:docPartObj>
      </w:sdtPr>
      <w:sdtEndPr>
        <w:rPr>
          <w:noProof/>
        </w:rPr>
      </w:sdtEndPr>
      <w:sdtContent>
        <w:r w:rsidRPr="00E9164B">
          <w:fldChar w:fldCharType="begin"/>
        </w:r>
        <w:r w:rsidRPr="00E9164B">
          <w:instrText xml:space="preserve"> PAGE   \* MERGEFORMAT </w:instrText>
        </w:r>
        <w:r w:rsidRPr="00E9164B">
          <w:fldChar w:fldCharType="separate"/>
        </w:r>
        <w:r w:rsidR="0007488B">
          <w:rPr>
            <w:noProof/>
          </w:rPr>
          <w:t>2</w:t>
        </w:r>
        <w:r w:rsidRPr="00E9164B">
          <w:rPr>
            <w:noProof/>
          </w:rPr>
          <w:fldChar w:fldCharType="end"/>
        </w:r>
        <w:r>
          <w:rPr>
            <w:noProof/>
          </w:rPr>
          <w:t xml:space="preserve">      Migration Assurance Policy</w:t>
        </w:r>
      </w:sdtContent>
    </w:sdt>
    <w:r w:rsidRPr="00E9164B">
      <w:rPr>
        <w:noProof/>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6941027"/>
      <w:docPartObj>
        <w:docPartGallery w:val="Page Numbers (Bottom of Page)"/>
        <w:docPartUnique/>
      </w:docPartObj>
    </w:sdtPr>
    <w:sdtEndPr>
      <w:rPr>
        <w:noProof/>
      </w:rPr>
    </w:sdtEndPr>
    <w:sdtContent>
      <w:p w14:paraId="33CA4786" w14:textId="4610D949" w:rsidR="006620A5" w:rsidRDefault="006620A5">
        <w:pPr>
          <w:pStyle w:val="Footer"/>
          <w:jc w:val="right"/>
        </w:pPr>
        <w:r w:rsidRPr="002E2136">
          <w:rPr>
            <w:noProof/>
            <w:lang w:eastAsia="en-AU"/>
          </w:rPr>
          <w:drawing>
            <wp:anchor distT="0" distB="0" distL="114300" distR="114300" simplePos="0" relativeHeight="251659264" behindDoc="1" locked="0" layoutInCell="1" allowOverlap="1" wp14:anchorId="4B222220" wp14:editId="6B8B1890">
              <wp:simplePos x="0" y="0"/>
              <wp:positionH relativeFrom="page">
                <wp:posOffset>-4445</wp:posOffset>
              </wp:positionH>
              <wp:positionV relativeFrom="page">
                <wp:posOffset>9947275</wp:posOffset>
              </wp:positionV>
              <wp:extent cx="7559040" cy="725424"/>
              <wp:effectExtent l="0" t="0" r="3810" b="0"/>
              <wp:wrapNone/>
              <wp:docPr id="20" name="Picture 20" descr="Navy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foot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725424"/>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anchor>
          </w:drawing>
        </w:r>
      </w:p>
    </w:sdtContent>
  </w:sdt>
  <w:p w14:paraId="7E2A231F" w14:textId="4E78642F" w:rsidR="006620A5" w:rsidRPr="002E2136" w:rsidRDefault="006620A5" w:rsidP="00230F08">
    <w:pPr>
      <w:pStyle w:val="Footer"/>
      <w:tabs>
        <w:tab w:val="clear" w:pos="9026"/>
        <w:tab w:val="left" w:pos="6416"/>
      </w:tabs>
      <w:ind w:right="-618"/>
      <w:rPr>
        <w:rFonts w:ascii="Arial" w:hAnsi="Arial"/>
        <w:sz w:val="18"/>
      </w:rPr>
    </w:pPr>
    <w:r w:rsidRPr="002E2136">
      <w:rPr>
        <w:rFonts w:ascii="Arial" w:hAnsi="Arial"/>
        <w:sz w:val="18"/>
      </w:rPr>
      <w:t xml:space="preserve">GPO Box 2154 Canberra ACT 2601 Australia </w:t>
    </w:r>
    <w:r w:rsidRPr="002E2136">
      <w:rPr>
        <w:rFonts w:ascii="Arial" w:hAnsi="Arial"/>
        <w:sz w:val="18"/>
      </w:rPr>
      <w:sym w:font="Wingdings" w:char="F09F"/>
    </w:r>
    <w:r>
      <w:rPr>
        <w:rFonts w:ascii="Arial" w:hAnsi="Arial"/>
        <w:sz w:val="18"/>
      </w:rPr>
      <w:t xml:space="preserve"> telephone 02 6271 </w:t>
    </w:r>
    <w:r w:rsidRPr="002E2136">
      <w:rPr>
        <w:rFonts w:ascii="Arial" w:hAnsi="Arial"/>
        <w:sz w:val="18"/>
      </w:rPr>
      <w:t>1000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0A9D1" w14:textId="77777777" w:rsidR="006620A5" w:rsidRDefault="006620A5"/>
    <w:p w14:paraId="3EFF6F0C" w14:textId="77777777" w:rsidR="006620A5" w:rsidRDefault="006620A5"/>
  </w:footnote>
  <w:footnote w:type="continuationSeparator" w:id="0">
    <w:p w14:paraId="78D3C7F7" w14:textId="77777777" w:rsidR="006620A5" w:rsidRDefault="006620A5" w:rsidP="000720AB">
      <w:r>
        <w:continuationSeparator/>
      </w:r>
    </w:p>
    <w:p w14:paraId="6FAB342E" w14:textId="77777777" w:rsidR="006620A5" w:rsidRDefault="006620A5"/>
    <w:p w14:paraId="15FDC6D1" w14:textId="77777777" w:rsidR="006620A5" w:rsidRDefault="006620A5"/>
  </w:footnote>
  <w:footnote w:type="continuationNotice" w:id="1">
    <w:p w14:paraId="60515988" w14:textId="77777777" w:rsidR="006620A5" w:rsidRDefault="006620A5">
      <w:pPr>
        <w:spacing w:before="0"/>
      </w:pPr>
    </w:p>
  </w:footnote>
  <w:footnote w:id="2">
    <w:p w14:paraId="18B77E65" w14:textId="14268978" w:rsidR="006620A5" w:rsidRDefault="006620A5">
      <w:pPr>
        <w:pStyle w:val="FootnoteText"/>
      </w:pPr>
      <w:r>
        <w:rPr>
          <w:rStyle w:val="FootnoteReference"/>
        </w:rPr>
        <w:footnoteRef/>
      </w:r>
      <w:r>
        <w:t xml:space="preserve"> </w:t>
      </w:r>
      <w:r w:rsidRPr="00FD254F">
        <w:t>A longer timeframe is provided for non-premises and special services (a group of business grade services) which will be disconnected over time on a product-by-product basis.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710CF" w14:textId="77777777" w:rsidR="0007488B" w:rsidRDefault="000748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BDDD5" w14:textId="675666F9" w:rsidR="006620A5" w:rsidRPr="00AA2566" w:rsidRDefault="006620A5" w:rsidP="002810BE">
    <w:pPr>
      <w:pStyle w:val="Header"/>
    </w:pPr>
    <w:r>
      <w:rPr>
        <w:noProof/>
        <w:lang w:eastAsia="en-AU"/>
      </w:rPr>
      <w:drawing>
        <wp:anchor distT="0" distB="0" distL="114300" distR="114300" simplePos="0" relativeHeight="251658242" behindDoc="1" locked="0" layoutInCell="1" allowOverlap="1" wp14:anchorId="18718B24" wp14:editId="56F39442">
          <wp:simplePos x="0" y="0"/>
          <wp:positionH relativeFrom="page">
            <wp:posOffset>0</wp:posOffset>
          </wp:positionH>
          <wp:positionV relativeFrom="page">
            <wp:posOffset>0</wp:posOffset>
          </wp:positionV>
          <wp:extent cx="7634630" cy="406359"/>
          <wp:effectExtent l="0" t="0" r="0" b="0"/>
          <wp:wrapNone/>
          <wp:docPr id="50" name="Picture 50"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7634630" cy="40635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br/>
    </w:r>
    <w:r>
      <w:rPr>
        <w:noProof/>
        <w:lang w:eastAsia="en-AU"/>
      </w:rPr>
      <mc:AlternateContent>
        <mc:Choice Requires="wps">
          <w:drawing>
            <wp:anchor distT="0" distB="0" distL="114300" distR="114300" simplePos="0" relativeHeight="251658240" behindDoc="1" locked="0" layoutInCell="0" allowOverlap="1" wp14:anchorId="598B79F2" wp14:editId="56D22E2D">
              <wp:simplePos x="0" y="0"/>
              <wp:positionH relativeFrom="margin">
                <wp:posOffset>640715</wp:posOffset>
              </wp:positionH>
              <wp:positionV relativeFrom="margin">
                <wp:posOffset>4077335</wp:posOffset>
              </wp:positionV>
              <wp:extent cx="5237480" cy="3142615"/>
              <wp:effectExtent l="0" t="1143635" r="0" b="657225"/>
              <wp:wrapNone/>
              <wp:docPr id="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6DE8017" w14:textId="4BFEF3C1" w:rsidR="006620A5" w:rsidRDefault="006620A5" w:rsidP="000A00BB">
                          <w:pPr>
                            <w:pStyle w:val="NormalWeb"/>
                            <w:spacing w:before="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98B79F2" id="_x0000_t202" coordsize="21600,21600" o:spt="202" path="m,l,21600r21600,l21600,xe">
              <v:stroke joinstyle="miter"/>
              <v:path gradientshapeok="t" o:connecttype="rect"/>
            </v:shapetype>
            <v:shape id="WordArt 4" o:spid="_x0000_s1026" type="#_x0000_t202" style="position:absolute;margin-left:50.45pt;margin-top:321.05pt;width:412.4pt;height:247.45pt;rotation:-45;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SHPhgIAAPw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" o:allowincell="f" filled="f" stroked="f">
              <v:stroke joinstyle="round"/>
              <o:lock v:ext="edit" shapetype="t"/>
              <v:textbox style="mso-fit-shape-to-text:t">
                <w:txbxContent>
                  <w:p w14:paraId="66DE8017" w14:textId="4BFEF3C1" w:rsidR="006620A5" w:rsidRDefault="006620A5" w:rsidP="000A00BB">
                    <w:pPr>
                      <w:pStyle w:val="NormalWeb"/>
                      <w:spacing w:before="0"/>
                      <w:jc w:val="center"/>
                    </w:pPr>
                  </w:p>
                </w:txbxContent>
              </v:textbox>
              <w10:wrap anchorx="margin" anchory="margin"/>
            </v:shape>
          </w:pict>
        </mc:Fallback>
      </mc:AlternateContent>
    </w:r>
    <w:r w:rsidRPr="00AA2566">
      <w:t>Department of Communications</w:t>
    </w:r>
    <w:r>
      <w:tab/>
    </w:r>
    <w:r w:rsidRPr="00AA2566">
      <w:tab/>
    </w:r>
    <w:r>
      <w:rPr>
        <w:noProof/>
      </w:rPr>
      <w:br/>
    </w:r>
    <w:bookmarkStart w:id="82" w:name="_GoBack"/>
    <w:bookmarkEnd w:id="8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0424A" w14:textId="0EE09FF2" w:rsidR="006620A5" w:rsidRPr="00583203" w:rsidRDefault="006620A5" w:rsidP="00583203">
    <w:pPr>
      <w:pStyle w:val="Header"/>
    </w:pPr>
    <w:r>
      <w:rPr>
        <w:noProof/>
        <w:lang w:eastAsia="en-AU"/>
      </w:rPr>
      <w:drawing>
        <wp:anchor distT="0" distB="0" distL="114300" distR="114300" simplePos="0" relativeHeight="251658241" behindDoc="1" locked="0" layoutInCell="1" allowOverlap="1" wp14:anchorId="5F1C0B95" wp14:editId="51F52E51">
          <wp:simplePos x="0" y="0"/>
          <wp:positionH relativeFrom="page">
            <wp:posOffset>0</wp:posOffset>
          </wp:positionH>
          <wp:positionV relativeFrom="page">
            <wp:posOffset>0</wp:posOffset>
          </wp:positionV>
          <wp:extent cx="7559040" cy="1408176"/>
          <wp:effectExtent l="0" t="0" r="3810" b="1905"/>
          <wp:wrapNone/>
          <wp:docPr id="52" name="Picture 52" descr="Department of Communicatoins logo an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header.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408176"/>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BD603D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1CD29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D8ABB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3C8FF7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8C04A3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7ED70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FAF3E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F87C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C4B8A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7A17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A6A45"/>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0D75F6B"/>
    <w:multiLevelType w:val="hybridMultilevel"/>
    <w:tmpl w:val="5936EEB6"/>
    <w:lvl w:ilvl="0" w:tplc="3C9CB164">
      <w:start w:val="1"/>
      <w:numFmt w:val="bullet"/>
      <w:lvlText w:val=""/>
      <w:lvlJc w:val="left"/>
      <w:pPr>
        <w:ind w:left="36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4E0441B"/>
    <w:multiLevelType w:val="hybridMultilevel"/>
    <w:tmpl w:val="2A24FA0A"/>
    <w:lvl w:ilvl="0" w:tplc="4BC2E62E">
      <w:start w:val="1"/>
      <w:numFmt w:val="bullet"/>
      <w:lvlText w:val=""/>
      <w:lvlJc w:val="left"/>
      <w:pPr>
        <w:ind w:left="340"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B514D59"/>
    <w:multiLevelType w:val="hybridMultilevel"/>
    <w:tmpl w:val="197E3DF8"/>
    <w:lvl w:ilvl="0" w:tplc="99FA749C">
      <w:start w:val="1"/>
      <w:numFmt w:val="bullet"/>
      <w:lvlText w:val=""/>
      <w:lvlJc w:val="left"/>
      <w:pPr>
        <w:ind w:left="340" w:hanging="340"/>
      </w:pPr>
      <w:rPr>
        <w:rFonts w:ascii="Symbol" w:hAnsi="Symbol" w:hint="default"/>
      </w:rPr>
    </w:lvl>
    <w:lvl w:ilvl="1" w:tplc="0C090003" w:tentative="1">
      <w:start w:val="1"/>
      <w:numFmt w:val="bullet"/>
      <w:lvlText w:val="o"/>
      <w:lvlJc w:val="left"/>
      <w:pPr>
        <w:ind w:left="1801" w:hanging="360"/>
      </w:pPr>
      <w:rPr>
        <w:rFonts w:ascii="Courier New" w:hAnsi="Courier New" w:cs="Courier New" w:hint="default"/>
      </w:rPr>
    </w:lvl>
    <w:lvl w:ilvl="2" w:tplc="0C090005" w:tentative="1">
      <w:start w:val="1"/>
      <w:numFmt w:val="bullet"/>
      <w:lvlText w:val=""/>
      <w:lvlJc w:val="left"/>
      <w:pPr>
        <w:ind w:left="2521" w:hanging="360"/>
      </w:pPr>
      <w:rPr>
        <w:rFonts w:ascii="Wingdings" w:hAnsi="Wingdings" w:hint="default"/>
      </w:rPr>
    </w:lvl>
    <w:lvl w:ilvl="3" w:tplc="0C090001" w:tentative="1">
      <w:start w:val="1"/>
      <w:numFmt w:val="bullet"/>
      <w:lvlText w:val=""/>
      <w:lvlJc w:val="left"/>
      <w:pPr>
        <w:ind w:left="3241" w:hanging="360"/>
      </w:pPr>
      <w:rPr>
        <w:rFonts w:ascii="Symbol" w:hAnsi="Symbol" w:hint="default"/>
      </w:rPr>
    </w:lvl>
    <w:lvl w:ilvl="4" w:tplc="0C090003" w:tentative="1">
      <w:start w:val="1"/>
      <w:numFmt w:val="bullet"/>
      <w:lvlText w:val="o"/>
      <w:lvlJc w:val="left"/>
      <w:pPr>
        <w:ind w:left="3961" w:hanging="360"/>
      </w:pPr>
      <w:rPr>
        <w:rFonts w:ascii="Courier New" w:hAnsi="Courier New" w:cs="Courier New" w:hint="default"/>
      </w:rPr>
    </w:lvl>
    <w:lvl w:ilvl="5" w:tplc="0C090005" w:tentative="1">
      <w:start w:val="1"/>
      <w:numFmt w:val="bullet"/>
      <w:lvlText w:val=""/>
      <w:lvlJc w:val="left"/>
      <w:pPr>
        <w:ind w:left="4681" w:hanging="360"/>
      </w:pPr>
      <w:rPr>
        <w:rFonts w:ascii="Wingdings" w:hAnsi="Wingdings" w:hint="default"/>
      </w:rPr>
    </w:lvl>
    <w:lvl w:ilvl="6" w:tplc="0C090001" w:tentative="1">
      <w:start w:val="1"/>
      <w:numFmt w:val="bullet"/>
      <w:lvlText w:val=""/>
      <w:lvlJc w:val="left"/>
      <w:pPr>
        <w:ind w:left="5401" w:hanging="360"/>
      </w:pPr>
      <w:rPr>
        <w:rFonts w:ascii="Symbol" w:hAnsi="Symbol" w:hint="default"/>
      </w:rPr>
    </w:lvl>
    <w:lvl w:ilvl="7" w:tplc="0C090003" w:tentative="1">
      <w:start w:val="1"/>
      <w:numFmt w:val="bullet"/>
      <w:lvlText w:val="o"/>
      <w:lvlJc w:val="left"/>
      <w:pPr>
        <w:ind w:left="6121" w:hanging="360"/>
      </w:pPr>
      <w:rPr>
        <w:rFonts w:ascii="Courier New" w:hAnsi="Courier New" w:cs="Courier New" w:hint="default"/>
      </w:rPr>
    </w:lvl>
    <w:lvl w:ilvl="8" w:tplc="0C090005" w:tentative="1">
      <w:start w:val="1"/>
      <w:numFmt w:val="bullet"/>
      <w:lvlText w:val=""/>
      <w:lvlJc w:val="left"/>
      <w:pPr>
        <w:ind w:left="6841" w:hanging="360"/>
      </w:pPr>
      <w:rPr>
        <w:rFonts w:ascii="Wingdings" w:hAnsi="Wingdings" w:hint="default"/>
      </w:rPr>
    </w:lvl>
  </w:abstractNum>
  <w:abstractNum w:abstractNumId="14" w15:restartNumberingAfterBreak="0">
    <w:nsid w:val="0BAA2925"/>
    <w:multiLevelType w:val="hybridMultilevel"/>
    <w:tmpl w:val="509264F8"/>
    <w:lvl w:ilvl="0" w:tplc="1E528C76">
      <w:start w:val="1"/>
      <w:numFmt w:val="bullet"/>
      <w:lvlText w:val=""/>
      <w:lvlJc w:val="left"/>
      <w:pPr>
        <w:ind w:left="36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937F0B"/>
    <w:multiLevelType w:val="hybridMultilevel"/>
    <w:tmpl w:val="32040A9A"/>
    <w:lvl w:ilvl="0" w:tplc="5CA6B502">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171456E"/>
    <w:multiLevelType w:val="hybridMultilevel"/>
    <w:tmpl w:val="9C9C77A4"/>
    <w:lvl w:ilvl="0" w:tplc="0C090003">
      <w:start w:val="1"/>
      <w:numFmt w:val="bullet"/>
      <w:lvlText w:val="o"/>
      <w:lvlJc w:val="left"/>
      <w:pPr>
        <w:ind w:left="1060" w:hanging="360"/>
      </w:pPr>
      <w:rPr>
        <w:rFonts w:ascii="Courier New" w:hAnsi="Courier New" w:cs="Courier New"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7" w15:restartNumberingAfterBreak="0">
    <w:nsid w:val="1B850330"/>
    <w:multiLevelType w:val="multilevel"/>
    <w:tmpl w:val="AED6BE6E"/>
    <w:lvl w:ilvl="0">
      <w:start w:val="1"/>
      <w:numFmt w:val="decimal"/>
      <w:pStyle w:val="Instructionaltext-Numberedlist"/>
      <w:lvlText w:val="%1."/>
      <w:lvlJc w:val="left"/>
      <w:pPr>
        <w:tabs>
          <w:tab w:val="num" w:pos="340"/>
        </w:tabs>
        <w:ind w:left="340" w:hanging="340"/>
      </w:pPr>
      <w:rPr>
        <w:rFonts w:hint="default"/>
        <w:b w:val="0"/>
        <w:i/>
        <w:sz w:val="22"/>
      </w:rPr>
    </w:lvl>
    <w:lvl w:ilvl="1">
      <w:start w:val="1"/>
      <w:numFmt w:val="lowerLetter"/>
      <w:lvlText w:val="%2."/>
      <w:lvlJc w:val="left"/>
      <w:pPr>
        <w:ind w:left="68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FC04864"/>
    <w:multiLevelType w:val="hybridMultilevel"/>
    <w:tmpl w:val="241493E2"/>
    <w:lvl w:ilvl="0" w:tplc="42C62342">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585232D"/>
    <w:multiLevelType w:val="hybridMultilevel"/>
    <w:tmpl w:val="71043568"/>
    <w:lvl w:ilvl="0" w:tplc="8B24810E">
      <w:start w:val="1"/>
      <w:numFmt w:val="lowerLetter"/>
      <w:pStyle w:val="Boxlist-Alpha"/>
      <w:lvlText w:val="%1."/>
      <w:lvlJc w:val="left"/>
      <w:pPr>
        <w:ind w:left="558" w:hanging="360"/>
      </w:pPr>
      <w:rPr>
        <w:rFonts w:hint="default"/>
        <w:b/>
        <w:i w:val="0"/>
        <w:color w:val="00728F"/>
        <w:sz w:val="22"/>
      </w:rPr>
    </w:lvl>
    <w:lvl w:ilvl="1" w:tplc="0C090019" w:tentative="1">
      <w:start w:val="1"/>
      <w:numFmt w:val="lowerLetter"/>
      <w:lvlText w:val="%2."/>
      <w:lvlJc w:val="left"/>
      <w:pPr>
        <w:ind w:left="1638" w:hanging="360"/>
      </w:pPr>
    </w:lvl>
    <w:lvl w:ilvl="2" w:tplc="0C09001B" w:tentative="1">
      <w:start w:val="1"/>
      <w:numFmt w:val="lowerRoman"/>
      <w:lvlText w:val="%3."/>
      <w:lvlJc w:val="right"/>
      <w:pPr>
        <w:ind w:left="2358" w:hanging="180"/>
      </w:pPr>
    </w:lvl>
    <w:lvl w:ilvl="3" w:tplc="0C09000F" w:tentative="1">
      <w:start w:val="1"/>
      <w:numFmt w:val="decimal"/>
      <w:lvlText w:val="%4."/>
      <w:lvlJc w:val="left"/>
      <w:pPr>
        <w:ind w:left="3078" w:hanging="360"/>
      </w:pPr>
    </w:lvl>
    <w:lvl w:ilvl="4" w:tplc="0C090019" w:tentative="1">
      <w:start w:val="1"/>
      <w:numFmt w:val="lowerLetter"/>
      <w:lvlText w:val="%5."/>
      <w:lvlJc w:val="left"/>
      <w:pPr>
        <w:ind w:left="3798" w:hanging="360"/>
      </w:pPr>
    </w:lvl>
    <w:lvl w:ilvl="5" w:tplc="0C09001B" w:tentative="1">
      <w:start w:val="1"/>
      <w:numFmt w:val="lowerRoman"/>
      <w:lvlText w:val="%6."/>
      <w:lvlJc w:val="right"/>
      <w:pPr>
        <w:ind w:left="4518" w:hanging="180"/>
      </w:pPr>
    </w:lvl>
    <w:lvl w:ilvl="6" w:tplc="0C09000F" w:tentative="1">
      <w:start w:val="1"/>
      <w:numFmt w:val="decimal"/>
      <w:lvlText w:val="%7."/>
      <w:lvlJc w:val="left"/>
      <w:pPr>
        <w:ind w:left="5238" w:hanging="360"/>
      </w:pPr>
    </w:lvl>
    <w:lvl w:ilvl="7" w:tplc="0C090019" w:tentative="1">
      <w:start w:val="1"/>
      <w:numFmt w:val="lowerLetter"/>
      <w:lvlText w:val="%8."/>
      <w:lvlJc w:val="left"/>
      <w:pPr>
        <w:ind w:left="5958" w:hanging="360"/>
      </w:pPr>
    </w:lvl>
    <w:lvl w:ilvl="8" w:tplc="0C09001B" w:tentative="1">
      <w:start w:val="1"/>
      <w:numFmt w:val="lowerRoman"/>
      <w:lvlText w:val="%9."/>
      <w:lvlJc w:val="right"/>
      <w:pPr>
        <w:ind w:left="6678" w:hanging="180"/>
      </w:pPr>
    </w:lvl>
  </w:abstractNum>
  <w:abstractNum w:abstractNumId="20" w15:restartNumberingAfterBreak="0">
    <w:nsid w:val="275A6BF4"/>
    <w:multiLevelType w:val="multilevel"/>
    <w:tmpl w:val="E306DBA2"/>
    <w:lvl w:ilvl="0">
      <w:start w:val="1"/>
      <w:numFmt w:val="decimal"/>
      <w:pStyle w:val="Heading1"/>
      <w:lvlText w:val="%1."/>
      <w:lvlJc w:val="left"/>
      <w:pPr>
        <w:ind w:left="907" w:hanging="907"/>
      </w:pPr>
      <w:rPr>
        <w:rFonts w:hint="default"/>
      </w:rPr>
    </w:lvl>
    <w:lvl w:ilvl="1">
      <w:start w:val="1"/>
      <w:numFmt w:val="decimal"/>
      <w:pStyle w:val="Heading2"/>
      <w:lvlText w:val="%1.%2."/>
      <w:lvlJc w:val="left"/>
      <w:pPr>
        <w:ind w:left="1049" w:hanging="907"/>
      </w:pPr>
      <w:rPr>
        <w:rFonts w:hint="default"/>
      </w:rPr>
    </w:lvl>
    <w:lvl w:ilvl="2">
      <w:start w:val="1"/>
      <w:numFmt w:val="decimal"/>
      <w:pStyle w:val="Heading3"/>
      <w:lvlText w:val="%1.%2.%3."/>
      <w:lvlJc w:val="left"/>
      <w:pPr>
        <w:ind w:left="2014" w:hanging="1304"/>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287A03A9"/>
    <w:multiLevelType w:val="hybridMultilevel"/>
    <w:tmpl w:val="872E75DC"/>
    <w:lvl w:ilvl="0" w:tplc="5D481428">
      <w:start w:val="1"/>
      <w:numFmt w:val="bullet"/>
      <w:lvlText w:val=""/>
      <w:lvlJc w:val="left"/>
      <w:pPr>
        <w:ind w:left="357" w:hanging="357"/>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BD67DAE"/>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3" w15:restartNumberingAfterBreak="0">
    <w:nsid w:val="2BF928E1"/>
    <w:multiLevelType w:val="hybridMultilevel"/>
    <w:tmpl w:val="AC0CF316"/>
    <w:lvl w:ilvl="0" w:tplc="7E74B3D0">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53030E"/>
    <w:multiLevelType w:val="hybridMultilevel"/>
    <w:tmpl w:val="D5A48300"/>
    <w:lvl w:ilvl="0" w:tplc="760E68EA">
      <w:start w:val="1"/>
      <w:numFmt w:val="bullet"/>
      <w:lvlText w:val=""/>
      <w:lvlJc w:val="left"/>
      <w:pPr>
        <w:ind w:left="36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20C41F6"/>
    <w:multiLevelType w:val="hybridMultilevel"/>
    <w:tmpl w:val="73621320"/>
    <w:lvl w:ilvl="0" w:tplc="2AEE7448">
      <w:start w:val="1"/>
      <w:numFmt w:val="bullet"/>
      <w:lvlText w:val=""/>
      <w:lvlJc w:val="left"/>
      <w:pPr>
        <w:ind w:left="36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59E378A"/>
    <w:multiLevelType w:val="hybridMultilevel"/>
    <w:tmpl w:val="E474F438"/>
    <w:lvl w:ilvl="0" w:tplc="3B8A9D34">
      <w:start w:val="1"/>
      <w:numFmt w:val="bullet"/>
      <w:lvlText w:val=""/>
      <w:lvlJc w:val="left"/>
      <w:pPr>
        <w:ind w:left="36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BB673C8"/>
    <w:multiLevelType w:val="hybridMultilevel"/>
    <w:tmpl w:val="04F0C1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E6606BB"/>
    <w:multiLevelType w:val="multilevel"/>
    <w:tmpl w:val="551EBC20"/>
    <w:lvl w:ilvl="0">
      <w:start w:val="1"/>
      <w:numFmt w:val="decimal"/>
      <w:pStyle w:val="Bodynumbered-Level1"/>
      <w:lvlText w:val="%1."/>
      <w:lvlJc w:val="left"/>
      <w:pPr>
        <w:ind w:left="680" w:hanging="340"/>
      </w:pPr>
      <w:rPr>
        <w:rFonts w:hint="default"/>
        <w:b/>
        <w:bCs/>
        <w:i w:val="0"/>
        <w:iCs w:val="0"/>
        <w:color w:val="0072B9"/>
        <w:sz w:val="22"/>
        <w:szCs w:val="22"/>
      </w:rPr>
    </w:lvl>
    <w:lvl w:ilvl="1">
      <w:start w:val="1"/>
      <w:numFmt w:val="lowerLetter"/>
      <w:pStyle w:val="Bodynumbered-Level2"/>
      <w:lvlText w:val="%2."/>
      <w:lvlJc w:val="left"/>
      <w:pPr>
        <w:ind w:left="1020" w:hanging="340"/>
      </w:pPr>
      <w:rPr>
        <w:rFonts w:hint="default"/>
        <w:b/>
        <w:bCs/>
        <w:i w:val="0"/>
        <w:iCs w:val="0"/>
        <w:color w:val="0072B9"/>
        <w:sz w:val="22"/>
        <w:szCs w:val="22"/>
      </w:rPr>
    </w:lvl>
    <w:lvl w:ilvl="2">
      <w:start w:val="1"/>
      <w:numFmt w:val="lowerRoman"/>
      <w:pStyle w:val="Bodynumbered-Level3"/>
      <w:lvlText w:val="%3"/>
      <w:lvlJc w:val="left"/>
      <w:pPr>
        <w:ind w:left="1361" w:hanging="341"/>
      </w:pPr>
      <w:rPr>
        <w:rFonts w:hint="default"/>
        <w:b/>
        <w:bCs/>
        <w:i w:val="0"/>
        <w:iCs w:val="0"/>
        <w:color w:val="0072B9"/>
        <w:sz w:val="22"/>
        <w:szCs w:val="22"/>
      </w:rPr>
    </w:lvl>
    <w:lvl w:ilvl="3">
      <w:start w:val="1"/>
      <w:numFmt w:val="none"/>
      <w:lvlText w:val=""/>
      <w:lvlJc w:val="left"/>
      <w:pPr>
        <w:ind w:left="1361" w:firstLine="0"/>
      </w:pPr>
      <w:rPr>
        <w:rFonts w:hint="default"/>
      </w:rPr>
    </w:lvl>
    <w:lvl w:ilvl="4">
      <w:start w:val="1"/>
      <w:numFmt w:val="none"/>
      <w:lvlText w:val=""/>
      <w:lvlJc w:val="left"/>
      <w:pPr>
        <w:ind w:left="1361" w:firstLine="0"/>
      </w:pPr>
      <w:rPr>
        <w:rFonts w:hint="default"/>
      </w:rPr>
    </w:lvl>
    <w:lvl w:ilvl="5">
      <w:start w:val="1"/>
      <w:numFmt w:val="none"/>
      <w:lvlText w:val=""/>
      <w:lvlJc w:val="left"/>
      <w:pPr>
        <w:ind w:left="1361" w:firstLine="0"/>
      </w:pPr>
      <w:rPr>
        <w:rFonts w:hint="default"/>
      </w:rPr>
    </w:lvl>
    <w:lvl w:ilvl="6">
      <w:start w:val="1"/>
      <w:numFmt w:val="none"/>
      <w:lvlText w:val=""/>
      <w:lvlJc w:val="left"/>
      <w:pPr>
        <w:ind w:left="1361" w:firstLine="0"/>
      </w:pPr>
      <w:rPr>
        <w:rFonts w:hint="default"/>
      </w:rPr>
    </w:lvl>
    <w:lvl w:ilvl="7">
      <w:start w:val="1"/>
      <w:numFmt w:val="none"/>
      <w:lvlText w:val="%8"/>
      <w:lvlJc w:val="left"/>
      <w:pPr>
        <w:ind w:left="1361" w:firstLine="0"/>
      </w:pPr>
      <w:rPr>
        <w:rFonts w:hint="default"/>
      </w:rPr>
    </w:lvl>
    <w:lvl w:ilvl="8">
      <w:start w:val="1"/>
      <w:numFmt w:val="none"/>
      <w:lvlText w:val="%9"/>
      <w:lvlJc w:val="left"/>
      <w:pPr>
        <w:ind w:left="1361" w:firstLine="0"/>
      </w:pPr>
      <w:rPr>
        <w:rFonts w:hint="default"/>
      </w:rPr>
    </w:lvl>
  </w:abstractNum>
  <w:abstractNum w:abstractNumId="29" w15:restartNumberingAfterBreak="0">
    <w:nsid w:val="450C1A60"/>
    <w:multiLevelType w:val="hybridMultilevel"/>
    <w:tmpl w:val="1812D5DE"/>
    <w:lvl w:ilvl="0" w:tplc="5CA6B502">
      <w:start w:val="1"/>
      <w:numFmt w:val="bullet"/>
      <w:lvlText w:val=""/>
      <w:lvlJc w:val="left"/>
      <w:pPr>
        <w:ind w:left="36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86338E2"/>
    <w:multiLevelType w:val="hybridMultilevel"/>
    <w:tmpl w:val="BAD89CBE"/>
    <w:lvl w:ilvl="0" w:tplc="B4942166">
      <w:start w:val="1"/>
      <w:numFmt w:val="decimal"/>
      <w:lvlText w:val="%1."/>
      <w:lvlJc w:val="left"/>
      <w:pPr>
        <w:ind w:left="340" w:hanging="340"/>
      </w:pPr>
      <w:rPr>
        <w:rFonts w:hint="default"/>
      </w:rPr>
    </w:lvl>
    <w:lvl w:ilvl="1" w:tplc="79CE44BA">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9F91BFD"/>
    <w:multiLevelType w:val="hybridMultilevel"/>
    <w:tmpl w:val="61BCC166"/>
    <w:lvl w:ilvl="0" w:tplc="5F7802CA">
      <w:start w:val="1"/>
      <w:numFmt w:val="bullet"/>
      <w:lvlText w:val=""/>
      <w:lvlJc w:val="left"/>
      <w:pPr>
        <w:ind w:left="34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B54118"/>
    <w:multiLevelType w:val="hybridMultilevel"/>
    <w:tmpl w:val="CF765FAA"/>
    <w:lvl w:ilvl="0" w:tplc="8FF06E4C">
      <w:start w:val="1"/>
      <w:numFmt w:val="bullet"/>
      <w:lvlText w:val=""/>
      <w:lvlJc w:val="left"/>
      <w:pPr>
        <w:ind w:left="34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BF77995"/>
    <w:multiLevelType w:val="multilevel"/>
    <w:tmpl w:val="A7C81342"/>
    <w:lvl w:ilvl="0">
      <w:start w:val="1"/>
      <w:numFmt w:val="bullet"/>
      <w:pStyle w:val="Bodybullet-Level1"/>
      <w:lvlText w:val=""/>
      <w:lvlJc w:val="left"/>
      <w:pPr>
        <w:ind w:left="340" w:hanging="340"/>
      </w:pPr>
      <w:rPr>
        <w:rFonts w:ascii="Symbol" w:hAnsi="Symbol" w:hint="default"/>
        <w:color w:val="00728F"/>
        <w:sz w:val="18"/>
      </w:rPr>
    </w:lvl>
    <w:lvl w:ilvl="1">
      <w:start w:val="1"/>
      <w:numFmt w:val="bullet"/>
      <w:pStyle w:val="Bodybullet-Level2"/>
      <w:lvlText w:val="­"/>
      <w:lvlJc w:val="left"/>
      <w:pPr>
        <w:ind w:left="680" w:hanging="340"/>
      </w:pPr>
      <w:rPr>
        <w:rFonts w:ascii="Courier New" w:hAnsi="Courier New" w:hint="default"/>
        <w:color w:val="00728F"/>
        <w:sz w:val="18"/>
      </w:rPr>
    </w:lvl>
    <w:lvl w:ilvl="2">
      <w:start w:val="1"/>
      <w:numFmt w:val="bullet"/>
      <w:pStyle w:val="Bodybullet-Level3"/>
      <w:lvlText w:val=""/>
      <w:lvlJc w:val="left"/>
      <w:pPr>
        <w:ind w:left="1021" w:hanging="341"/>
      </w:pPr>
      <w:rPr>
        <w:rFonts w:ascii="Symbol" w:hAnsi="Symbol" w:hint="default"/>
        <w:color w:val="00728F"/>
        <w:sz w:val="18"/>
      </w:rPr>
    </w:lvl>
    <w:lvl w:ilvl="3">
      <w:start w:val="1"/>
      <w:numFmt w:val="bullet"/>
      <w:lvlText w:val="­"/>
      <w:lvlJc w:val="left"/>
      <w:pPr>
        <w:ind w:left="1361" w:hanging="340"/>
      </w:pPr>
      <w:rPr>
        <w:rFonts w:ascii="Courier New" w:hAnsi="Courier New" w:hint="default"/>
        <w:color w:val="auto"/>
      </w:rPr>
    </w:lvl>
    <w:lvl w:ilvl="4">
      <w:start w:val="1"/>
      <w:numFmt w:val="none"/>
      <w:lvlText w:val=""/>
      <w:lvlJc w:val="left"/>
      <w:pPr>
        <w:ind w:left="1361" w:firstLine="0"/>
      </w:pPr>
      <w:rPr>
        <w:rFonts w:hint="default"/>
      </w:rPr>
    </w:lvl>
    <w:lvl w:ilvl="5">
      <w:start w:val="1"/>
      <w:numFmt w:val="none"/>
      <w:lvlText w:val=""/>
      <w:lvlJc w:val="left"/>
      <w:pPr>
        <w:ind w:left="1361" w:firstLine="0"/>
      </w:pPr>
      <w:rPr>
        <w:rFonts w:hint="default"/>
      </w:rPr>
    </w:lvl>
    <w:lvl w:ilvl="6">
      <w:start w:val="1"/>
      <w:numFmt w:val="none"/>
      <w:lvlText w:val=""/>
      <w:lvlJc w:val="left"/>
      <w:pPr>
        <w:ind w:left="1361" w:firstLine="0"/>
      </w:pPr>
      <w:rPr>
        <w:rFonts w:hint="default"/>
      </w:rPr>
    </w:lvl>
    <w:lvl w:ilvl="7">
      <w:start w:val="1"/>
      <w:numFmt w:val="none"/>
      <w:lvlText w:val=""/>
      <w:lvlJc w:val="left"/>
      <w:pPr>
        <w:ind w:left="1361" w:firstLine="0"/>
      </w:pPr>
      <w:rPr>
        <w:rFonts w:hint="default"/>
      </w:rPr>
    </w:lvl>
    <w:lvl w:ilvl="8">
      <w:start w:val="1"/>
      <w:numFmt w:val="none"/>
      <w:lvlText w:val=""/>
      <w:lvlJc w:val="left"/>
      <w:pPr>
        <w:ind w:left="1361" w:firstLine="0"/>
      </w:pPr>
      <w:rPr>
        <w:rFonts w:hint="default"/>
      </w:rPr>
    </w:lvl>
  </w:abstractNum>
  <w:abstractNum w:abstractNumId="34" w15:restartNumberingAfterBreak="0">
    <w:nsid w:val="503129AE"/>
    <w:multiLevelType w:val="hybridMultilevel"/>
    <w:tmpl w:val="65A0282E"/>
    <w:lvl w:ilvl="0" w:tplc="415CC718">
      <w:start w:val="1"/>
      <w:numFmt w:val="bullet"/>
      <w:lvlText w:val=""/>
      <w:lvlJc w:val="left"/>
      <w:pPr>
        <w:ind w:left="34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6C33EDD"/>
    <w:multiLevelType w:val="hybridMultilevel"/>
    <w:tmpl w:val="D092F16A"/>
    <w:lvl w:ilvl="0" w:tplc="556C782C">
      <w:start w:val="1"/>
      <w:numFmt w:val="bullet"/>
      <w:lvlText w:val=""/>
      <w:lvlJc w:val="left"/>
      <w:pPr>
        <w:ind w:left="34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9247813"/>
    <w:multiLevelType w:val="hybridMultilevel"/>
    <w:tmpl w:val="B8C4B1EE"/>
    <w:lvl w:ilvl="0" w:tplc="0E5C6434">
      <w:start w:val="1"/>
      <w:numFmt w:val="bullet"/>
      <w:lvlText w:val=""/>
      <w:lvlJc w:val="left"/>
      <w:pPr>
        <w:ind w:left="340" w:hanging="340"/>
      </w:pPr>
      <w:rPr>
        <w:rFonts w:ascii="Symbol" w:hAnsi="Symbol" w:hint="default"/>
      </w:rPr>
    </w:lvl>
    <w:lvl w:ilvl="1" w:tplc="15F833A6">
      <w:start w:val="1"/>
      <w:numFmt w:val="bullet"/>
      <w:lvlText w:val="o"/>
      <w:lvlJc w:val="left"/>
      <w:pPr>
        <w:ind w:left="1531" w:hanging="624"/>
      </w:pPr>
      <w:rPr>
        <w:rFonts w:ascii="Courier New" w:hAnsi="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37" w15:restartNumberingAfterBreak="0">
    <w:nsid w:val="5C840662"/>
    <w:multiLevelType w:val="hybridMultilevel"/>
    <w:tmpl w:val="8DE2B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E5B2483"/>
    <w:multiLevelType w:val="hybridMultilevel"/>
    <w:tmpl w:val="F63E4590"/>
    <w:lvl w:ilvl="0" w:tplc="2AEE7448">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0670AF7"/>
    <w:multiLevelType w:val="hybridMultilevel"/>
    <w:tmpl w:val="98A0C184"/>
    <w:lvl w:ilvl="0" w:tplc="84842312">
      <w:start w:val="1"/>
      <w:numFmt w:val="bullet"/>
      <w:lvlText w:val=""/>
      <w:lvlJc w:val="left"/>
      <w:pPr>
        <w:ind w:left="340" w:hanging="340"/>
      </w:pPr>
      <w:rPr>
        <w:rFonts w:ascii="Symbol" w:hAnsi="Symbol" w:hint="default"/>
      </w:rPr>
    </w:lvl>
    <w:lvl w:ilvl="1" w:tplc="8C6A66A8">
      <w:start w:val="6"/>
      <w:numFmt w:val="bullet"/>
      <w:lvlText w:val="-"/>
      <w:lvlJc w:val="left"/>
      <w:pPr>
        <w:ind w:left="2100" w:hanging="102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0E15E51"/>
    <w:multiLevelType w:val="multilevel"/>
    <w:tmpl w:val="978EC210"/>
    <w:lvl w:ilvl="0">
      <w:start w:val="1"/>
      <w:numFmt w:val="bullet"/>
      <w:pStyle w:val="Tablebullet-Level1"/>
      <w:lvlText w:val=""/>
      <w:lvlJc w:val="left"/>
      <w:pPr>
        <w:ind w:left="340" w:hanging="340"/>
      </w:pPr>
      <w:rPr>
        <w:rFonts w:ascii="Symbol" w:hAnsi="Symbol" w:hint="default"/>
        <w:color w:val="0072B9"/>
        <w:sz w:val="18"/>
        <w:szCs w:val="18"/>
      </w:rPr>
    </w:lvl>
    <w:lvl w:ilvl="1">
      <w:start w:val="1"/>
      <w:numFmt w:val="bullet"/>
      <w:pStyle w:val="Tablebullet-Level2"/>
      <w:lvlText w:val="­"/>
      <w:lvlJc w:val="left"/>
      <w:pPr>
        <w:ind w:left="680" w:hanging="340"/>
      </w:pPr>
      <w:rPr>
        <w:rFonts w:ascii="Courier New" w:hAnsi="Courier New" w:hint="default"/>
        <w:color w:val="00728F"/>
        <w:sz w:val="18"/>
      </w:rPr>
    </w:lvl>
    <w:lvl w:ilvl="2">
      <w:start w:val="1"/>
      <w:numFmt w:val="bullet"/>
      <w:lvlText w:val=""/>
      <w:lvlJc w:val="left"/>
      <w:pPr>
        <w:ind w:left="1021" w:hanging="341"/>
      </w:pPr>
      <w:rPr>
        <w:rFonts w:ascii="Symbol" w:hAnsi="Symbol" w:hint="default"/>
        <w:color w:val="00728F"/>
        <w:sz w:val="18"/>
      </w:rPr>
    </w:lvl>
    <w:lvl w:ilvl="3">
      <w:start w:val="1"/>
      <w:numFmt w:val="bullet"/>
      <w:lvlText w:val="­"/>
      <w:lvlJc w:val="left"/>
      <w:pPr>
        <w:ind w:left="1361" w:hanging="340"/>
      </w:pPr>
      <w:rPr>
        <w:rFonts w:ascii="Courier New" w:hAnsi="Courier New" w:hint="default"/>
        <w:color w:val="auto"/>
      </w:rPr>
    </w:lvl>
    <w:lvl w:ilvl="4">
      <w:start w:val="1"/>
      <w:numFmt w:val="none"/>
      <w:lvlText w:val=""/>
      <w:lvlJc w:val="left"/>
      <w:pPr>
        <w:ind w:left="1361" w:firstLine="0"/>
      </w:pPr>
      <w:rPr>
        <w:rFonts w:hint="default"/>
      </w:rPr>
    </w:lvl>
    <w:lvl w:ilvl="5">
      <w:start w:val="1"/>
      <w:numFmt w:val="none"/>
      <w:lvlText w:val=""/>
      <w:lvlJc w:val="left"/>
      <w:pPr>
        <w:ind w:left="1361" w:firstLine="0"/>
      </w:pPr>
      <w:rPr>
        <w:rFonts w:hint="default"/>
      </w:rPr>
    </w:lvl>
    <w:lvl w:ilvl="6">
      <w:start w:val="1"/>
      <w:numFmt w:val="none"/>
      <w:lvlText w:val=""/>
      <w:lvlJc w:val="left"/>
      <w:pPr>
        <w:ind w:left="1361" w:firstLine="0"/>
      </w:pPr>
      <w:rPr>
        <w:rFonts w:hint="default"/>
      </w:rPr>
    </w:lvl>
    <w:lvl w:ilvl="7">
      <w:start w:val="1"/>
      <w:numFmt w:val="none"/>
      <w:lvlText w:val=""/>
      <w:lvlJc w:val="left"/>
      <w:pPr>
        <w:ind w:left="1361" w:firstLine="0"/>
      </w:pPr>
      <w:rPr>
        <w:rFonts w:hint="default"/>
      </w:rPr>
    </w:lvl>
    <w:lvl w:ilvl="8">
      <w:start w:val="1"/>
      <w:numFmt w:val="none"/>
      <w:lvlText w:val=""/>
      <w:lvlJc w:val="left"/>
      <w:pPr>
        <w:ind w:left="1361" w:firstLine="0"/>
      </w:pPr>
      <w:rPr>
        <w:rFonts w:hint="default"/>
      </w:rPr>
    </w:lvl>
  </w:abstractNum>
  <w:abstractNum w:abstractNumId="41" w15:restartNumberingAfterBreak="0">
    <w:nsid w:val="64833830"/>
    <w:multiLevelType w:val="hybridMultilevel"/>
    <w:tmpl w:val="B106E9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87A596A"/>
    <w:multiLevelType w:val="hybridMultilevel"/>
    <w:tmpl w:val="8DA2F95A"/>
    <w:lvl w:ilvl="0" w:tplc="CB3C63C2">
      <w:start w:val="1"/>
      <w:numFmt w:val="decimal"/>
      <w:pStyle w:val="Boxlist-Numbered"/>
      <w:lvlText w:val="Question %1."/>
      <w:lvlJc w:val="left"/>
      <w:pPr>
        <w:ind w:left="558" w:hanging="360"/>
      </w:pPr>
      <w:rPr>
        <w:rFonts w:hint="default"/>
        <w:b/>
        <w:i w:val="0"/>
        <w:color w:val="00728F"/>
        <w:sz w:val="20"/>
      </w:rPr>
    </w:lvl>
    <w:lvl w:ilvl="1" w:tplc="0C090019" w:tentative="1">
      <w:start w:val="1"/>
      <w:numFmt w:val="lowerLetter"/>
      <w:lvlText w:val="%2."/>
      <w:lvlJc w:val="left"/>
      <w:pPr>
        <w:ind w:left="1638" w:hanging="360"/>
      </w:pPr>
    </w:lvl>
    <w:lvl w:ilvl="2" w:tplc="0C09001B" w:tentative="1">
      <w:start w:val="1"/>
      <w:numFmt w:val="lowerRoman"/>
      <w:lvlText w:val="%3."/>
      <w:lvlJc w:val="right"/>
      <w:pPr>
        <w:ind w:left="2358" w:hanging="180"/>
      </w:pPr>
    </w:lvl>
    <w:lvl w:ilvl="3" w:tplc="0C09000F" w:tentative="1">
      <w:start w:val="1"/>
      <w:numFmt w:val="decimal"/>
      <w:lvlText w:val="%4."/>
      <w:lvlJc w:val="left"/>
      <w:pPr>
        <w:ind w:left="3078" w:hanging="360"/>
      </w:pPr>
    </w:lvl>
    <w:lvl w:ilvl="4" w:tplc="0C090019" w:tentative="1">
      <w:start w:val="1"/>
      <w:numFmt w:val="lowerLetter"/>
      <w:lvlText w:val="%5."/>
      <w:lvlJc w:val="left"/>
      <w:pPr>
        <w:ind w:left="3798" w:hanging="360"/>
      </w:pPr>
    </w:lvl>
    <w:lvl w:ilvl="5" w:tplc="0C09001B" w:tentative="1">
      <w:start w:val="1"/>
      <w:numFmt w:val="lowerRoman"/>
      <w:lvlText w:val="%6."/>
      <w:lvlJc w:val="right"/>
      <w:pPr>
        <w:ind w:left="4518" w:hanging="180"/>
      </w:pPr>
    </w:lvl>
    <w:lvl w:ilvl="6" w:tplc="0C09000F" w:tentative="1">
      <w:start w:val="1"/>
      <w:numFmt w:val="decimal"/>
      <w:lvlText w:val="%7."/>
      <w:lvlJc w:val="left"/>
      <w:pPr>
        <w:ind w:left="5238" w:hanging="360"/>
      </w:pPr>
    </w:lvl>
    <w:lvl w:ilvl="7" w:tplc="0C090019" w:tentative="1">
      <w:start w:val="1"/>
      <w:numFmt w:val="lowerLetter"/>
      <w:lvlText w:val="%8."/>
      <w:lvlJc w:val="left"/>
      <w:pPr>
        <w:ind w:left="5958" w:hanging="360"/>
      </w:pPr>
    </w:lvl>
    <w:lvl w:ilvl="8" w:tplc="0C09001B" w:tentative="1">
      <w:start w:val="1"/>
      <w:numFmt w:val="lowerRoman"/>
      <w:lvlText w:val="%9."/>
      <w:lvlJc w:val="right"/>
      <w:pPr>
        <w:ind w:left="6678" w:hanging="180"/>
      </w:pPr>
    </w:lvl>
  </w:abstractNum>
  <w:abstractNum w:abstractNumId="43" w15:restartNumberingAfterBreak="0">
    <w:nsid w:val="6A4D5B94"/>
    <w:multiLevelType w:val="hybridMultilevel"/>
    <w:tmpl w:val="32008906"/>
    <w:lvl w:ilvl="0" w:tplc="6F42D6A6">
      <w:start w:val="1"/>
      <w:numFmt w:val="bullet"/>
      <w:lvlText w:val=""/>
      <w:lvlJc w:val="left"/>
      <w:pPr>
        <w:ind w:left="340"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CE27386"/>
    <w:multiLevelType w:val="hybridMultilevel"/>
    <w:tmpl w:val="15AA5E60"/>
    <w:lvl w:ilvl="0" w:tplc="E4B8F890">
      <w:start w:val="1"/>
      <w:numFmt w:val="bullet"/>
      <w:lvlText w:val=""/>
      <w:lvlJc w:val="left"/>
      <w:pPr>
        <w:ind w:left="340" w:hanging="340"/>
      </w:pPr>
      <w:rPr>
        <w:rFonts w:ascii="Symbol" w:hAnsi="Symbol" w:hint="default"/>
      </w:rPr>
    </w:lvl>
    <w:lvl w:ilvl="1" w:tplc="BCB61B7E">
      <w:start w:val="1"/>
      <w:numFmt w:val="bullet"/>
      <w:lvlText w:val="o"/>
      <w:lvlJc w:val="left"/>
      <w:pPr>
        <w:ind w:left="907" w:hanging="34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6E1F7CC9"/>
    <w:multiLevelType w:val="hybridMultilevel"/>
    <w:tmpl w:val="1206F69E"/>
    <w:lvl w:ilvl="0" w:tplc="EE109B52">
      <w:start w:val="1"/>
      <w:numFmt w:val="decimal"/>
      <w:pStyle w:val="Tablelist-Numbered"/>
      <w:lvlText w:val="%1."/>
      <w:lvlJc w:val="left"/>
      <w:pPr>
        <w:ind w:left="394" w:hanging="360"/>
      </w:pPr>
      <w:rPr>
        <w:rFonts w:hint="default"/>
        <w:b/>
        <w:i w:val="0"/>
        <w:color w:val="00728F"/>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E615F1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3CF2C31"/>
    <w:multiLevelType w:val="hybridMultilevel"/>
    <w:tmpl w:val="B4D60258"/>
    <w:lvl w:ilvl="0" w:tplc="F758893A">
      <w:start w:val="1"/>
      <w:numFmt w:val="bullet"/>
      <w:lvlText w:val=""/>
      <w:lvlJc w:val="left"/>
      <w:pPr>
        <w:ind w:left="34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44E22C0"/>
    <w:multiLevelType w:val="hybridMultilevel"/>
    <w:tmpl w:val="EBE202A8"/>
    <w:lvl w:ilvl="0" w:tplc="275EC662">
      <w:start w:val="1"/>
      <w:numFmt w:val="bullet"/>
      <w:pStyle w:val="Boxbullet"/>
      <w:lvlText w:val=""/>
      <w:lvlJc w:val="left"/>
      <w:pPr>
        <w:ind w:left="720" w:hanging="360"/>
      </w:pPr>
      <w:rPr>
        <w:rFonts w:ascii="Symbol" w:hAnsi="Symbol" w:hint="default"/>
        <w:color w:val="00728F"/>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5050778"/>
    <w:multiLevelType w:val="multilevel"/>
    <w:tmpl w:val="DAB27858"/>
    <w:lvl w:ilvl="0">
      <w:start w:val="1"/>
      <w:numFmt w:val="upperLetter"/>
      <w:pStyle w:val="Endmatter-Heading1"/>
      <w:lvlText w:val="%1."/>
      <w:lvlJc w:val="left"/>
      <w:pPr>
        <w:ind w:left="907" w:hanging="907"/>
      </w:pPr>
      <w:rPr>
        <w:rFonts w:hint="default"/>
      </w:rPr>
    </w:lvl>
    <w:lvl w:ilvl="1">
      <w:start w:val="1"/>
      <w:numFmt w:val="decimal"/>
      <w:pStyle w:val="Endmatter-Heading2"/>
      <w:lvlText w:val="%1.%2."/>
      <w:lvlJc w:val="left"/>
      <w:pPr>
        <w:ind w:left="907" w:hanging="907"/>
      </w:pPr>
      <w:rPr>
        <w:rFonts w:hint="default"/>
      </w:rPr>
    </w:lvl>
    <w:lvl w:ilvl="2">
      <w:start w:val="1"/>
      <w:numFmt w:val="decimal"/>
      <w:pStyle w:val="Endmatter-Heading3"/>
      <w:lvlText w:val="%1.%2.%3."/>
      <w:lvlJc w:val="left"/>
      <w:pPr>
        <w:ind w:left="907" w:hanging="90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0" w15:restartNumberingAfterBreak="0">
    <w:nsid w:val="7633525A"/>
    <w:multiLevelType w:val="hybridMultilevel"/>
    <w:tmpl w:val="CFC41DEA"/>
    <w:lvl w:ilvl="0" w:tplc="2AEE7448">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7DD20B4"/>
    <w:multiLevelType w:val="hybridMultilevel"/>
    <w:tmpl w:val="800E3336"/>
    <w:lvl w:ilvl="0" w:tplc="2AEE7448">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BDA2023"/>
    <w:multiLevelType w:val="hybridMultilevel"/>
    <w:tmpl w:val="2AF8D6EE"/>
    <w:lvl w:ilvl="0" w:tplc="0C090001">
      <w:start w:val="1"/>
      <w:numFmt w:val="bullet"/>
      <w:lvlText w:val=""/>
      <w:lvlJc w:val="left"/>
      <w:pPr>
        <w:ind w:left="340"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40"/>
  </w:num>
  <w:num w:numId="13">
    <w:abstractNumId w:val="28"/>
  </w:num>
  <w:num w:numId="14">
    <w:abstractNumId w:val="48"/>
  </w:num>
  <w:num w:numId="15">
    <w:abstractNumId w:val="19"/>
  </w:num>
  <w:num w:numId="16">
    <w:abstractNumId w:val="45"/>
  </w:num>
  <w:num w:numId="17">
    <w:abstractNumId w:val="46"/>
  </w:num>
  <w:num w:numId="18">
    <w:abstractNumId w:val="10"/>
  </w:num>
  <w:num w:numId="19">
    <w:abstractNumId w:val="22"/>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49"/>
  </w:num>
  <w:num w:numId="23">
    <w:abstractNumId w:val="42"/>
    <w:lvlOverride w:ilvl="0">
      <w:startOverride w:val="1"/>
    </w:lvlOverride>
  </w:num>
  <w:num w:numId="24">
    <w:abstractNumId w:val="31"/>
  </w:num>
  <w:num w:numId="25">
    <w:abstractNumId w:val="35"/>
  </w:num>
  <w:num w:numId="26">
    <w:abstractNumId w:val="44"/>
  </w:num>
  <w:num w:numId="27">
    <w:abstractNumId w:val="32"/>
  </w:num>
  <w:num w:numId="28">
    <w:abstractNumId w:val="12"/>
  </w:num>
  <w:num w:numId="29">
    <w:abstractNumId w:val="18"/>
  </w:num>
  <w:num w:numId="30">
    <w:abstractNumId w:val="43"/>
  </w:num>
  <w:num w:numId="31">
    <w:abstractNumId w:val="30"/>
  </w:num>
  <w:num w:numId="32">
    <w:abstractNumId w:val="36"/>
  </w:num>
  <w:num w:numId="33">
    <w:abstractNumId w:val="39"/>
  </w:num>
  <w:num w:numId="34">
    <w:abstractNumId w:val="47"/>
  </w:num>
  <w:num w:numId="35">
    <w:abstractNumId w:val="21"/>
  </w:num>
  <w:num w:numId="36">
    <w:abstractNumId w:val="11"/>
  </w:num>
  <w:num w:numId="37">
    <w:abstractNumId w:val="34"/>
  </w:num>
  <w:num w:numId="38">
    <w:abstractNumId w:val="13"/>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2"/>
  </w:num>
  <w:num w:numId="41">
    <w:abstractNumId w:val="25"/>
  </w:num>
  <w:num w:numId="42">
    <w:abstractNumId w:val="51"/>
  </w:num>
  <w:num w:numId="43">
    <w:abstractNumId w:val="38"/>
  </w:num>
  <w:num w:numId="44">
    <w:abstractNumId w:val="50"/>
  </w:num>
  <w:num w:numId="45">
    <w:abstractNumId w:val="37"/>
  </w:num>
  <w:num w:numId="46">
    <w:abstractNumId w:val="14"/>
  </w:num>
  <w:num w:numId="47">
    <w:abstractNumId w:val="29"/>
  </w:num>
  <w:num w:numId="48">
    <w:abstractNumId w:val="15"/>
  </w:num>
  <w:num w:numId="49">
    <w:abstractNumId w:val="24"/>
  </w:num>
  <w:num w:numId="50">
    <w:abstractNumId w:val="26"/>
  </w:num>
  <w:num w:numId="51">
    <w:abstractNumId w:val="23"/>
  </w:num>
  <w:num w:numId="52">
    <w:abstractNumId w:val="27"/>
  </w:num>
  <w:num w:numId="5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1"/>
  </w:num>
  <w:num w:numId="60">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lickAndTypeStyle w:val="BodyText"/>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D29"/>
    <w:rsid w:val="000000F3"/>
    <w:rsid w:val="00000A0D"/>
    <w:rsid w:val="000012B1"/>
    <w:rsid w:val="0000179F"/>
    <w:rsid w:val="00002089"/>
    <w:rsid w:val="00002AA3"/>
    <w:rsid w:val="00002B0D"/>
    <w:rsid w:val="0000333F"/>
    <w:rsid w:val="000047CD"/>
    <w:rsid w:val="00005AEB"/>
    <w:rsid w:val="00006E19"/>
    <w:rsid w:val="00006F87"/>
    <w:rsid w:val="0000704D"/>
    <w:rsid w:val="00007B8A"/>
    <w:rsid w:val="00007FFE"/>
    <w:rsid w:val="000100BE"/>
    <w:rsid w:val="00010C91"/>
    <w:rsid w:val="000110DE"/>
    <w:rsid w:val="0001191A"/>
    <w:rsid w:val="00012094"/>
    <w:rsid w:val="00012AE9"/>
    <w:rsid w:val="000131B2"/>
    <w:rsid w:val="00013855"/>
    <w:rsid w:val="00014CCA"/>
    <w:rsid w:val="000152CC"/>
    <w:rsid w:val="000159C9"/>
    <w:rsid w:val="000161B3"/>
    <w:rsid w:val="000164FF"/>
    <w:rsid w:val="00016739"/>
    <w:rsid w:val="00017299"/>
    <w:rsid w:val="00017B31"/>
    <w:rsid w:val="00017E32"/>
    <w:rsid w:val="0002084C"/>
    <w:rsid w:val="000208CF"/>
    <w:rsid w:val="000223A5"/>
    <w:rsid w:val="00022B50"/>
    <w:rsid w:val="00023528"/>
    <w:rsid w:val="00023A8C"/>
    <w:rsid w:val="00023FA7"/>
    <w:rsid w:val="00024E7E"/>
    <w:rsid w:val="00025256"/>
    <w:rsid w:val="0002587A"/>
    <w:rsid w:val="00026060"/>
    <w:rsid w:val="000260C3"/>
    <w:rsid w:val="00026D00"/>
    <w:rsid w:val="00030571"/>
    <w:rsid w:val="00030E39"/>
    <w:rsid w:val="0003155B"/>
    <w:rsid w:val="000320B9"/>
    <w:rsid w:val="0003213D"/>
    <w:rsid w:val="00032710"/>
    <w:rsid w:val="00033C18"/>
    <w:rsid w:val="000360AD"/>
    <w:rsid w:val="00037756"/>
    <w:rsid w:val="00037AD6"/>
    <w:rsid w:val="00037CA9"/>
    <w:rsid w:val="00040A8B"/>
    <w:rsid w:val="00040E37"/>
    <w:rsid w:val="000412CD"/>
    <w:rsid w:val="00041604"/>
    <w:rsid w:val="000426D2"/>
    <w:rsid w:val="00042873"/>
    <w:rsid w:val="0004408C"/>
    <w:rsid w:val="0004449A"/>
    <w:rsid w:val="0004463F"/>
    <w:rsid w:val="00045783"/>
    <w:rsid w:val="00050001"/>
    <w:rsid w:val="00050750"/>
    <w:rsid w:val="0005092C"/>
    <w:rsid w:val="00050989"/>
    <w:rsid w:val="000512BE"/>
    <w:rsid w:val="00051E21"/>
    <w:rsid w:val="000521EF"/>
    <w:rsid w:val="00052217"/>
    <w:rsid w:val="00052EC8"/>
    <w:rsid w:val="000536CB"/>
    <w:rsid w:val="00053829"/>
    <w:rsid w:val="00055535"/>
    <w:rsid w:val="00056948"/>
    <w:rsid w:val="00056B35"/>
    <w:rsid w:val="00056B4A"/>
    <w:rsid w:val="000603E6"/>
    <w:rsid w:val="00061F8D"/>
    <w:rsid w:val="0006249D"/>
    <w:rsid w:val="00062980"/>
    <w:rsid w:val="00063027"/>
    <w:rsid w:val="000637E2"/>
    <w:rsid w:val="000644A1"/>
    <w:rsid w:val="00064735"/>
    <w:rsid w:val="00065352"/>
    <w:rsid w:val="00065EA5"/>
    <w:rsid w:val="0006653C"/>
    <w:rsid w:val="00066BB9"/>
    <w:rsid w:val="00066D69"/>
    <w:rsid w:val="00067AA5"/>
    <w:rsid w:val="00067AD2"/>
    <w:rsid w:val="00067EEA"/>
    <w:rsid w:val="00070045"/>
    <w:rsid w:val="0007046F"/>
    <w:rsid w:val="00070D7F"/>
    <w:rsid w:val="00071112"/>
    <w:rsid w:val="000720AB"/>
    <w:rsid w:val="0007225F"/>
    <w:rsid w:val="0007357C"/>
    <w:rsid w:val="00073C11"/>
    <w:rsid w:val="0007424C"/>
    <w:rsid w:val="0007488B"/>
    <w:rsid w:val="00075D64"/>
    <w:rsid w:val="00076380"/>
    <w:rsid w:val="00076B51"/>
    <w:rsid w:val="00076CD6"/>
    <w:rsid w:val="00080DB3"/>
    <w:rsid w:val="0008153E"/>
    <w:rsid w:val="00081606"/>
    <w:rsid w:val="00081631"/>
    <w:rsid w:val="00082033"/>
    <w:rsid w:val="000837D7"/>
    <w:rsid w:val="00083BD0"/>
    <w:rsid w:val="0008502C"/>
    <w:rsid w:val="000855F7"/>
    <w:rsid w:val="00085C1B"/>
    <w:rsid w:val="00086BE9"/>
    <w:rsid w:val="00086C44"/>
    <w:rsid w:val="00087E23"/>
    <w:rsid w:val="000905C3"/>
    <w:rsid w:val="0009060A"/>
    <w:rsid w:val="00090EDA"/>
    <w:rsid w:val="00091098"/>
    <w:rsid w:val="00091504"/>
    <w:rsid w:val="00091AB8"/>
    <w:rsid w:val="00092A82"/>
    <w:rsid w:val="000930E3"/>
    <w:rsid w:val="0009379A"/>
    <w:rsid w:val="00094EB5"/>
    <w:rsid w:val="000963A9"/>
    <w:rsid w:val="00096718"/>
    <w:rsid w:val="000974FD"/>
    <w:rsid w:val="000A00BB"/>
    <w:rsid w:val="000A13C3"/>
    <w:rsid w:val="000A1953"/>
    <w:rsid w:val="000A24BF"/>
    <w:rsid w:val="000A2CCA"/>
    <w:rsid w:val="000A2EE5"/>
    <w:rsid w:val="000A3229"/>
    <w:rsid w:val="000A3632"/>
    <w:rsid w:val="000A36C3"/>
    <w:rsid w:val="000A4198"/>
    <w:rsid w:val="000A4329"/>
    <w:rsid w:val="000A4478"/>
    <w:rsid w:val="000A545A"/>
    <w:rsid w:val="000A5E47"/>
    <w:rsid w:val="000A6225"/>
    <w:rsid w:val="000A723B"/>
    <w:rsid w:val="000A7951"/>
    <w:rsid w:val="000A7DD9"/>
    <w:rsid w:val="000B114C"/>
    <w:rsid w:val="000B3A36"/>
    <w:rsid w:val="000B6D53"/>
    <w:rsid w:val="000B758F"/>
    <w:rsid w:val="000C0060"/>
    <w:rsid w:val="000C043D"/>
    <w:rsid w:val="000C2441"/>
    <w:rsid w:val="000C2467"/>
    <w:rsid w:val="000C2590"/>
    <w:rsid w:val="000C26D2"/>
    <w:rsid w:val="000C29F5"/>
    <w:rsid w:val="000C3BB3"/>
    <w:rsid w:val="000C3E3C"/>
    <w:rsid w:val="000C50B8"/>
    <w:rsid w:val="000C6BE4"/>
    <w:rsid w:val="000C6EA5"/>
    <w:rsid w:val="000D0D3B"/>
    <w:rsid w:val="000D1670"/>
    <w:rsid w:val="000D17E3"/>
    <w:rsid w:val="000D1844"/>
    <w:rsid w:val="000D18DD"/>
    <w:rsid w:val="000D1A93"/>
    <w:rsid w:val="000D22A4"/>
    <w:rsid w:val="000D2C29"/>
    <w:rsid w:val="000D2CB6"/>
    <w:rsid w:val="000D3C2E"/>
    <w:rsid w:val="000D421F"/>
    <w:rsid w:val="000D4C2E"/>
    <w:rsid w:val="000D4DDD"/>
    <w:rsid w:val="000D5E3B"/>
    <w:rsid w:val="000D72FC"/>
    <w:rsid w:val="000E01C6"/>
    <w:rsid w:val="000E030C"/>
    <w:rsid w:val="000E03CD"/>
    <w:rsid w:val="000E0961"/>
    <w:rsid w:val="000E2323"/>
    <w:rsid w:val="000E30FC"/>
    <w:rsid w:val="000E33DB"/>
    <w:rsid w:val="000E4A7A"/>
    <w:rsid w:val="000E739C"/>
    <w:rsid w:val="000E7483"/>
    <w:rsid w:val="000E74C3"/>
    <w:rsid w:val="000F0A6C"/>
    <w:rsid w:val="000F1795"/>
    <w:rsid w:val="000F2204"/>
    <w:rsid w:val="000F257B"/>
    <w:rsid w:val="000F2B67"/>
    <w:rsid w:val="000F2E50"/>
    <w:rsid w:val="000F315D"/>
    <w:rsid w:val="000F31C5"/>
    <w:rsid w:val="000F3529"/>
    <w:rsid w:val="000F429A"/>
    <w:rsid w:val="000F43F5"/>
    <w:rsid w:val="000F6A07"/>
    <w:rsid w:val="000F6F27"/>
    <w:rsid w:val="000F7C98"/>
    <w:rsid w:val="00100781"/>
    <w:rsid w:val="00100A92"/>
    <w:rsid w:val="00102808"/>
    <w:rsid w:val="0010379E"/>
    <w:rsid w:val="001059EB"/>
    <w:rsid w:val="00106424"/>
    <w:rsid w:val="00106B9A"/>
    <w:rsid w:val="00107198"/>
    <w:rsid w:val="001103DB"/>
    <w:rsid w:val="00110510"/>
    <w:rsid w:val="00110EE2"/>
    <w:rsid w:val="0011167D"/>
    <w:rsid w:val="00112DAB"/>
    <w:rsid w:val="00113957"/>
    <w:rsid w:val="00114A38"/>
    <w:rsid w:val="00115188"/>
    <w:rsid w:val="00116007"/>
    <w:rsid w:val="00116AA0"/>
    <w:rsid w:val="00116F10"/>
    <w:rsid w:val="00116FF7"/>
    <w:rsid w:val="0011700E"/>
    <w:rsid w:val="0012132A"/>
    <w:rsid w:val="00121C4F"/>
    <w:rsid w:val="00122D70"/>
    <w:rsid w:val="001235DF"/>
    <w:rsid w:val="00123B3C"/>
    <w:rsid w:val="001240ED"/>
    <w:rsid w:val="00125A47"/>
    <w:rsid w:val="00126325"/>
    <w:rsid w:val="001264AF"/>
    <w:rsid w:val="00126837"/>
    <w:rsid w:val="001274F6"/>
    <w:rsid w:val="001310B2"/>
    <w:rsid w:val="001313C5"/>
    <w:rsid w:val="00131519"/>
    <w:rsid w:val="00131B74"/>
    <w:rsid w:val="001326A9"/>
    <w:rsid w:val="00133178"/>
    <w:rsid w:val="00133D14"/>
    <w:rsid w:val="00133F56"/>
    <w:rsid w:val="00134513"/>
    <w:rsid w:val="001348CD"/>
    <w:rsid w:val="00134A17"/>
    <w:rsid w:val="00135456"/>
    <w:rsid w:val="00136BB7"/>
    <w:rsid w:val="00136C8B"/>
    <w:rsid w:val="001373C7"/>
    <w:rsid w:val="001379ED"/>
    <w:rsid w:val="00137A10"/>
    <w:rsid w:val="00137ADC"/>
    <w:rsid w:val="00137EA7"/>
    <w:rsid w:val="001406B6"/>
    <w:rsid w:val="00141833"/>
    <w:rsid w:val="0014194F"/>
    <w:rsid w:val="001435DB"/>
    <w:rsid w:val="00143825"/>
    <w:rsid w:val="00143A93"/>
    <w:rsid w:val="00143C9B"/>
    <w:rsid w:val="00143CFF"/>
    <w:rsid w:val="001441A7"/>
    <w:rsid w:val="00144809"/>
    <w:rsid w:val="00144838"/>
    <w:rsid w:val="00144DED"/>
    <w:rsid w:val="00145192"/>
    <w:rsid w:val="00145933"/>
    <w:rsid w:val="00145988"/>
    <w:rsid w:val="001471F5"/>
    <w:rsid w:val="00147E77"/>
    <w:rsid w:val="0015033C"/>
    <w:rsid w:val="001517A4"/>
    <w:rsid w:val="00152846"/>
    <w:rsid w:val="00153E5C"/>
    <w:rsid w:val="00154E7A"/>
    <w:rsid w:val="001571E1"/>
    <w:rsid w:val="001571EB"/>
    <w:rsid w:val="00161D9F"/>
    <w:rsid w:val="00162282"/>
    <w:rsid w:val="00162724"/>
    <w:rsid w:val="001648DF"/>
    <w:rsid w:val="00164A6A"/>
    <w:rsid w:val="00164DD5"/>
    <w:rsid w:val="00165ACB"/>
    <w:rsid w:val="00165B80"/>
    <w:rsid w:val="001660A0"/>
    <w:rsid w:val="0016624A"/>
    <w:rsid w:val="001668BC"/>
    <w:rsid w:val="00170996"/>
    <w:rsid w:val="00170B93"/>
    <w:rsid w:val="00171110"/>
    <w:rsid w:val="00171395"/>
    <w:rsid w:val="00172565"/>
    <w:rsid w:val="00172D9A"/>
    <w:rsid w:val="001733DE"/>
    <w:rsid w:val="00174253"/>
    <w:rsid w:val="0017517F"/>
    <w:rsid w:val="00175547"/>
    <w:rsid w:val="00175B5B"/>
    <w:rsid w:val="00175E61"/>
    <w:rsid w:val="00177012"/>
    <w:rsid w:val="00177050"/>
    <w:rsid w:val="00180CE3"/>
    <w:rsid w:val="00181709"/>
    <w:rsid w:val="00181E98"/>
    <w:rsid w:val="00182AD2"/>
    <w:rsid w:val="00183651"/>
    <w:rsid w:val="00185B74"/>
    <w:rsid w:val="00185BF3"/>
    <w:rsid w:val="001869BE"/>
    <w:rsid w:val="00186F0C"/>
    <w:rsid w:val="00190135"/>
    <w:rsid w:val="00190FB7"/>
    <w:rsid w:val="00192FC3"/>
    <w:rsid w:val="00195094"/>
    <w:rsid w:val="00196328"/>
    <w:rsid w:val="001968BF"/>
    <w:rsid w:val="00196D12"/>
    <w:rsid w:val="00197BC4"/>
    <w:rsid w:val="001A1E38"/>
    <w:rsid w:val="001A357E"/>
    <w:rsid w:val="001A3739"/>
    <w:rsid w:val="001A52B8"/>
    <w:rsid w:val="001A5CDF"/>
    <w:rsid w:val="001A608F"/>
    <w:rsid w:val="001A6095"/>
    <w:rsid w:val="001A62B3"/>
    <w:rsid w:val="001A6448"/>
    <w:rsid w:val="001A694A"/>
    <w:rsid w:val="001A7825"/>
    <w:rsid w:val="001B12BE"/>
    <w:rsid w:val="001B36E7"/>
    <w:rsid w:val="001B3A4C"/>
    <w:rsid w:val="001B60A5"/>
    <w:rsid w:val="001B6911"/>
    <w:rsid w:val="001B6C64"/>
    <w:rsid w:val="001B71B1"/>
    <w:rsid w:val="001B7A28"/>
    <w:rsid w:val="001B7EEF"/>
    <w:rsid w:val="001C08E2"/>
    <w:rsid w:val="001C16FB"/>
    <w:rsid w:val="001C1C01"/>
    <w:rsid w:val="001C3AF3"/>
    <w:rsid w:val="001C4284"/>
    <w:rsid w:val="001C5325"/>
    <w:rsid w:val="001C5E81"/>
    <w:rsid w:val="001C5FDD"/>
    <w:rsid w:val="001C69FB"/>
    <w:rsid w:val="001C712D"/>
    <w:rsid w:val="001C7AF7"/>
    <w:rsid w:val="001C7F0B"/>
    <w:rsid w:val="001D0602"/>
    <w:rsid w:val="001D0D2F"/>
    <w:rsid w:val="001D0D8A"/>
    <w:rsid w:val="001D28B0"/>
    <w:rsid w:val="001D2D07"/>
    <w:rsid w:val="001D3C04"/>
    <w:rsid w:val="001D4C18"/>
    <w:rsid w:val="001D50A8"/>
    <w:rsid w:val="001D5BED"/>
    <w:rsid w:val="001D6C77"/>
    <w:rsid w:val="001D6C79"/>
    <w:rsid w:val="001D7096"/>
    <w:rsid w:val="001D7353"/>
    <w:rsid w:val="001D7699"/>
    <w:rsid w:val="001D7880"/>
    <w:rsid w:val="001E0315"/>
    <w:rsid w:val="001E0C7B"/>
    <w:rsid w:val="001E1025"/>
    <w:rsid w:val="001E1570"/>
    <w:rsid w:val="001E2E05"/>
    <w:rsid w:val="001E4A27"/>
    <w:rsid w:val="001E5630"/>
    <w:rsid w:val="001E5833"/>
    <w:rsid w:val="001E5C0C"/>
    <w:rsid w:val="001E703B"/>
    <w:rsid w:val="001E7898"/>
    <w:rsid w:val="001F0A77"/>
    <w:rsid w:val="001F1C93"/>
    <w:rsid w:val="001F2593"/>
    <w:rsid w:val="001F2653"/>
    <w:rsid w:val="001F4346"/>
    <w:rsid w:val="001F4B73"/>
    <w:rsid w:val="001F54BE"/>
    <w:rsid w:val="001F5A2C"/>
    <w:rsid w:val="002000AB"/>
    <w:rsid w:val="002006AF"/>
    <w:rsid w:val="002009B5"/>
    <w:rsid w:val="002014E7"/>
    <w:rsid w:val="002022A9"/>
    <w:rsid w:val="002026CC"/>
    <w:rsid w:val="002029A5"/>
    <w:rsid w:val="002031BD"/>
    <w:rsid w:val="002038E3"/>
    <w:rsid w:val="00203D85"/>
    <w:rsid w:val="002051EC"/>
    <w:rsid w:val="00205B0C"/>
    <w:rsid w:val="00206373"/>
    <w:rsid w:val="0020753B"/>
    <w:rsid w:val="002109F3"/>
    <w:rsid w:val="0021168B"/>
    <w:rsid w:val="00211B11"/>
    <w:rsid w:val="002122EE"/>
    <w:rsid w:val="00212C8F"/>
    <w:rsid w:val="00212D28"/>
    <w:rsid w:val="002131DB"/>
    <w:rsid w:val="002137D0"/>
    <w:rsid w:val="002140A8"/>
    <w:rsid w:val="00214530"/>
    <w:rsid w:val="00215247"/>
    <w:rsid w:val="0021574F"/>
    <w:rsid w:val="00215AF7"/>
    <w:rsid w:val="00215DB3"/>
    <w:rsid w:val="00217134"/>
    <w:rsid w:val="00217D88"/>
    <w:rsid w:val="002212B4"/>
    <w:rsid w:val="00221456"/>
    <w:rsid w:val="002220D5"/>
    <w:rsid w:val="00224556"/>
    <w:rsid w:val="00224EA3"/>
    <w:rsid w:val="00224F58"/>
    <w:rsid w:val="0022510C"/>
    <w:rsid w:val="00227647"/>
    <w:rsid w:val="00230003"/>
    <w:rsid w:val="002300C6"/>
    <w:rsid w:val="00230177"/>
    <w:rsid w:val="002304A0"/>
    <w:rsid w:val="002304DE"/>
    <w:rsid w:val="00230F08"/>
    <w:rsid w:val="00231391"/>
    <w:rsid w:val="0023229B"/>
    <w:rsid w:val="002324B2"/>
    <w:rsid w:val="002324C0"/>
    <w:rsid w:val="0023275B"/>
    <w:rsid w:val="00232931"/>
    <w:rsid w:val="00232A7F"/>
    <w:rsid w:val="00233A44"/>
    <w:rsid w:val="00233F72"/>
    <w:rsid w:val="00235144"/>
    <w:rsid w:val="002352A4"/>
    <w:rsid w:val="00235BBB"/>
    <w:rsid w:val="00235BE0"/>
    <w:rsid w:val="00235F66"/>
    <w:rsid w:val="00236409"/>
    <w:rsid w:val="0024133E"/>
    <w:rsid w:val="002424AB"/>
    <w:rsid w:val="002434E8"/>
    <w:rsid w:val="002440EF"/>
    <w:rsid w:val="00244B19"/>
    <w:rsid w:val="00247089"/>
    <w:rsid w:val="002504E3"/>
    <w:rsid w:val="00251D8A"/>
    <w:rsid w:val="002542CE"/>
    <w:rsid w:val="002543F6"/>
    <w:rsid w:val="00254512"/>
    <w:rsid w:val="0025457D"/>
    <w:rsid w:val="002547E2"/>
    <w:rsid w:val="00254E5D"/>
    <w:rsid w:val="0025517E"/>
    <w:rsid w:val="002555CB"/>
    <w:rsid w:val="0025632B"/>
    <w:rsid w:val="00256385"/>
    <w:rsid w:val="00256E94"/>
    <w:rsid w:val="00257167"/>
    <w:rsid w:val="00257840"/>
    <w:rsid w:val="00261078"/>
    <w:rsid w:val="00262161"/>
    <w:rsid w:val="00262533"/>
    <w:rsid w:val="00265916"/>
    <w:rsid w:val="00265F75"/>
    <w:rsid w:val="002703B5"/>
    <w:rsid w:val="002703DD"/>
    <w:rsid w:val="00270786"/>
    <w:rsid w:val="0027111B"/>
    <w:rsid w:val="002711E3"/>
    <w:rsid w:val="002714B8"/>
    <w:rsid w:val="002717C3"/>
    <w:rsid w:val="00271B2E"/>
    <w:rsid w:val="00272615"/>
    <w:rsid w:val="00272918"/>
    <w:rsid w:val="00273A97"/>
    <w:rsid w:val="002740DD"/>
    <w:rsid w:val="002752C7"/>
    <w:rsid w:val="00275331"/>
    <w:rsid w:val="002760DC"/>
    <w:rsid w:val="0027624B"/>
    <w:rsid w:val="002766AA"/>
    <w:rsid w:val="0028010A"/>
    <w:rsid w:val="0028040D"/>
    <w:rsid w:val="00280911"/>
    <w:rsid w:val="002810BE"/>
    <w:rsid w:val="00281192"/>
    <w:rsid w:val="00282BBA"/>
    <w:rsid w:val="00282D79"/>
    <w:rsid w:val="00283547"/>
    <w:rsid w:val="00283763"/>
    <w:rsid w:val="00283FBD"/>
    <w:rsid w:val="0028413F"/>
    <w:rsid w:val="0028442C"/>
    <w:rsid w:val="00284B24"/>
    <w:rsid w:val="00285022"/>
    <w:rsid w:val="0028527D"/>
    <w:rsid w:val="00285437"/>
    <w:rsid w:val="002857C1"/>
    <w:rsid w:val="00287514"/>
    <w:rsid w:val="00287A6D"/>
    <w:rsid w:val="00290D1D"/>
    <w:rsid w:val="00290D6A"/>
    <w:rsid w:val="0029112D"/>
    <w:rsid w:val="0029143A"/>
    <w:rsid w:val="00291E45"/>
    <w:rsid w:val="00292145"/>
    <w:rsid w:val="00294230"/>
    <w:rsid w:val="002968F3"/>
    <w:rsid w:val="00297EC1"/>
    <w:rsid w:val="002A022C"/>
    <w:rsid w:val="002A0DEC"/>
    <w:rsid w:val="002A11F7"/>
    <w:rsid w:val="002A1EDF"/>
    <w:rsid w:val="002A2975"/>
    <w:rsid w:val="002A36F8"/>
    <w:rsid w:val="002A3D43"/>
    <w:rsid w:val="002A4425"/>
    <w:rsid w:val="002A49B4"/>
    <w:rsid w:val="002A52B3"/>
    <w:rsid w:val="002A69C4"/>
    <w:rsid w:val="002A6FA7"/>
    <w:rsid w:val="002A7854"/>
    <w:rsid w:val="002A7D93"/>
    <w:rsid w:val="002B02B0"/>
    <w:rsid w:val="002B071B"/>
    <w:rsid w:val="002B0E7C"/>
    <w:rsid w:val="002B1297"/>
    <w:rsid w:val="002B1459"/>
    <w:rsid w:val="002B1D37"/>
    <w:rsid w:val="002B25AD"/>
    <w:rsid w:val="002B2622"/>
    <w:rsid w:val="002B2E0E"/>
    <w:rsid w:val="002B3724"/>
    <w:rsid w:val="002B3949"/>
    <w:rsid w:val="002B50F0"/>
    <w:rsid w:val="002B59B1"/>
    <w:rsid w:val="002B5DA0"/>
    <w:rsid w:val="002B654A"/>
    <w:rsid w:val="002B7DDF"/>
    <w:rsid w:val="002C0114"/>
    <w:rsid w:val="002C12C7"/>
    <w:rsid w:val="002C171C"/>
    <w:rsid w:val="002C18A1"/>
    <w:rsid w:val="002C1CCD"/>
    <w:rsid w:val="002C246F"/>
    <w:rsid w:val="002C24FA"/>
    <w:rsid w:val="002C42F7"/>
    <w:rsid w:val="002C44F2"/>
    <w:rsid w:val="002C4DEC"/>
    <w:rsid w:val="002C6011"/>
    <w:rsid w:val="002C65F8"/>
    <w:rsid w:val="002C7283"/>
    <w:rsid w:val="002C72F2"/>
    <w:rsid w:val="002C7B31"/>
    <w:rsid w:val="002C7B3C"/>
    <w:rsid w:val="002D0A5D"/>
    <w:rsid w:val="002D1E08"/>
    <w:rsid w:val="002D3172"/>
    <w:rsid w:val="002D348C"/>
    <w:rsid w:val="002D4786"/>
    <w:rsid w:val="002D4ED5"/>
    <w:rsid w:val="002D6113"/>
    <w:rsid w:val="002D66D3"/>
    <w:rsid w:val="002D6769"/>
    <w:rsid w:val="002D7AD5"/>
    <w:rsid w:val="002E04F2"/>
    <w:rsid w:val="002E058B"/>
    <w:rsid w:val="002E07FA"/>
    <w:rsid w:val="002E088C"/>
    <w:rsid w:val="002E0E62"/>
    <w:rsid w:val="002E14F8"/>
    <w:rsid w:val="002E187E"/>
    <w:rsid w:val="002E2136"/>
    <w:rsid w:val="002E259C"/>
    <w:rsid w:val="002E2AD1"/>
    <w:rsid w:val="002E3121"/>
    <w:rsid w:val="002E3839"/>
    <w:rsid w:val="002E3D09"/>
    <w:rsid w:val="002E4575"/>
    <w:rsid w:val="002E4953"/>
    <w:rsid w:val="002E5649"/>
    <w:rsid w:val="002E57C3"/>
    <w:rsid w:val="002E624D"/>
    <w:rsid w:val="002E6659"/>
    <w:rsid w:val="002E66D9"/>
    <w:rsid w:val="002E6728"/>
    <w:rsid w:val="002E7A98"/>
    <w:rsid w:val="002E7C4C"/>
    <w:rsid w:val="002F1BE5"/>
    <w:rsid w:val="002F2809"/>
    <w:rsid w:val="002F30D1"/>
    <w:rsid w:val="002F38B4"/>
    <w:rsid w:val="002F3D38"/>
    <w:rsid w:val="002F5629"/>
    <w:rsid w:val="002F659A"/>
    <w:rsid w:val="002F730A"/>
    <w:rsid w:val="002F7326"/>
    <w:rsid w:val="00301762"/>
    <w:rsid w:val="0030189A"/>
    <w:rsid w:val="00301BA1"/>
    <w:rsid w:val="00302513"/>
    <w:rsid w:val="00302598"/>
    <w:rsid w:val="0030267C"/>
    <w:rsid w:val="003030C8"/>
    <w:rsid w:val="00303F9F"/>
    <w:rsid w:val="00304C24"/>
    <w:rsid w:val="00305583"/>
    <w:rsid w:val="003057BC"/>
    <w:rsid w:val="00305E9C"/>
    <w:rsid w:val="00305F3B"/>
    <w:rsid w:val="00306466"/>
    <w:rsid w:val="00306D55"/>
    <w:rsid w:val="003077B3"/>
    <w:rsid w:val="003078B6"/>
    <w:rsid w:val="00310A2C"/>
    <w:rsid w:val="00310F6C"/>
    <w:rsid w:val="00311A3E"/>
    <w:rsid w:val="00312E25"/>
    <w:rsid w:val="003130A7"/>
    <w:rsid w:val="00313121"/>
    <w:rsid w:val="003140DD"/>
    <w:rsid w:val="00314397"/>
    <w:rsid w:val="00315083"/>
    <w:rsid w:val="003150A7"/>
    <w:rsid w:val="00315486"/>
    <w:rsid w:val="00315A71"/>
    <w:rsid w:val="00316793"/>
    <w:rsid w:val="00316DF7"/>
    <w:rsid w:val="003179E4"/>
    <w:rsid w:val="00317F36"/>
    <w:rsid w:val="00320DDA"/>
    <w:rsid w:val="00321FF4"/>
    <w:rsid w:val="003221D3"/>
    <w:rsid w:val="003223C9"/>
    <w:rsid w:val="00323276"/>
    <w:rsid w:val="003234FE"/>
    <w:rsid w:val="00323603"/>
    <w:rsid w:val="00324FC0"/>
    <w:rsid w:val="00325470"/>
    <w:rsid w:val="00325BDE"/>
    <w:rsid w:val="00326AF6"/>
    <w:rsid w:val="0033098C"/>
    <w:rsid w:val="00331A2D"/>
    <w:rsid w:val="00331EAB"/>
    <w:rsid w:val="003328DC"/>
    <w:rsid w:val="00332CDD"/>
    <w:rsid w:val="00333235"/>
    <w:rsid w:val="0033352B"/>
    <w:rsid w:val="003359A6"/>
    <w:rsid w:val="00335D8A"/>
    <w:rsid w:val="0033674E"/>
    <w:rsid w:val="00337937"/>
    <w:rsid w:val="003412AE"/>
    <w:rsid w:val="003415DB"/>
    <w:rsid w:val="00341856"/>
    <w:rsid w:val="00341927"/>
    <w:rsid w:val="00342239"/>
    <w:rsid w:val="003429E8"/>
    <w:rsid w:val="00342E05"/>
    <w:rsid w:val="003430C3"/>
    <w:rsid w:val="00343AD3"/>
    <w:rsid w:val="00343EF6"/>
    <w:rsid w:val="00344245"/>
    <w:rsid w:val="00344579"/>
    <w:rsid w:val="003458F2"/>
    <w:rsid w:val="003465CA"/>
    <w:rsid w:val="00347621"/>
    <w:rsid w:val="0034777F"/>
    <w:rsid w:val="00347DDB"/>
    <w:rsid w:val="00347F53"/>
    <w:rsid w:val="003501C3"/>
    <w:rsid w:val="00350E32"/>
    <w:rsid w:val="00350F8A"/>
    <w:rsid w:val="00351922"/>
    <w:rsid w:val="00352C74"/>
    <w:rsid w:val="00354545"/>
    <w:rsid w:val="00354AB1"/>
    <w:rsid w:val="00355167"/>
    <w:rsid w:val="00355DBD"/>
    <w:rsid w:val="00355E1A"/>
    <w:rsid w:val="00356C39"/>
    <w:rsid w:val="003576AB"/>
    <w:rsid w:val="00357795"/>
    <w:rsid w:val="003600D8"/>
    <w:rsid w:val="00360600"/>
    <w:rsid w:val="00360A2D"/>
    <w:rsid w:val="00361469"/>
    <w:rsid w:val="00361DEB"/>
    <w:rsid w:val="00361F79"/>
    <w:rsid w:val="0036256D"/>
    <w:rsid w:val="00365577"/>
    <w:rsid w:val="00365856"/>
    <w:rsid w:val="00365D23"/>
    <w:rsid w:val="0036795A"/>
    <w:rsid w:val="00370D50"/>
    <w:rsid w:val="00371118"/>
    <w:rsid w:val="0037122D"/>
    <w:rsid w:val="003714F4"/>
    <w:rsid w:val="00371507"/>
    <w:rsid w:val="003715B3"/>
    <w:rsid w:val="003719C6"/>
    <w:rsid w:val="0037206C"/>
    <w:rsid w:val="00372654"/>
    <w:rsid w:val="003729BB"/>
    <w:rsid w:val="003732D6"/>
    <w:rsid w:val="003738D7"/>
    <w:rsid w:val="00374865"/>
    <w:rsid w:val="0037493F"/>
    <w:rsid w:val="00374BEE"/>
    <w:rsid w:val="003754DA"/>
    <w:rsid w:val="00375865"/>
    <w:rsid w:val="00375904"/>
    <w:rsid w:val="003768BF"/>
    <w:rsid w:val="003817CA"/>
    <w:rsid w:val="00382CF3"/>
    <w:rsid w:val="00383224"/>
    <w:rsid w:val="003836B2"/>
    <w:rsid w:val="0038390C"/>
    <w:rsid w:val="00383FE5"/>
    <w:rsid w:val="00384030"/>
    <w:rsid w:val="003840BF"/>
    <w:rsid w:val="00385004"/>
    <w:rsid w:val="00385311"/>
    <w:rsid w:val="003854EB"/>
    <w:rsid w:val="00385BAD"/>
    <w:rsid w:val="00385DF9"/>
    <w:rsid w:val="0038703C"/>
    <w:rsid w:val="0039172C"/>
    <w:rsid w:val="00393509"/>
    <w:rsid w:val="00393905"/>
    <w:rsid w:val="00395256"/>
    <w:rsid w:val="003959D6"/>
    <w:rsid w:val="00396030"/>
    <w:rsid w:val="003965E6"/>
    <w:rsid w:val="00396851"/>
    <w:rsid w:val="00396ACF"/>
    <w:rsid w:val="00396C13"/>
    <w:rsid w:val="003A030B"/>
    <w:rsid w:val="003A0657"/>
    <w:rsid w:val="003A218B"/>
    <w:rsid w:val="003A2480"/>
    <w:rsid w:val="003A2847"/>
    <w:rsid w:val="003A460E"/>
    <w:rsid w:val="003A5812"/>
    <w:rsid w:val="003A589A"/>
    <w:rsid w:val="003A6C68"/>
    <w:rsid w:val="003A73F2"/>
    <w:rsid w:val="003B07CC"/>
    <w:rsid w:val="003B09B4"/>
    <w:rsid w:val="003B47A8"/>
    <w:rsid w:val="003B54D8"/>
    <w:rsid w:val="003B5FA2"/>
    <w:rsid w:val="003B6814"/>
    <w:rsid w:val="003B6B72"/>
    <w:rsid w:val="003B709A"/>
    <w:rsid w:val="003B7812"/>
    <w:rsid w:val="003B7D1C"/>
    <w:rsid w:val="003C1597"/>
    <w:rsid w:val="003C1CEC"/>
    <w:rsid w:val="003C1DCB"/>
    <w:rsid w:val="003C1F63"/>
    <w:rsid w:val="003C2645"/>
    <w:rsid w:val="003C2CCD"/>
    <w:rsid w:val="003C2EDC"/>
    <w:rsid w:val="003C3B40"/>
    <w:rsid w:val="003C4572"/>
    <w:rsid w:val="003C58E5"/>
    <w:rsid w:val="003C59D2"/>
    <w:rsid w:val="003C6504"/>
    <w:rsid w:val="003C662D"/>
    <w:rsid w:val="003C674B"/>
    <w:rsid w:val="003C6FB6"/>
    <w:rsid w:val="003C77BB"/>
    <w:rsid w:val="003C7A14"/>
    <w:rsid w:val="003D07F8"/>
    <w:rsid w:val="003D0954"/>
    <w:rsid w:val="003D16EE"/>
    <w:rsid w:val="003D1FD8"/>
    <w:rsid w:val="003D3350"/>
    <w:rsid w:val="003D3611"/>
    <w:rsid w:val="003D37ED"/>
    <w:rsid w:val="003D3E0C"/>
    <w:rsid w:val="003D5C20"/>
    <w:rsid w:val="003D7130"/>
    <w:rsid w:val="003D73A0"/>
    <w:rsid w:val="003D7469"/>
    <w:rsid w:val="003E147D"/>
    <w:rsid w:val="003E2075"/>
    <w:rsid w:val="003E2439"/>
    <w:rsid w:val="003E6CF6"/>
    <w:rsid w:val="003E7204"/>
    <w:rsid w:val="003F008F"/>
    <w:rsid w:val="003F0B60"/>
    <w:rsid w:val="003F1231"/>
    <w:rsid w:val="003F2D44"/>
    <w:rsid w:val="003F2EAA"/>
    <w:rsid w:val="003F3D9F"/>
    <w:rsid w:val="003F5D14"/>
    <w:rsid w:val="003F5F39"/>
    <w:rsid w:val="003F7019"/>
    <w:rsid w:val="003F7235"/>
    <w:rsid w:val="003F7A06"/>
    <w:rsid w:val="003F7ABA"/>
    <w:rsid w:val="004011CF"/>
    <w:rsid w:val="004012D6"/>
    <w:rsid w:val="0040182E"/>
    <w:rsid w:val="004023FF"/>
    <w:rsid w:val="00402F98"/>
    <w:rsid w:val="0040407A"/>
    <w:rsid w:val="00404250"/>
    <w:rsid w:val="004047C7"/>
    <w:rsid w:val="00404CC5"/>
    <w:rsid w:val="00405B07"/>
    <w:rsid w:val="00406B55"/>
    <w:rsid w:val="00410682"/>
    <w:rsid w:val="004115C4"/>
    <w:rsid w:val="00412500"/>
    <w:rsid w:val="00412946"/>
    <w:rsid w:val="004132D9"/>
    <w:rsid w:val="004144FC"/>
    <w:rsid w:val="004158C0"/>
    <w:rsid w:val="004159BB"/>
    <w:rsid w:val="00416259"/>
    <w:rsid w:val="00416890"/>
    <w:rsid w:val="00416983"/>
    <w:rsid w:val="00420201"/>
    <w:rsid w:val="00420512"/>
    <w:rsid w:val="00420A68"/>
    <w:rsid w:val="00420CF9"/>
    <w:rsid w:val="00420E17"/>
    <w:rsid w:val="00420ECB"/>
    <w:rsid w:val="004214D3"/>
    <w:rsid w:val="0042318F"/>
    <w:rsid w:val="004233EF"/>
    <w:rsid w:val="004238E8"/>
    <w:rsid w:val="00423CF4"/>
    <w:rsid w:val="00425D66"/>
    <w:rsid w:val="004265F1"/>
    <w:rsid w:val="00427C25"/>
    <w:rsid w:val="004300FB"/>
    <w:rsid w:val="00431CEA"/>
    <w:rsid w:val="004321A0"/>
    <w:rsid w:val="004330E1"/>
    <w:rsid w:val="0043357A"/>
    <w:rsid w:val="0043428A"/>
    <w:rsid w:val="0043474E"/>
    <w:rsid w:val="00436978"/>
    <w:rsid w:val="0043721E"/>
    <w:rsid w:val="00440A00"/>
    <w:rsid w:val="00440C77"/>
    <w:rsid w:val="00441AAC"/>
    <w:rsid w:val="00441BB5"/>
    <w:rsid w:val="00442674"/>
    <w:rsid w:val="004430E0"/>
    <w:rsid w:val="004433F4"/>
    <w:rsid w:val="00444E6C"/>
    <w:rsid w:val="00445E68"/>
    <w:rsid w:val="00446217"/>
    <w:rsid w:val="00446A2A"/>
    <w:rsid w:val="00450A62"/>
    <w:rsid w:val="004516A6"/>
    <w:rsid w:val="00451A16"/>
    <w:rsid w:val="0045258B"/>
    <w:rsid w:val="00452BAC"/>
    <w:rsid w:val="004530F3"/>
    <w:rsid w:val="00454F49"/>
    <w:rsid w:val="00456454"/>
    <w:rsid w:val="00457679"/>
    <w:rsid w:val="00460C68"/>
    <w:rsid w:val="00460CCC"/>
    <w:rsid w:val="00460CF0"/>
    <w:rsid w:val="00462967"/>
    <w:rsid w:val="004630A5"/>
    <w:rsid w:val="00463403"/>
    <w:rsid w:val="0046384E"/>
    <w:rsid w:val="00463E24"/>
    <w:rsid w:val="00465197"/>
    <w:rsid w:val="0046573E"/>
    <w:rsid w:val="004668E5"/>
    <w:rsid w:val="00470265"/>
    <w:rsid w:val="00470BEF"/>
    <w:rsid w:val="004715C5"/>
    <w:rsid w:val="00473033"/>
    <w:rsid w:val="00474C80"/>
    <w:rsid w:val="00474CFF"/>
    <w:rsid w:val="00475283"/>
    <w:rsid w:val="004752FD"/>
    <w:rsid w:val="004753B6"/>
    <w:rsid w:val="004755A0"/>
    <w:rsid w:val="0047586F"/>
    <w:rsid w:val="00475B5A"/>
    <w:rsid w:val="00475E55"/>
    <w:rsid w:val="00476468"/>
    <w:rsid w:val="00477280"/>
    <w:rsid w:val="00480FFE"/>
    <w:rsid w:val="00481CA5"/>
    <w:rsid w:val="0048336F"/>
    <w:rsid w:val="00483640"/>
    <w:rsid w:val="00485D2F"/>
    <w:rsid w:val="0048628F"/>
    <w:rsid w:val="00486C10"/>
    <w:rsid w:val="00487B3C"/>
    <w:rsid w:val="00490073"/>
    <w:rsid w:val="004902C0"/>
    <w:rsid w:val="00490D83"/>
    <w:rsid w:val="004916C9"/>
    <w:rsid w:val="00491E4D"/>
    <w:rsid w:val="00492C48"/>
    <w:rsid w:val="00493BF7"/>
    <w:rsid w:val="00494196"/>
    <w:rsid w:val="004945EF"/>
    <w:rsid w:val="00494C33"/>
    <w:rsid w:val="00494C6A"/>
    <w:rsid w:val="00495556"/>
    <w:rsid w:val="00495850"/>
    <w:rsid w:val="00496889"/>
    <w:rsid w:val="00496CC6"/>
    <w:rsid w:val="00497190"/>
    <w:rsid w:val="004A0E30"/>
    <w:rsid w:val="004A12CB"/>
    <w:rsid w:val="004A2A58"/>
    <w:rsid w:val="004A2B0F"/>
    <w:rsid w:val="004A5736"/>
    <w:rsid w:val="004A5B87"/>
    <w:rsid w:val="004A603E"/>
    <w:rsid w:val="004A60DE"/>
    <w:rsid w:val="004A6B4F"/>
    <w:rsid w:val="004A711E"/>
    <w:rsid w:val="004A7B90"/>
    <w:rsid w:val="004A7DC6"/>
    <w:rsid w:val="004B082C"/>
    <w:rsid w:val="004B123F"/>
    <w:rsid w:val="004B2913"/>
    <w:rsid w:val="004B3451"/>
    <w:rsid w:val="004B3462"/>
    <w:rsid w:val="004B38F4"/>
    <w:rsid w:val="004B47F1"/>
    <w:rsid w:val="004B5B79"/>
    <w:rsid w:val="004B6004"/>
    <w:rsid w:val="004B6631"/>
    <w:rsid w:val="004C1B25"/>
    <w:rsid w:val="004C42E0"/>
    <w:rsid w:val="004C54FB"/>
    <w:rsid w:val="004C5758"/>
    <w:rsid w:val="004C5E66"/>
    <w:rsid w:val="004C5F74"/>
    <w:rsid w:val="004C607D"/>
    <w:rsid w:val="004C6FCE"/>
    <w:rsid w:val="004C7A1C"/>
    <w:rsid w:val="004C7F98"/>
    <w:rsid w:val="004D012D"/>
    <w:rsid w:val="004D0723"/>
    <w:rsid w:val="004D09FD"/>
    <w:rsid w:val="004D0C52"/>
    <w:rsid w:val="004D140F"/>
    <w:rsid w:val="004D1B22"/>
    <w:rsid w:val="004D1FBC"/>
    <w:rsid w:val="004D2FF8"/>
    <w:rsid w:val="004D410D"/>
    <w:rsid w:val="004D4852"/>
    <w:rsid w:val="004D4F3B"/>
    <w:rsid w:val="004D68BA"/>
    <w:rsid w:val="004D7040"/>
    <w:rsid w:val="004E0E5C"/>
    <w:rsid w:val="004E1F67"/>
    <w:rsid w:val="004E31C9"/>
    <w:rsid w:val="004E3D04"/>
    <w:rsid w:val="004E452B"/>
    <w:rsid w:val="004E5017"/>
    <w:rsid w:val="004E5A10"/>
    <w:rsid w:val="004E74AD"/>
    <w:rsid w:val="004E7A96"/>
    <w:rsid w:val="004F013C"/>
    <w:rsid w:val="004F0874"/>
    <w:rsid w:val="004F144C"/>
    <w:rsid w:val="004F265C"/>
    <w:rsid w:val="004F283E"/>
    <w:rsid w:val="004F3115"/>
    <w:rsid w:val="004F43AF"/>
    <w:rsid w:val="004F4A50"/>
    <w:rsid w:val="004F4BD9"/>
    <w:rsid w:val="004F56AE"/>
    <w:rsid w:val="004F57C5"/>
    <w:rsid w:val="004F61E6"/>
    <w:rsid w:val="004F73BF"/>
    <w:rsid w:val="004F7EFB"/>
    <w:rsid w:val="004F7F81"/>
    <w:rsid w:val="0050041D"/>
    <w:rsid w:val="0050081C"/>
    <w:rsid w:val="0050310A"/>
    <w:rsid w:val="0050368C"/>
    <w:rsid w:val="00503AA2"/>
    <w:rsid w:val="0050456C"/>
    <w:rsid w:val="005049FA"/>
    <w:rsid w:val="00504FFB"/>
    <w:rsid w:val="00505054"/>
    <w:rsid w:val="005051EA"/>
    <w:rsid w:val="005060E5"/>
    <w:rsid w:val="00506799"/>
    <w:rsid w:val="00506886"/>
    <w:rsid w:val="00506A28"/>
    <w:rsid w:val="00506E8B"/>
    <w:rsid w:val="00507648"/>
    <w:rsid w:val="00511985"/>
    <w:rsid w:val="0051375C"/>
    <w:rsid w:val="00513EC0"/>
    <w:rsid w:val="00514331"/>
    <w:rsid w:val="00514D03"/>
    <w:rsid w:val="0051519B"/>
    <w:rsid w:val="005158DA"/>
    <w:rsid w:val="00515C61"/>
    <w:rsid w:val="00515FA1"/>
    <w:rsid w:val="00516109"/>
    <w:rsid w:val="005173EF"/>
    <w:rsid w:val="0052165F"/>
    <w:rsid w:val="005229A3"/>
    <w:rsid w:val="00523194"/>
    <w:rsid w:val="00523A14"/>
    <w:rsid w:val="00525002"/>
    <w:rsid w:val="005261BC"/>
    <w:rsid w:val="005262E9"/>
    <w:rsid w:val="0052764B"/>
    <w:rsid w:val="005276F2"/>
    <w:rsid w:val="0053034A"/>
    <w:rsid w:val="005303EF"/>
    <w:rsid w:val="00530E42"/>
    <w:rsid w:val="00530F16"/>
    <w:rsid w:val="00531FD0"/>
    <w:rsid w:val="005321A2"/>
    <w:rsid w:val="005334C6"/>
    <w:rsid w:val="00533634"/>
    <w:rsid w:val="0053392B"/>
    <w:rsid w:val="00533A33"/>
    <w:rsid w:val="005340CD"/>
    <w:rsid w:val="0053445E"/>
    <w:rsid w:val="005357E0"/>
    <w:rsid w:val="0053678D"/>
    <w:rsid w:val="00536851"/>
    <w:rsid w:val="00536B27"/>
    <w:rsid w:val="00536CD6"/>
    <w:rsid w:val="00540ED8"/>
    <w:rsid w:val="00540F88"/>
    <w:rsid w:val="0054372A"/>
    <w:rsid w:val="0054398A"/>
    <w:rsid w:val="00544207"/>
    <w:rsid w:val="00544835"/>
    <w:rsid w:val="00545856"/>
    <w:rsid w:val="00545A4C"/>
    <w:rsid w:val="00546FEE"/>
    <w:rsid w:val="00547219"/>
    <w:rsid w:val="00547891"/>
    <w:rsid w:val="00550521"/>
    <w:rsid w:val="005514CC"/>
    <w:rsid w:val="005519C8"/>
    <w:rsid w:val="00552075"/>
    <w:rsid w:val="00552865"/>
    <w:rsid w:val="005529F8"/>
    <w:rsid w:val="00552FDF"/>
    <w:rsid w:val="00553111"/>
    <w:rsid w:val="00553430"/>
    <w:rsid w:val="00554D27"/>
    <w:rsid w:val="00555642"/>
    <w:rsid w:val="00555CC5"/>
    <w:rsid w:val="005568E1"/>
    <w:rsid w:val="00557650"/>
    <w:rsid w:val="0055786E"/>
    <w:rsid w:val="00557E28"/>
    <w:rsid w:val="005605CA"/>
    <w:rsid w:val="00561469"/>
    <w:rsid w:val="0056147E"/>
    <w:rsid w:val="0056164F"/>
    <w:rsid w:val="0056234B"/>
    <w:rsid w:val="00562688"/>
    <w:rsid w:val="0056447F"/>
    <w:rsid w:val="00565706"/>
    <w:rsid w:val="005657D6"/>
    <w:rsid w:val="00565D77"/>
    <w:rsid w:val="005666EC"/>
    <w:rsid w:val="005668E4"/>
    <w:rsid w:val="00566A25"/>
    <w:rsid w:val="00566BE3"/>
    <w:rsid w:val="005670DA"/>
    <w:rsid w:val="00570650"/>
    <w:rsid w:val="005707AE"/>
    <w:rsid w:val="005715E5"/>
    <w:rsid w:val="005716A9"/>
    <w:rsid w:val="005720E8"/>
    <w:rsid w:val="00572734"/>
    <w:rsid w:val="00572F19"/>
    <w:rsid w:val="00573740"/>
    <w:rsid w:val="00573A23"/>
    <w:rsid w:val="00573E44"/>
    <w:rsid w:val="00573F4E"/>
    <w:rsid w:val="005741E3"/>
    <w:rsid w:val="00575DC8"/>
    <w:rsid w:val="00576421"/>
    <w:rsid w:val="00576784"/>
    <w:rsid w:val="00577FFC"/>
    <w:rsid w:val="00581394"/>
    <w:rsid w:val="00581ED1"/>
    <w:rsid w:val="00582046"/>
    <w:rsid w:val="00582082"/>
    <w:rsid w:val="005820CD"/>
    <w:rsid w:val="005823C0"/>
    <w:rsid w:val="00583203"/>
    <w:rsid w:val="00583EFE"/>
    <w:rsid w:val="0058429E"/>
    <w:rsid w:val="00584D13"/>
    <w:rsid w:val="00584E4D"/>
    <w:rsid w:val="0058505F"/>
    <w:rsid w:val="00585261"/>
    <w:rsid w:val="00585283"/>
    <w:rsid w:val="0058580F"/>
    <w:rsid w:val="00585983"/>
    <w:rsid w:val="00586A1D"/>
    <w:rsid w:val="00586B8F"/>
    <w:rsid w:val="00587471"/>
    <w:rsid w:val="00587CB3"/>
    <w:rsid w:val="005910BC"/>
    <w:rsid w:val="00592A8C"/>
    <w:rsid w:val="005931D5"/>
    <w:rsid w:val="00593A5A"/>
    <w:rsid w:val="00593D17"/>
    <w:rsid w:val="00593EF3"/>
    <w:rsid w:val="00593FCB"/>
    <w:rsid w:val="005940E4"/>
    <w:rsid w:val="00594A11"/>
    <w:rsid w:val="00595214"/>
    <w:rsid w:val="0059604A"/>
    <w:rsid w:val="005964C6"/>
    <w:rsid w:val="005A04CC"/>
    <w:rsid w:val="005A0707"/>
    <w:rsid w:val="005A1504"/>
    <w:rsid w:val="005A1F51"/>
    <w:rsid w:val="005A2111"/>
    <w:rsid w:val="005A2133"/>
    <w:rsid w:val="005A2471"/>
    <w:rsid w:val="005A2EAE"/>
    <w:rsid w:val="005A2FCC"/>
    <w:rsid w:val="005A4872"/>
    <w:rsid w:val="005A50CC"/>
    <w:rsid w:val="005A51D1"/>
    <w:rsid w:val="005A5C22"/>
    <w:rsid w:val="005A61C2"/>
    <w:rsid w:val="005A74DD"/>
    <w:rsid w:val="005A7CE2"/>
    <w:rsid w:val="005A7D74"/>
    <w:rsid w:val="005A7FB1"/>
    <w:rsid w:val="005B0317"/>
    <w:rsid w:val="005B0642"/>
    <w:rsid w:val="005B066E"/>
    <w:rsid w:val="005B0B07"/>
    <w:rsid w:val="005B0D63"/>
    <w:rsid w:val="005B13D8"/>
    <w:rsid w:val="005B1A71"/>
    <w:rsid w:val="005B3C93"/>
    <w:rsid w:val="005B590A"/>
    <w:rsid w:val="005B5AD7"/>
    <w:rsid w:val="005B63A4"/>
    <w:rsid w:val="005B6EEC"/>
    <w:rsid w:val="005B7326"/>
    <w:rsid w:val="005C010B"/>
    <w:rsid w:val="005C0AA2"/>
    <w:rsid w:val="005C1353"/>
    <w:rsid w:val="005C15AD"/>
    <w:rsid w:val="005C2DF9"/>
    <w:rsid w:val="005C3B80"/>
    <w:rsid w:val="005C469B"/>
    <w:rsid w:val="005C4C80"/>
    <w:rsid w:val="005C4E76"/>
    <w:rsid w:val="005C521F"/>
    <w:rsid w:val="005C5D6F"/>
    <w:rsid w:val="005D0620"/>
    <w:rsid w:val="005D1FF6"/>
    <w:rsid w:val="005D2CEF"/>
    <w:rsid w:val="005D37A4"/>
    <w:rsid w:val="005D3ED8"/>
    <w:rsid w:val="005D458A"/>
    <w:rsid w:val="005D45CB"/>
    <w:rsid w:val="005D5891"/>
    <w:rsid w:val="005D5928"/>
    <w:rsid w:val="005D68A2"/>
    <w:rsid w:val="005D6905"/>
    <w:rsid w:val="005D78B3"/>
    <w:rsid w:val="005D7C5E"/>
    <w:rsid w:val="005E08D9"/>
    <w:rsid w:val="005E097A"/>
    <w:rsid w:val="005E1363"/>
    <w:rsid w:val="005E1D3F"/>
    <w:rsid w:val="005E2A2B"/>
    <w:rsid w:val="005E3D36"/>
    <w:rsid w:val="005E3D8B"/>
    <w:rsid w:val="005E46F8"/>
    <w:rsid w:val="005E54A3"/>
    <w:rsid w:val="005E61C5"/>
    <w:rsid w:val="005E675E"/>
    <w:rsid w:val="005E7190"/>
    <w:rsid w:val="005E7961"/>
    <w:rsid w:val="005F043B"/>
    <w:rsid w:val="005F0C9F"/>
    <w:rsid w:val="005F14E2"/>
    <w:rsid w:val="005F14FC"/>
    <w:rsid w:val="005F2095"/>
    <w:rsid w:val="005F2431"/>
    <w:rsid w:val="005F2682"/>
    <w:rsid w:val="005F4397"/>
    <w:rsid w:val="005F4406"/>
    <w:rsid w:val="005F4EA9"/>
    <w:rsid w:val="005F5D5F"/>
    <w:rsid w:val="005F5EC5"/>
    <w:rsid w:val="005F6006"/>
    <w:rsid w:val="005F693F"/>
    <w:rsid w:val="005F703E"/>
    <w:rsid w:val="005F7142"/>
    <w:rsid w:val="0060009F"/>
    <w:rsid w:val="006000EA"/>
    <w:rsid w:val="00600295"/>
    <w:rsid w:val="00600543"/>
    <w:rsid w:val="0060071D"/>
    <w:rsid w:val="0060094F"/>
    <w:rsid w:val="00601030"/>
    <w:rsid w:val="00601840"/>
    <w:rsid w:val="00601F13"/>
    <w:rsid w:val="00602599"/>
    <w:rsid w:val="006026B7"/>
    <w:rsid w:val="006031B6"/>
    <w:rsid w:val="0060459D"/>
    <w:rsid w:val="0060536F"/>
    <w:rsid w:val="00606034"/>
    <w:rsid w:val="00606672"/>
    <w:rsid w:val="006075E3"/>
    <w:rsid w:val="00607EAB"/>
    <w:rsid w:val="00610769"/>
    <w:rsid w:val="00610EA1"/>
    <w:rsid w:val="0061154A"/>
    <w:rsid w:val="00611FA1"/>
    <w:rsid w:val="00612BAF"/>
    <w:rsid w:val="006133FB"/>
    <w:rsid w:val="0061380A"/>
    <w:rsid w:val="006138EA"/>
    <w:rsid w:val="0061574C"/>
    <w:rsid w:val="006157AA"/>
    <w:rsid w:val="006164B2"/>
    <w:rsid w:val="006164F4"/>
    <w:rsid w:val="00617129"/>
    <w:rsid w:val="0061796E"/>
    <w:rsid w:val="006179FC"/>
    <w:rsid w:val="00617F84"/>
    <w:rsid w:val="006208DC"/>
    <w:rsid w:val="00621282"/>
    <w:rsid w:val="006225B5"/>
    <w:rsid w:val="006241BB"/>
    <w:rsid w:val="0062447E"/>
    <w:rsid w:val="00625385"/>
    <w:rsid w:val="006259A1"/>
    <w:rsid w:val="00625C5B"/>
    <w:rsid w:val="0062669F"/>
    <w:rsid w:val="00627D35"/>
    <w:rsid w:val="0063047C"/>
    <w:rsid w:val="00630937"/>
    <w:rsid w:val="00631047"/>
    <w:rsid w:val="0063173C"/>
    <w:rsid w:val="00631D69"/>
    <w:rsid w:val="00632867"/>
    <w:rsid w:val="00632F8D"/>
    <w:rsid w:val="00634052"/>
    <w:rsid w:val="00635D77"/>
    <w:rsid w:val="0063701C"/>
    <w:rsid w:val="006370AA"/>
    <w:rsid w:val="00637263"/>
    <w:rsid w:val="006408E3"/>
    <w:rsid w:val="006428F3"/>
    <w:rsid w:val="00642F94"/>
    <w:rsid w:val="0064338B"/>
    <w:rsid w:val="00643C9F"/>
    <w:rsid w:val="006440B6"/>
    <w:rsid w:val="006452D6"/>
    <w:rsid w:val="006454E6"/>
    <w:rsid w:val="006455A8"/>
    <w:rsid w:val="00645929"/>
    <w:rsid w:val="00646497"/>
    <w:rsid w:val="0064709C"/>
    <w:rsid w:val="0064787A"/>
    <w:rsid w:val="006516E6"/>
    <w:rsid w:val="00651E65"/>
    <w:rsid w:val="00651FA9"/>
    <w:rsid w:val="006529A5"/>
    <w:rsid w:val="006529BA"/>
    <w:rsid w:val="00652CFE"/>
    <w:rsid w:val="006534BB"/>
    <w:rsid w:val="00653B8E"/>
    <w:rsid w:val="00653CD6"/>
    <w:rsid w:val="00654CF1"/>
    <w:rsid w:val="00654FD9"/>
    <w:rsid w:val="006554D5"/>
    <w:rsid w:val="00657CE7"/>
    <w:rsid w:val="00657CF5"/>
    <w:rsid w:val="00660079"/>
    <w:rsid w:val="00660206"/>
    <w:rsid w:val="00660256"/>
    <w:rsid w:val="00660CAE"/>
    <w:rsid w:val="00661402"/>
    <w:rsid w:val="006620A5"/>
    <w:rsid w:val="006622AD"/>
    <w:rsid w:val="0066274F"/>
    <w:rsid w:val="00662AD5"/>
    <w:rsid w:val="00663EB0"/>
    <w:rsid w:val="00663FC3"/>
    <w:rsid w:val="00663FDE"/>
    <w:rsid w:val="00664C5D"/>
    <w:rsid w:val="00665016"/>
    <w:rsid w:val="00666562"/>
    <w:rsid w:val="006667FD"/>
    <w:rsid w:val="00666A7F"/>
    <w:rsid w:val="00666CBC"/>
    <w:rsid w:val="00667070"/>
    <w:rsid w:val="006675E3"/>
    <w:rsid w:val="0066765E"/>
    <w:rsid w:val="00667BCC"/>
    <w:rsid w:val="00670428"/>
    <w:rsid w:val="00670AA8"/>
    <w:rsid w:val="00671B82"/>
    <w:rsid w:val="0067276D"/>
    <w:rsid w:val="00672D96"/>
    <w:rsid w:val="0067332F"/>
    <w:rsid w:val="00673ECD"/>
    <w:rsid w:val="00674539"/>
    <w:rsid w:val="0067478D"/>
    <w:rsid w:val="00674E39"/>
    <w:rsid w:val="006760A8"/>
    <w:rsid w:val="00676B0C"/>
    <w:rsid w:val="00677870"/>
    <w:rsid w:val="0068058D"/>
    <w:rsid w:val="006805A4"/>
    <w:rsid w:val="00680980"/>
    <w:rsid w:val="0068168D"/>
    <w:rsid w:val="00682A20"/>
    <w:rsid w:val="00682EB9"/>
    <w:rsid w:val="0068335F"/>
    <w:rsid w:val="00683480"/>
    <w:rsid w:val="0068405C"/>
    <w:rsid w:val="00684306"/>
    <w:rsid w:val="006849EC"/>
    <w:rsid w:val="0068566E"/>
    <w:rsid w:val="00685748"/>
    <w:rsid w:val="006867ED"/>
    <w:rsid w:val="00686D28"/>
    <w:rsid w:val="00687135"/>
    <w:rsid w:val="0068731A"/>
    <w:rsid w:val="006917CB"/>
    <w:rsid w:val="00691AE7"/>
    <w:rsid w:val="00691E92"/>
    <w:rsid w:val="00692A54"/>
    <w:rsid w:val="00694A08"/>
    <w:rsid w:val="0069619B"/>
    <w:rsid w:val="00696685"/>
    <w:rsid w:val="006A0568"/>
    <w:rsid w:val="006A0A12"/>
    <w:rsid w:val="006A0C6D"/>
    <w:rsid w:val="006A1A29"/>
    <w:rsid w:val="006A239B"/>
    <w:rsid w:val="006A3186"/>
    <w:rsid w:val="006A32CF"/>
    <w:rsid w:val="006A3AF1"/>
    <w:rsid w:val="006A3E3B"/>
    <w:rsid w:val="006A48BC"/>
    <w:rsid w:val="006A4F74"/>
    <w:rsid w:val="006A723B"/>
    <w:rsid w:val="006B0B3D"/>
    <w:rsid w:val="006B1919"/>
    <w:rsid w:val="006B1B7F"/>
    <w:rsid w:val="006B203B"/>
    <w:rsid w:val="006B2A50"/>
    <w:rsid w:val="006B30A7"/>
    <w:rsid w:val="006B4025"/>
    <w:rsid w:val="006B4835"/>
    <w:rsid w:val="006B511B"/>
    <w:rsid w:val="006B67C4"/>
    <w:rsid w:val="006B71B1"/>
    <w:rsid w:val="006B782B"/>
    <w:rsid w:val="006C0739"/>
    <w:rsid w:val="006C121E"/>
    <w:rsid w:val="006C1E20"/>
    <w:rsid w:val="006C2458"/>
    <w:rsid w:val="006C276D"/>
    <w:rsid w:val="006C3F75"/>
    <w:rsid w:val="006C444C"/>
    <w:rsid w:val="006C4A5E"/>
    <w:rsid w:val="006C4DCC"/>
    <w:rsid w:val="006C4E39"/>
    <w:rsid w:val="006C4F73"/>
    <w:rsid w:val="006C51A3"/>
    <w:rsid w:val="006C5977"/>
    <w:rsid w:val="006C79A0"/>
    <w:rsid w:val="006D03DF"/>
    <w:rsid w:val="006D0EE3"/>
    <w:rsid w:val="006D2293"/>
    <w:rsid w:val="006D257D"/>
    <w:rsid w:val="006D3754"/>
    <w:rsid w:val="006D3E2B"/>
    <w:rsid w:val="006D4BB8"/>
    <w:rsid w:val="006D538F"/>
    <w:rsid w:val="006D5B66"/>
    <w:rsid w:val="006D63FF"/>
    <w:rsid w:val="006D68D7"/>
    <w:rsid w:val="006E0A37"/>
    <w:rsid w:val="006E0F03"/>
    <w:rsid w:val="006E192D"/>
    <w:rsid w:val="006E2050"/>
    <w:rsid w:val="006E3D48"/>
    <w:rsid w:val="006E4438"/>
    <w:rsid w:val="006E4CAF"/>
    <w:rsid w:val="006E606D"/>
    <w:rsid w:val="006E675C"/>
    <w:rsid w:val="006F069F"/>
    <w:rsid w:val="006F14F5"/>
    <w:rsid w:val="006F1744"/>
    <w:rsid w:val="006F1EF0"/>
    <w:rsid w:val="006F26B5"/>
    <w:rsid w:val="006F27A7"/>
    <w:rsid w:val="006F337E"/>
    <w:rsid w:val="006F34AD"/>
    <w:rsid w:val="006F3E6C"/>
    <w:rsid w:val="006F3F9C"/>
    <w:rsid w:val="006F56CF"/>
    <w:rsid w:val="006F5DC4"/>
    <w:rsid w:val="006F609A"/>
    <w:rsid w:val="006F60C4"/>
    <w:rsid w:val="006F6B18"/>
    <w:rsid w:val="006F732F"/>
    <w:rsid w:val="006F75ED"/>
    <w:rsid w:val="006F77E0"/>
    <w:rsid w:val="006F7B0E"/>
    <w:rsid w:val="006F7EE6"/>
    <w:rsid w:val="00702F4E"/>
    <w:rsid w:val="00704692"/>
    <w:rsid w:val="007046B0"/>
    <w:rsid w:val="00704BA2"/>
    <w:rsid w:val="00705279"/>
    <w:rsid w:val="00706B31"/>
    <w:rsid w:val="00707DA7"/>
    <w:rsid w:val="007104C3"/>
    <w:rsid w:val="00711228"/>
    <w:rsid w:val="00711B3C"/>
    <w:rsid w:val="00711B92"/>
    <w:rsid w:val="00711FBB"/>
    <w:rsid w:val="0071237E"/>
    <w:rsid w:val="0071244A"/>
    <w:rsid w:val="0071248F"/>
    <w:rsid w:val="00712494"/>
    <w:rsid w:val="007124DB"/>
    <w:rsid w:val="00712984"/>
    <w:rsid w:val="00713058"/>
    <w:rsid w:val="00713069"/>
    <w:rsid w:val="00714467"/>
    <w:rsid w:val="00714CF7"/>
    <w:rsid w:val="00715CCC"/>
    <w:rsid w:val="00715E9D"/>
    <w:rsid w:val="0071737A"/>
    <w:rsid w:val="00717595"/>
    <w:rsid w:val="00717646"/>
    <w:rsid w:val="00720996"/>
    <w:rsid w:val="00721241"/>
    <w:rsid w:val="00721523"/>
    <w:rsid w:val="007228E5"/>
    <w:rsid w:val="00722D56"/>
    <w:rsid w:val="00724019"/>
    <w:rsid w:val="00724411"/>
    <w:rsid w:val="00724766"/>
    <w:rsid w:val="007248D0"/>
    <w:rsid w:val="0072514A"/>
    <w:rsid w:val="00726BC8"/>
    <w:rsid w:val="00727A68"/>
    <w:rsid w:val="007307AE"/>
    <w:rsid w:val="0073173D"/>
    <w:rsid w:val="00731BC9"/>
    <w:rsid w:val="007321A6"/>
    <w:rsid w:val="00732349"/>
    <w:rsid w:val="007328A6"/>
    <w:rsid w:val="0073292D"/>
    <w:rsid w:val="00733B33"/>
    <w:rsid w:val="00734179"/>
    <w:rsid w:val="00734FA9"/>
    <w:rsid w:val="00735A2E"/>
    <w:rsid w:val="0073618D"/>
    <w:rsid w:val="007375B8"/>
    <w:rsid w:val="00741998"/>
    <w:rsid w:val="0074299B"/>
    <w:rsid w:val="007429F4"/>
    <w:rsid w:val="00742AC1"/>
    <w:rsid w:val="007433F5"/>
    <w:rsid w:val="00743406"/>
    <w:rsid w:val="00744554"/>
    <w:rsid w:val="00744682"/>
    <w:rsid w:val="007448AD"/>
    <w:rsid w:val="00744A88"/>
    <w:rsid w:val="007453BE"/>
    <w:rsid w:val="00745436"/>
    <w:rsid w:val="007455E2"/>
    <w:rsid w:val="007460F7"/>
    <w:rsid w:val="00746B1C"/>
    <w:rsid w:val="00747C83"/>
    <w:rsid w:val="00747D41"/>
    <w:rsid w:val="00750860"/>
    <w:rsid w:val="00750C0D"/>
    <w:rsid w:val="00750E87"/>
    <w:rsid w:val="00751D32"/>
    <w:rsid w:val="007529AF"/>
    <w:rsid w:val="00753C5C"/>
    <w:rsid w:val="00753ED8"/>
    <w:rsid w:val="00754116"/>
    <w:rsid w:val="007541B3"/>
    <w:rsid w:val="00754685"/>
    <w:rsid w:val="00754C71"/>
    <w:rsid w:val="00754D19"/>
    <w:rsid w:val="00754D97"/>
    <w:rsid w:val="00757088"/>
    <w:rsid w:val="00757667"/>
    <w:rsid w:val="00757985"/>
    <w:rsid w:val="00757E19"/>
    <w:rsid w:val="007602C3"/>
    <w:rsid w:val="00760546"/>
    <w:rsid w:val="00761490"/>
    <w:rsid w:val="007618B1"/>
    <w:rsid w:val="00761C27"/>
    <w:rsid w:val="0076262F"/>
    <w:rsid w:val="007632FB"/>
    <w:rsid w:val="007635CF"/>
    <w:rsid w:val="00763CB1"/>
    <w:rsid w:val="007643BC"/>
    <w:rsid w:val="007651EA"/>
    <w:rsid w:val="00765346"/>
    <w:rsid w:val="00765D4C"/>
    <w:rsid w:val="007666B1"/>
    <w:rsid w:val="00767012"/>
    <w:rsid w:val="0076719D"/>
    <w:rsid w:val="0076744B"/>
    <w:rsid w:val="00771A66"/>
    <w:rsid w:val="00771CB6"/>
    <w:rsid w:val="00773935"/>
    <w:rsid w:val="00773A9E"/>
    <w:rsid w:val="00773EE6"/>
    <w:rsid w:val="00774128"/>
    <w:rsid w:val="0077429F"/>
    <w:rsid w:val="00774C95"/>
    <w:rsid w:val="00775047"/>
    <w:rsid w:val="00775AFD"/>
    <w:rsid w:val="007763AF"/>
    <w:rsid w:val="00776D36"/>
    <w:rsid w:val="00776E1F"/>
    <w:rsid w:val="007776A5"/>
    <w:rsid w:val="007777A1"/>
    <w:rsid w:val="0078043C"/>
    <w:rsid w:val="0078306D"/>
    <w:rsid w:val="00783B04"/>
    <w:rsid w:val="0078447F"/>
    <w:rsid w:val="00785009"/>
    <w:rsid w:val="0078505F"/>
    <w:rsid w:val="00785226"/>
    <w:rsid w:val="0078563F"/>
    <w:rsid w:val="00785C4D"/>
    <w:rsid w:val="00787A4A"/>
    <w:rsid w:val="00787CC9"/>
    <w:rsid w:val="00790268"/>
    <w:rsid w:val="007904CB"/>
    <w:rsid w:val="007905B0"/>
    <w:rsid w:val="00790759"/>
    <w:rsid w:val="0079152F"/>
    <w:rsid w:val="007925FF"/>
    <w:rsid w:val="00793186"/>
    <w:rsid w:val="00793493"/>
    <w:rsid w:val="00793C6B"/>
    <w:rsid w:val="00793D02"/>
    <w:rsid w:val="00793DC9"/>
    <w:rsid w:val="007945C4"/>
    <w:rsid w:val="00794CC5"/>
    <w:rsid w:val="0079531B"/>
    <w:rsid w:val="00795C56"/>
    <w:rsid w:val="00795C66"/>
    <w:rsid w:val="00796E5D"/>
    <w:rsid w:val="00797523"/>
    <w:rsid w:val="00797E2B"/>
    <w:rsid w:val="00797E9D"/>
    <w:rsid w:val="007A26F2"/>
    <w:rsid w:val="007A3653"/>
    <w:rsid w:val="007A3BF8"/>
    <w:rsid w:val="007A43D8"/>
    <w:rsid w:val="007A4990"/>
    <w:rsid w:val="007A5091"/>
    <w:rsid w:val="007A5C0F"/>
    <w:rsid w:val="007A5D7A"/>
    <w:rsid w:val="007A626A"/>
    <w:rsid w:val="007A77EE"/>
    <w:rsid w:val="007B2130"/>
    <w:rsid w:val="007B2BBA"/>
    <w:rsid w:val="007B3232"/>
    <w:rsid w:val="007B36D9"/>
    <w:rsid w:val="007B3C81"/>
    <w:rsid w:val="007B451A"/>
    <w:rsid w:val="007B544C"/>
    <w:rsid w:val="007B5B29"/>
    <w:rsid w:val="007B5CC5"/>
    <w:rsid w:val="007B5F17"/>
    <w:rsid w:val="007B72F4"/>
    <w:rsid w:val="007B7408"/>
    <w:rsid w:val="007C00A3"/>
    <w:rsid w:val="007C1013"/>
    <w:rsid w:val="007C1A87"/>
    <w:rsid w:val="007C1C9D"/>
    <w:rsid w:val="007C2616"/>
    <w:rsid w:val="007C2953"/>
    <w:rsid w:val="007C3012"/>
    <w:rsid w:val="007C5159"/>
    <w:rsid w:val="007C5C5D"/>
    <w:rsid w:val="007C66E2"/>
    <w:rsid w:val="007C699F"/>
    <w:rsid w:val="007C7BB2"/>
    <w:rsid w:val="007D0D31"/>
    <w:rsid w:val="007D30AE"/>
    <w:rsid w:val="007D313F"/>
    <w:rsid w:val="007D4647"/>
    <w:rsid w:val="007D4898"/>
    <w:rsid w:val="007D4D9F"/>
    <w:rsid w:val="007D4F68"/>
    <w:rsid w:val="007D6751"/>
    <w:rsid w:val="007D6EC3"/>
    <w:rsid w:val="007D7AB4"/>
    <w:rsid w:val="007E01B6"/>
    <w:rsid w:val="007E04AA"/>
    <w:rsid w:val="007E12AF"/>
    <w:rsid w:val="007E1F48"/>
    <w:rsid w:val="007E219E"/>
    <w:rsid w:val="007E24E9"/>
    <w:rsid w:val="007E399D"/>
    <w:rsid w:val="007E3BF4"/>
    <w:rsid w:val="007E3F57"/>
    <w:rsid w:val="007E4B3A"/>
    <w:rsid w:val="007E4BE2"/>
    <w:rsid w:val="007E5162"/>
    <w:rsid w:val="007E5270"/>
    <w:rsid w:val="007E539D"/>
    <w:rsid w:val="007E554C"/>
    <w:rsid w:val="007E559E"/>
    <w:rsid w:val="007E5E11"/>
    <w:rsid w:val="007E631B"/>
    <w:rsid w:val="007E6F10"/>
    <w:rsid w:val="007E77FD"/>
    <w:rsid w:val="007F0B4F"/>
    <w:rsid w:val="007F1685"/>
    <w:rsid w:val="007F172C"/>
    <w:rsid w:val="007F2842"/>
    <w:rsid w:val="007F2BEF"/>
    <w:rsid w:val="007F3332"/>
    <w:rsid w:val="007F3335"/>
    <w:rsid w:val="007F501C"/>
    <w:rsid w:val="007F52B8"/>
    <w:rsid w:val="007F695F"/>
    <w:rsid w:val="007F731E"/>
    <w:rsid w:val="007F734C"/>
    <w:rsid w:val="007F745C"/>
    <w:rsid w:val="008006A2"/>
    <w:rsid w:val="008009C1"/>
    <w:rsid w:val="00801599"/>
    <w:rsid w:val="00801938"/>
    <w:rsid w:val="00801B9F"/>
    <w:rsid w:val="00801BF4"/>
    <w:rsid w:val="008034E2"/>
    <w:rsid w:val="0080481E"/>
    <w:rsid w:val="0080561B"/>
    <w:rsid w:val="00805B8D"/>
    <w:rsid w:val="00806A0D"/>
    <w:rsid w:val="00807802"/>
    <w:rsid w:val="00807B07"/>
    <w:rsid w:val="00811D35"/>
    <w:rsid w:val="00811F2B"/>
    <w:rsid w:val="00812379"/>
    <w:rsid w:val="008123BE"/>
    <w:rsid w:val="008166B9"/>
    <w:rsid w:val="00816DA2"/>
    <w:rsid w:val="008207A8"/>
    <w:rsid w:val="008207B7"/>
    <w:rsid w:val="00822D48"/>
    <w:rsid w:val="0082350A"/>
    <w:rsid w:val="00825DA4"/>
    <w:rsid w:val="008275F8"/>
    <w:rsid w:val="008277E0"/>
    <w:rsid w:val="008301B1"/>
    <w:rsid w:val="008314F3"/>
    <w:rsid w:val="00831DD3"/>
    <w:rsid w:val="00831FD1"/>
    <w:rsid w:val="00832B32"/>
    <w:rsid w:val="00832E6C"/>
    <w:rsid w:val="00833D13"/>
    <w:rsid w:val="00834673"/>
    <w:rsid w:val="008346A1"/>
    <w:rsid w:val="00834AC7"/>
    <w:rsid w:val="00834BE1"/>
    <w:rsid w:val="0083573C"/>
    <w:rsid w:val="008361FF"/>
    <w:rsid w:val="00836674"/>
    <w:rsid w:val="00836D12"/>
    <w:rsid w:val="00837BDD"/>
    <w:rsid w:val="00840A63"/>
    <w:rsid w:val="00840E07"/>
    <w:rsid w:val="00840E11"/>
    <w:rsid w:val="008412F4"/>
    <w:rsid w:val="00841DA5"/>
    <w:rsid w:val="0084209E"/>
    <w:rsid w:val="00842133"/>
    <w:rsid w:val="008426B8"/>
    <w:rsid w:val="00842F47"/>
    <w:rsid w:val="00843B74"/>
    <w:rsid w:val="008444AE"/>
    <w:rsid w:val="0084498C"/>
    <w:rsid w:val="00844B44"/>
    <w:rsid w:val="00845806"/>
    <w:rsid w:val="00845FC1"/>
    <w:rsid w:val="00846CD5"/>
    <w:rsid w:val="00846DDD"/>
    <w:rsid w:val="008477D9"/>
    <w:rsid w:val="00850AE0"/>
    <w:rsid w:val="00851084"/>
    <w:rsid w:val="00851274"/>
    <w:rsid w:val="0085129E"/>
    <w:rsid w:val="00851EF1"/>
    <w:rsid w:val="008526F0"/>
    <w:rsid w:val="00853464"/>
    <w:rsid w:val="00854B75"/>
    <w:rsid w:val="00856660"/>
    <w:rsid w:val="00860D5B"/>
    <w:rsid w:val="00860ED2"/>
    <w:rsid w:val="00861817"/>
    <w:rsid w:val="0086243E"/>
    <w:rsid w:val="00862465"/>
    <w:rsid w:val="00863A33"/>
    <w:rsid w:val="0086427F"/>
    <w:rsid w:val="0086456C"/>
    <w:rsid w:val="00865A9A"/>
    <w:rsid w:val="00866A71"/>
    <w:rsid w:val="00866AD8"/>
    <w:rsid w:val="00866C13"/>
    <w:rsid w:val="00867415"/>
    <w:rsid w:val="008674D4"/>
    <w:rsid w:val="008700BD"/>
    <w:rsid w:val="00872F4D"/>
    <w:rsid w:val="00873A91"/>
    <w:rsid w:val="008741A3"/>
    <w:rsid w:val="00875B20"/>
    <w:rsid w:val="00876805"/>
    <w:rsid w:val="00877121"/>
    <w:rsid w:val="008771E7"/>
    <w:rsid w:val="008771FB"/>
    <w:rsid w:val="0088042C"/>
    <w:rsid w:val="00881069"/>
    <w:rsid w:val="008822B8"/>
    <w:rsid w:val="008825AB"/>
    <w:rsid w:val="008828C2"/>
    <w:rsid w:val="00883CD1"/>
    <w:rsid w:val="0088434E"/>
    <w:rsid w:val="008845F2"/>
    <w:rsid w:val="00884B44"/>
    <w:rsid w:val="008853A3"/>
    <w:rsid w:val="008856F3"/>
    <w:rsid w:val="008857FF"/>
    <w:rsid w:val="008868DD"/>
    <w:rsid w:val="00887DA5"/>
    <w:rsid w:val="008906E0"/>
    <w:rsid w:val="00890918"/>
    <w:rsid w:val="00891B01"/>
    <w:rsid w:val="00892230"/>
    <w:rsid w:val="008935CF"/>
    <w:rsid w:val="0089371F"/>
    <w:rsid w:val="00894026"/>
    <w:rsid w:val="00894099"/>
    <w:rsid w:val="008943D5"/>
    <w:rsid w:val="00894463"/>
    <w:rsid w:val="00894CA6"/>
    <w:rsid w:val="00894FC6"/>
    <w:rsid w:val="008954CD"/>
    <w:rsid w:val="0089749B"/>
    <w:rsid w:val="008979D0"/>
    <w:rsid w:val="008A045F"/>
    <w:rsid w:val="008A135A"/>
    <w:rsid w:val="008A1A86"/>
    <w:rsid w:val="008A1CA2"/>
    <w:rsid w:val="008A2C1D"/>
    <w:rsid w:val="008A4299"/>
    <w:rsid w:val="008A4C87"/>
    <w:rsid w:val="008A4CCA"/>
    <w:rsid w:val="008A5265"/>
    <w:rsid w:val="008A55D9"/>
    <w:rsid w:val="008A5663"/>
    <w:rsid w:val="008A5A1F"/>
    <w:rsid w:val="008A5F9E"/>
    <w:rsid w:val="008A6569"/>
    <w:rsid w:val="008A688B"/>
    <w:rsid w:val="008A6C4C"/>
    <w:rsid w:val="008A7886"/>
    <w:rsid w:val="008B0F3B"/>
    <w:rsid w:val="008B2965"/>
    <w:rsid w:val="008B5061"/>
    <w:rsid w:val="008B5201"/>
    <w:rsid w:val="008B5292"/>
    <w:rsid w:val="008B5AC6"/>
    <w:rsid w:val="008B5AE4"/>
    <w:rsid w:val="008B64C6"/>
    <w:rsid w:val="008B663D"/>
    <w:rsid w:val="008B7218"/>
    <w:rsid w:val="008C0EDA"/>
    <w:rsid w:val="008C1B9F"/>
    <w:rsid w:val="008C1E44"/>
    <w:rsid w:val="008C2565"/>
    <w:rsid w:val="008C2FF8"/>
    <w:rsid w:val="008C328F"/>
    <w:rsid w:val="008C3EF8"/>
    <w:rsid w:val="008C4962"/>
    <w:rsid w:val="008C616E"/>
    <w:rsid w:val="008C6265"/>
    <w:rsid w:val="008C6446"/>
    <w:rsid w:val="008C71A2"/>
    <w:rsid w:val="008C7365"/>
    <w:rsid w:val="008D04C8"/>
    <w:rsid w:val="008D0A94"/>
    <w:rsid w:val="008D2177"/>
    <w:rsid w:val="008D2930"/>
    <w:rsid w:val="008D3C32"/>
    <w:rsid w:val="008D5429"/>
    <w:rsid w:val="008D5CD2"/>
    <w:rsid w:val="008D6873"/>
    <w:rsid w:val="008D6C13"/>
    <w:rsid w:val="008D734D"/>
    <w:rsid w:val="008E0426"/>
    <w:rsid w:val="008E093E"/>
    <w:rsid w:val="008E1BB8"/>
    <w:rsid w:val="008E2B6A"/>
    <w:rsid w:val="008E36D1"/>
    <w:rsid w:val="008E372E"/>
    <w:rsid w:val="008E3784"/>
    <w:rsid w:val="008E4011"/>
    <w:rsid w:val="008E4C9F"/>
    <w:rsid w:val="008E4F6E"/>
    <w:rsid w:val="008E54A3"/>
    <w:rsid w:val="008E5B3A"/>
    <w:rsid w:val="008E6714"/>
    <w:rsid w:val="008E698A"/>
    <w:rsid w:val="008E7135"/>
    <w:rsid w:val="008E7EB5"/>
    <w:rsid w:val="008F0466"/>
    <w:rsid w:val="008F102C"/>
    <w:rsid w:val="008F1751"/>
    <w:rsid w:val="008F202E"/>
    <w:rsid w:val="008F23A9"/>
    <w:rsid w:val="008F2563"/>
    <w:rsid w:val="008F3090"/>
    <w:rsid w:val="008F3116"/>
    <w:rsid w:val="008F3A84"/>
    <w:rsid w:val="008F3E1C"/>
    <w:rsid w:val="008F56C8"/>
    <w:rsid w:val="008F63E5"/>
    <w:rsid w:val="008F6BB5"/>
    <w:rsid w:val="008F79D5"/>
    <w:rsid w:val="009011CC"/>
    <w:rsid w:val="0090206B"/>
    <w:rsid w:val="0090275E"/>
    <w:rsid w:val="009027A7"/>
    <w:rsid w:val="0090298D"/>
    <w:rsid w:val="00903209"/>
    <w:rsid w:val="00903332"/>
    <w:rsid w:val="00903F2C"/>
    <w:rsid w:val="00904B7B"/>
    <w:rsid w:val="009052C8"/>
    <w:rsid w:val="009056F4"/>
    <w:rsid w:val="00905857"/>
    <w:rsid w:val="00905C1A"/>
    <w:rsid w:val="009064BC"/>
    <w:rsid w:val="009079E8"/>
    <w:rsid w:val="00907B8F"/>
    <w:rsid w:val="0091032C"/>
    <w:rsid w:val="00910832"/>
    <w:rsid w:val="00910887"/>
    <w:rsid w:val="00910CF3"/>
    <w:rsid w:val="00911334"/>
    <w:rsid w:val="00911D68"/>
    <w:rsid w:val="009120D3"/>
    <w:rsid w:val="00912F44"/>
    <w:rsid w:val="009131CD"/>
    <w:rsid w:val="00913422"/>
    <w:rsid w:val="00913A28"/>
    <w:rsid w:val="0091401C"/>
    <w:rsid w:val="00914DE7"/>
    <w:rsid w:val="009153B8"/>
    <w:rsid w:val="00915597"/>
    <w:rsid w:val="00915946"/>
    <w:rsid w:val="00915DCA"/>
    <w:rsid w:val="00915F05"/>
    <w:rsid w:val="009161F8"/>
    <w:rsid w:val="009166DF"/>
    <w:rsid w:val="009178D5"/>
    <w:rsid w:val="00917F43"/>
    <w:rsid w:val="009213C8"/>
    <w:rsid w:val="00921A06"/>
    <w:rsid w:val="00921E6E"/>
    <w:rsid w:val="00922601"/>
    <w:rsid w:val="009230B9"/>
    <w:rsid w:val="00923247"/>
    <w:rsid w:val="009241F7"/>
    <w:rsid w:val="00924705"/>
    <w:rsid w:val="009248D1"/>
    <w:rsid w:val="009257A9"/>
    <w:rsid w:val="00925898"/>
    <w:rsid w:val="00930D2F"/>
    <w:rsid w:val="00931636"/>
    <w:rsid w:val="00933A51"/>
    <w:rsid w:val="00934B7C"/>
    <w:rsid w:val="00934E3E"/>
    <w:rsid w:val="00935738"/>
    <w:rsid w:val="009361D9"/>
    <w:rsid w:val="009367DA"/>
    <w:rsid w:val="009368AE"/>
    <w:rsid w:val="0094033C"/>
    <w:rsid w:val="009405EE"/>
    <w:rsid w:val="00940FFC"/>
    <w:rsid w:val="009436A5"/>
    <w:rsid w:val="009439F5"/>
    <w:rsid w:val="009446D1"/>
    <w:rsid w:val="009468A0"/>
    <w:rsid w:val="00946AB7"/>
    <w:rsid w:val="00946AD3"/>
    <w:rsid w:val="00947165"/>
    <w:rsid w:val="009475AE"/>
    <w:rsid w:val="00950634"/>
    <w:rsid w:val="0095083B"/>
    <w:rsid w:val="00950909"/>
    <w:rsid w:val="00950CF0"/>
    <w:rsid w:val="00950EB2"/>
    <w:rsid w:val="00952D0B"/>
    <w:rsid w:val="00952DDB"/>
    <w:rsid w:val="00953DF6"/>
    <w:rsid w:val="0095424F"/>
    <w:rsid w:val="009547EB"/>
    <w:rsid w:val="009558F5"/>
    <w:rsid w:val="00956926"/>
    <w:rsid w:val="009576F6"/>
    <w:rsid w:val="00960348"/>
    <w:rsid w:val="009613C1"/>
    <w:rsid w:val="0096218C"/>
    <w:rsid w:val="00963640"/>
    <w:rsid w:val="00963E7B"/>
    <w:rsid w:val="00965ADC"/>
    <w:rsid w:val="00965F4F"/>
    <w:rsid w:val="00966924"/>
    <w:rsid w:val="00966C35"/>
    <w:rsid w:val="00967A10"/>
    <w:rsid w:val="009704C4"/>
    <w:rsid w:val="0097080C"/>
    <w:rsid w:val="00974C74"/>
    <w:rsid w:val="009757C4"/>
    <w:rsid w:val="00975EDB"/>
    <w:rsid w:val="00975F79"/>
    <w:rsid w:val="00975FF9"/>
    <w:rsid w:val="0097644F"/>
    <w:rsid w:val="009769CD"/>
    <w:rsid w:val="009770DF"/>
    <w:rsid w:val="00977631"/>
    <w:rsid w:val="00977A1B"/>
    <w:rsid w:val="00977C55"/>
    <w:rsid w:val="00977DD5"/>
    <w:rsid w:val="009807B6"/>
    <w:rsid w:val="00980D67"/>
    <w:rsid w:val="00982AB6"/>
    <w:rsid w:val="00982AFF"/>
    <w:rsid w:val="009851DC"/>
    <w:rsid w:val="009860E9"/>
    <w:rsid w:val="009872DC"/>
    <w:rsid w:val="00987A6B"/>
    <w:rsid w:val="00990C67"/>
    <w:rsid w:val="00990D8D"/>
    <w:rsid w:val="00991019"/>
    <w:rsid w:val="00992960"/>
    <w:rsid w:val="00992BF5"/>
    <w:rsid w:val="00992DD1"/>
    <w:rsid w:val="00993247"/>
    <w:rsid w:val="00993401"/>
    <w:rsid w:val="00994684"/>
    <w:rsid w:val="00994C08"/>
    <w:rsid w:val="00994D92"/>
    <w:rsid w:val="00995309"/>
    <w:rsid w:val="0099539A"/>
    <w:rsid w:val="00995756"/>
    <w:rsid w:val="009957AE"/>
    <w:rsid w:val="00995C8F"/>
    <w:rsid w:val="009962E7"/>
    <w:rsid w:val="0099743A"/>
    <w:rsid w:val="00997443"/>
    <w:rsid w:val="009976F7"/>
    <w:rsid w:val="00997E44"/>
    <w:rsid w:val="009A019A"/>
    <w:rsid w:val="009A0772"/>
    <w:rsid w:val="009A07A6"/>
    <w:rsid w:val="009A2ADC"/>
    <w:rsid w:val="009A3A78"/>
    <w:rsid w:val="009A3DDD"/>
    <w:rsid w:val="009A502E"/>
    <w:rsid w:val="009A56FF"/>
    <w:rsid w:val="009A7EFC"/>
    <w:rsid w:val="009B07E5"/>
    <w:rsid w:val="009B0C0D"/>
    <w:rsid w:val="009B2013"/>
    <w:rsid w:val="009B2EF1"/>
    <w:rsid w:val="009B2FBC"/>
    <w:rsid w:val="009B32C8"/>
    <w:rsid w:val="009B3DEC"/>
    <w:rsid w:val="009B4A31"/>
    <w:rsid w:val="009B4AD6"/>
    <w:rsid w:val="009B5E10"/>
    <w:rsid w:val="009B6739"/>
    <w:rsid w:val="009B7D0B"/>
    <w:rsid w:val="009C00A7"/>
    <w:rsid w:val="009C07DC"/>
    <w:rsid w:val="009C0CED"/>
    <w:rsid w:val="009C0E69"/>
    <w:rsid w:val="009C12BD"/>
    <w:rsid w:val="009C1549"/>
    <w:rsid w:val="009C1E30"/>
    <w:rsid w:val="009C1F11"/>
    <w:rsid w:val="009C2270"/>
    <w:rsid w:val="009C2553"/>
    <w:rsid w:val="009C327E"/>
    <w:rsid w:val="009C3294"/>
    <w:rsid w:val="009C3983"/>
    <w:rsid w:val="009C3D75"/>
    <w:rsid w:val="009C3E06"/>
    <w:rsid w:val="009C455B"/>
    <w:rsid w:val="009C46BD"/>
    <w:rsid w:val="009C48ED"/>
    <w:rsid w:val="009C62A6"/>
    <w:rsid w:val="009C637F"/>
    <w:rsid w:val="009C63BB"/>
    <w:rsid w:val="009C6C5C"/>
    <w:rsid w:val="009C73A1"/>
    <w:rsid w:val="009C7CC0"/>
    <w:rsid w:val="009C7D05"/>
    <w:rsid w:val="009D1122"/>
    <w:rsid w:val="009D1195"/>
    <w:rsid w:val="009D1CF5"/>
    <w:rsid w:val="009D2B76"/>
    <w:rsid w:val="009D34DD"/>
    <w:rsid w:val="009D4181"/>
    <w:rsid w:val="009D4257"/>
    <w:rsid w:val="009D43D2"/>
    <w:rsid w:val="009D611E"/>
    <w:rsid w:val="009D687E"/>
    <w:rsid w:val="009D6F81"/>
    <w:rsid w:val="009D6FE9"/>
    <w:rsid w:val="009D74F1"/>
    <w:rsid w:val="009D75C7"/>
    <w:rsid w:val="009D7D1B"/>
    <w:rsid w:val="009D7EA8"/>
    <w:rsid w:val="009E0767"/>
    <w:rsid w:val="009E1CAC"/>
    <w:rsid w:val="009E262F"/>
    <w:rsid w:val="009E37E6"/>
    <w:rsid w:val="009E3945"/>
    <w:rsid w:val="009E41BF"/>
    <w:rsid w:val="009E499D"/>
    <w:rsid w:val="009E4FE6"/>
    <w:rsid w:val="009E587D"/>
    <w:rsid w:val="009E62F1"/>
    <w:rsid w:val="009E67B9"/>
    <w:rsid w:val="009E6F37"/>
    <w:rsid w:val="009E7988"/>
    <w:rsid w:val="009F002D"/>
    <w:rsid w:val="009F1735"/>
    <w:rsid w:val="009F1D8A"/>
    <w:rsid w:val="009F1D90"/>
    <w:rsid w:val="009F21D5"/>
    <w:rsid w:val="009F26EA"/>
    <w:rsid w:val="009F2E6D"/>
    <w:rsid w:val="009F33BC"/>
    <w:rsid w:val="009F37A7"/>
    <w:rsid w:val="009F4E28"/>
    <w:rsid w:val="009F60F3"/>
    <w:rsid w:val="009F6305"/>
    <w:rsid w:val="009F6FF8"/>
    <w:rsid w:val="00A00909"/>
    <w:rsid w:val="00A0161F"/>
    <w:rsid w:val="00A02144"/>
    <w:rsid w:val="00A0215F"/>
    <w:rsid w:val="00A028C2"/>
    <w:rsid w:val="00A02985"/>
    <w:rsid w:val="00A02A46"/>
    <w:rsid w:val="00A03D57"/>
    <w:rsid w:val="00A0420F"/>
    <w:rsid w:val="00A0454D"/>
    <w:rsid w:val="00A04EC4"/>
    <w:rsid w:val="00A0507C"/>
    <w:rsid w:val="00A052AF"/>
    <w:rsid w:val="00A05B0F"/>
    <w:rsid w:val="00A05B1F"/>
    <w:rsid w:val="00A063E8"/>
    <w:rsid w:val="00A06B99"/>
    <w:rsid w:val="00A07044"/>
    <w:rsid w:val="00A070DD"/>
    <w:rsid w:val="00A0772D"/>
    <w:rsid w:val="00A100B3"/>
    <w:rsid w:val="00A11477"/>
    <w:rsid w:val="00A11B38"/>
    <w:rsid w:val="00A11CC1"/>
    <w:rsid w:val="00A12BF2"/>
    <w:rsid w:val="00A12DD3"/>
    <w:rsid w:val="00A1382B"/>
    <w:rsid w:val="00A13841"/>
    <w:rsid w:val="00A141AC"/>
    <w:rsid w:val="00A159AD"/>
    <w:rsid w:val="00A161B6"/>
    <w:rsid w:val="00A1777E"/>
    <w:rsid w:val="00A179D4"/>
    <w:rsid w:val="00A20DA2"/>
    <w:rsid w:val="00A21948"/>
    <w:rsid w:val="00A21D07"/>
    <w:rsid w:val="00A21F0B"/>
    <w:rsid w:val="00A22CEB"/>
    <w:rsid w:val="00A2383F"/>
    <w:rsid w:val="00A23D00"/>
    <w:rsid w:val="00A243CD"/>
    <w:rsid w:val="00A24DDD"/>
    <w:rsid w:val="00A252CE"/>
    <w:rsid w:val="00A25CE4"/>
    <w:rsid w:val="00A273E9"/>
    <w:rsid w:val="00A30782"/>
    <w:rsid w:val="00A30B5B"/>
    <w:rsid w:val="00A31136"/>
    <w:rsid w:val="00A311B3"/>
    <w:rsid w:val="00A31BB7"/>
    <w:rsid w:val="00A3268C"/>
    <w:rsid w:val="00A33F09"/>
    <w:rsid w:val="00A34761"/>
    <w:rsid w:val="00A35A67"/>
    <w:rsid w:val="00A36189"/>
    <w:rsid w:val="00A36A25"/>
    <w:rsid w:val="00A36A68"/>
    <w:rsid w:val="00A376B6"/>
    <w:rsid w:val="00A37E0D"/>
    <w:rsid w:val="00A37E12"/>
    <w:rsid w:val="00A40D4A"/>
    <w:rsid w:val="00A410AC"/>
    <w:rsid w:val="00A41C43"/>
    <w:rsid w:val="00A42246"/>
    <w:rsid w:val="00A450BC"/>
    <w:rsid w:val="00A45E93"/>
    <w:rsid w:val="00A460D9"/>
    <w:rsid w:val="00A46955"/>
    <w:rsid w:val="00A46963"/>
    <w:rsid w:val="00A469CD"/>
    <w:rsid w:val="00A471F0"/>
    <w:rsid w:val="00A47819"/>
    <w:rsid w:val="00A478FA"/>
    <w:rsid w:val="00A47F37"/>
    <w:rsid w:val="00A50560"/>
    <w:rsid w:val="00A50B23"/>
    <w:rsid w:val="00A50CCA"/>
    <w:rsid w:val="00A51221"/>
    <w:rsid w:val="00A513CC"/>
    <w:rsid w:val="00A519C9"/>
    <w:rsid w:val="00A51CC8"/>
    <w:rsid w:val="00A52637"/>
    <w:rsid w:val="00A52E50"/>
    <w:rsid w:val="00A537C7"/>
    <w:rsid w:val="00A545AC"/>
    <w:rsid w:val="00A54D5B"/>
    <w:rsid w:val="00A54DFA"/>
    <w:rsid w:val="00A550DE"/>
    <w:rsid w:val="00A55A00"/>
    <w:rsid w:val="00A55B5F"/>
    <w:rsid w:val="00A55CA8"/>
    <w:rsid w:val="00A57CAB"/>
    <w:rsid w:val="00A57FCF"/>
    <w:rsid w:val="00A57FFE"/>
    <w:rsid w:val="00A600C4"/>
    <w:rsid w:val="00A60119"/>
    <w:rsid w:val="00A61238"/>
    <w:rsid w:val="00A61939"/>
    <w:rsid w:val="00A622DC"/>
    <w:rsid w:val="00A6258B"/>
    <w:rsid w:val="00A63B0A"/>
    <w:rsid w:val="00A6401A"/>
    <w:rsid w:val="00A6467A"/>
    <w:rsid w:val="00A6497A"/>
    <w:rsid w:val="00A64A33"/>
    <w:rsid w:val="00A66655"/>
    <w:rsid w:val="00A67FF8"/>
    <w:rsid w:val="00A707FC"/>
    <w:rsid w:val="00A70D30"/>
    <w:rsid w:val="00A71364"/>
    <w:rsid w:val="00A717D6"/>
    <w:rsid w:val="00A7303E"/>
    <w:rsid w:val="00A737F7"/>
    <w:rsid w:val="00A73C48"/>
    <w:rsid w:val="00A74BA2"/>
    <w:rsid w:val="00A75653"/>
    <w:rsid w:val="00A75916"/>
    <w:rsid w:val="00A75925"/>
    <w:rsid w:val="00A75B1F"/>
    <w:rsid w:val="00A76828"/>
    <w:rsid w:val="00A769AB"/>
    <w:rsid w:val="00A802CF"/>
    <w:rsid w:val="00A80D9B"/>
    <w:rsid w:val="00A810F1"/>
    <w:rsid w:val="00A81F1E"/>
    <w:rsid w:val="00A8293B"/>
    <w:rsid w:val="00A83CA1"/>
    <w:rsid w:val="00A840BC"/>
    <w:rsid w:val="00A84525"/>
    <w:rsid w:val="00A84613"/>
    <w:rsid w:val="00A85AA2"/>
    <w:rsid w:val="00A86405"/>
    <w:rsid w:val="00A8686F"/>
    <w:rsid w:val="00A87036"/>
    <w:rsid w:val="00A87186"/>
    <w:rsid w:val="00A8764D"/>
    <w:rsid w:val="00A876F6"/>
    <w:rsid w:val="00A87D25"/>
    <w:rsid w:val="00A900A6"/>
    <w:rsid w:val="00A91E61"/>
    <w:rsid w:val="00A92781"/>
    <w:rsid w:val="00A930C3"/>
    <w:rsid w:val="00A932DD"/>
    <w:rsid w:val="00A9363D"/>
    <w:rsid w:val="00A9388D"/>
    <w:rsid w:val="00A9407C"/>
    <w:rsid w:val="00A97383"/>
    <w:rsid w:val="00A9760F"/>
    <w:rsid w:val="00A978AB"/>
    <w:rsid w:val="00A97C0D"/>
    <w:rsid w:val="00A97F09"/>
    <w:rsid w:val="00AA0443"/>
    <w:rsid w:val="00AA2566"/>
    <w:rsid w:val="00AA2C71"/>
    <w:rsid w:val="00AA2E90"/>
    <w:rsid w:val="00AA2FA3"/>
    <w:rsid w:val="00AA3702"/>
    <w:rsid w:val="00AA4209"/>
    <w:rsid w:val="00AA4818"/>
    <w:rsid w:val="00AA5F35"/>
    <w:rsid w:val="00AA6C11"/>
    <w:rsid w:val="00AA75A5"/>
    <w:rsid w:val="00AB0EF0"/>
    <w:rsid w:val="00AB27D3"/>
    <w:rsid w:val="00AB3F2E"/>
    <w:rsid w:val="00AB4359"/>
    <w:rsid w:val="00AB4DF0"/>
    <w:rsid w:val="00AC1CBC"/>
    <w:rsid w:val="00AC213E"/>
    <w:rsid w:val="00AC237D"/>
    <w:rsid w:val="00AC28BA"/>
    <w:rsid w:val="00AC2DD3"/>
    <w:rsid w:val="00AC37E5"/>
    <w:rsid w:val="00AC48F0"/>
    <w:rsid w:val="00AC52AE"/>
    <w:rsid w:val="00AC5D19"/>
    <w:rsid w:val="00AD1AA8"/>
    <w:rsid w:val="00AD269E"/>
    <w:rsid w:val="00AD2B55"/>
    <w:rsid w:val="00AD35A1"/>
    <w:rsid w:val="00AD3B0D"/>
    <w:rsid w:val="00AD4C2F"/>
    <w:rsid w:val="00AD55E4"/>
    <w:rsid w:val="00AD5C9D"/>
    <w:rsid w:val="00AD770F"/>
    <w:rsid w:val="00AE0BFA"/>
    <w:rsid w:val="00AE0DF6"/>
    <w:rsid w:val="00AE1E6F"/>
    <w:rsid w:val="00AE1F0F"/>
    <w:rsid w:val="00AE21C7"/>
    <w:rsid w:val="00AE2262"/>
    <w:rsid w:val="00AE239B"/>
    <w:rsid w:val="00AE4E74"/>
    <w:rsid w:val="00AE55AD"/>
    <w:rsid w:val="00AE5A44"/>
    <w:rsid w:val="00AE7CFE"/>
    <w:rsid w:val="00AF23F3"/>
    <w:rsid w:val="00AF298A"/>
    <w:rsid w:val="00AF2A1B"/>
    <w:rsid w:val="00AF3BB6"/>
    <w:rsid w:val="00AF413C"/>
    <w:rsid w:val="00AF42ED"/>
    <w:rsid w:val="00AF4445"/>
    <w:rsid w:val="00AF47A7"/>
    <w:rsid w:val="00AF50DA"/>
    <w:rsid w:val="00AF512C"/>
    <w:rsid w:val="00AF56C8"/>
    <w:rsid w:val="00AF587A"/>
    <w:rsid w:val="00AF6140"/>
    <w:rsid w:val="00AF65F4"/>
    <w:rsid w:val="00AF6696"/>
    <w:rsid w:val="00AF7766"/>
    <w:rsid w:val="00AF7917"/>
    <w:rsid w:val="00AF7AE2"/>
    <w:rsid w:val="00AF7BA9"/>
    <w:rsid w:val="00B003CB"/>
    <w:rsid w:val="00B014C9"/>
    <w:rsid w:val="00B0183B"/>
    <w:rsid w:val="00B02EE2"/>
    <w:rsid w:val="00B035DE"/>
    <w:rsid w:val="00B0388E"/>
    <w:rsid w:val="00B03C82"/>
    <w:rsid w:val="00B04199"/>
    <w:rsid w:val="00B04CDF"/>
    <w:rsid w:val="00B06A1C"/>
    <w:rsid w:val="00B06C59"/>
    <w:rsid w:val="00B06E14"/>
    <w:rsid w:val="00B07402"/>
    <w:rsid w:val="00B07ED2"/>
    <w:rsid w:val="00B10354"/>
    <w:rsid w:val="00B10D96"/>
    <w:rsid w:val="00B11651"/>
    <w:rsid w:val="00B11D29"/>
    <w:rsid w:val="00B1220E"/>
    <w:rsid w:val="00B127A3"/>
    <w:rsid w:val="00B13052"/>
    <w:rsid w:val="00B13520"/>
    <w:rsid w:val="00B13D01"/>
    <w:rsid w:val="00B1447A"/>
    <w:rsid w:val="00B14812"/>
    <w:rsid w:val="00B14C18"/>
    <w:rsid w:val="00B14E98"/>
    <w:rsid w:val="00B172E1"/>
    <w:rsid w:val="00B17926"/>
    <w:rsid w:val="00B17D5F"/>
    <w:rsid w:val="00B21445"/>
    <w:rsid w:val="00B214AD"/>
    <w:rsid w:val="00B21510"/>
    <w:rsid w:val="00B21B72"/>
    <w:rsid w:val="00B22D51"/>
    <w:rsid w:val="00B22EF6"/>
    <w:rsid w:val="00B233A1"/>
    <w:rsid w:val="00B23E66"/>
    <w:rsid w:val="00B2553E"/>
    <w:rsid w:val="00B2604B"/>
    <w:rsid w:val="00B26D42"/>
    <w:rsid w:val="00B27A52"/>
    <w:rsid w:val="00B27DAD"/>
    <w:rsid w:val="00B30731"/>
    <w:rsid w:val="00B3186B"/>
    <w:rsid w:val="00B31BF2"/>
    <w:rsid w:val="00B33002"/>
    <w:rsid w:val="00B346FE"/>
    <w:rsid w:val="00B348DC"/>
    <w:rsid w:val="00B34FAF"/>
    <w:rsid w:val="00B35031"/>
    <w:rsid w:val="00B35492"/>
    <w:rsid w:val="00B36E57"/>
    <w:rsid w:val="00B37B25"/>
    <w:rsid w:val="00B37E7D"/>
    <w:rsid w:val="00B40C45"/>
    <w:rsid w:val="00B41C5B"/>
    <w:rsid w:val="00B4285D"/>
    <w:rsid w:val="00B42E2C"/>
    <w:rsid w:val="00B43747"/>
    <w:rsid w:val="00B44043"/>
    <w:rsid w:val="00B45474"/>
    <w:rsid w:val="00B45650"/>
    <w:rsid w:val="00B46A0A"/>
    <w:rsid w:val="00B46E1B"/>
    <w:rsid w:val="00B479A4"/>
    <w:rsid w:val="00B47A97"/>
    <w:rsid w:val="00B501ED"/>
    <w:rsid w:val="00B50A1B"/>
    <w:rsid w:val="00B51B27"/>
    <w:rsid w:val="00B51C9F"/>
    <w:rsid w:val="00B53749"/>
    <w:rsid w:val="00B54B7A"/>
    <w:rsid w:val="00B551DD"/>
    <w:rsid w:val="00B5588E"/>
    <w:rsid w:val="00B56793"/>
    <w:rsid w:val="00B60BBF"/>
    <w:rsid w:val="00B61251"/>
    <w:rsid w:val="00B61527"/>
    <w:rsid w:val="00B62525"/>
    <w:rsid w:val="00B63ABF"/>
    <w:rsid w:val="00B63F1B"/>
    <w:rsid w:val="00B64287"/>
    <w:rsid w:val="00B642C7"/>
    <w:rsid w:val="00B642CF"/>
    <w:rsid w:val="00B66C6F"/>
    <w:rsid w:val="00B66D26"/>
    <w:rsid w:val="00B66D4C"/>
    <w:rsid w:val="00B670E7"/>
    <w:rsid w:val="00B67C68"/>
    <w:rsid w:val="00B70493"/>
    <w:rsid w:val="00B71052"/>
    <w:rsid w:val="00B720F2"/>
    <w:rsid w:val="00B733FC"/>
    <w:rsid w:val="00B76001"/>
    <w:rsid w:val="00B7650E"/>
    <w:rsid w:val="00B766B8"/>
    <w:rsid w:val="00B7679D"/>
    <w:rsid w:val="00B77906"/>
    <w:rsid w:val="00B77C59"/>
    <w:rsid w:val="00B8027D"/>
    <w:rsid w:val="00B826BA"/>
    <w:rsid w:val="00B82B6D"/>
    <w:rsid w:val="00B8322F"/>
    <w:rsid w:val="00B833C6"/>
    <w:rsid w:val="00B8530F"/>
    <w:rsid w:val="00B8562D"/>
    <w:rsid w:val="00B85888"/>
    <w:rsid w:val="00B85CDD"/>
    <w:rsid w:val="00B87772"/>
    <w:rsid w:val="00B87870"/>
    <w:rsid w:val="00B87F77"/>
    <w:rsid w:val="00B87FDD"/>
    <w:rsid w:val="00B91616"/>
    <w:rsid w:val="00B91642"/>
    <w:rsid w:val="00B916AD"/>
    <w:rsid w:val="00B91F53"/>
    <w:rsid w:val="00B92730"/>
    <w:rsid w:val="00B92798"/>
    <w:rsid w:val="00B92EF9"/>
    <w:rsid w:val="00B9375F"/>
    <w:rsid w:val="00B93CEE"/>
    <w:rsid w:val="00B943F6"/>
    <w:rsid w:val="00B950DB"/>
    <w:rsid w:val="00B96191"/>
    <w:rsid w:val="00B963AA"/>
    <w:rsid w:val="00B964B9"/>
    <w:rsid w:val="00B9699A"/>
    <w:rsid w:val="00B96D9F"/>
    <w:rsid w:val="00B97440"/>
    <w:rsid w:val="00B9796A"/>
    <w:rsid w:val="00BA02D7"/>
    <w:rsid w:val="00BA04AE"/>
    <w:rsid w:val="00BA09B1"/>
    <w:rsid w:val="00BA1274"/>
    <w:rsid w:val="00BA16FA"/>
    <w:rsid w:val="00BA1ECB"/>
    <w:rsid w:val="00BA3989"/>
    <w:rsid w:val="00BA3D5A"/>
    <w:rsid w:val="00BA5622"/>
    <w:rsid w:val="00BA6571"/>
    <w:rsid w:val="00BA7E60"/>
    <w:rsid w:val="00BB042C"/>
    <w:rsid w:val="00BB0A1B"/>
    <w:rsid w:val="00BB10FC"/>
    <w:rsid w:val="00BB1457"/>
    <w:rsid w:val="00BB19D3"/>
    <w:rsid w:val="00BB25FC"/>
    <w:rsid w:val="00BB28B9"/>
    <w:rsid w:val="00BB356D"/>
    <w:rsid w:val="00BB4612"/>
    <w:rsid w:val="00BB525C"/>
    <w:rsid w:val="00BB5EA5"/>
    <w:rsid w:val="00BB671B"/>
    <w:rsid w:val="00BC01EF"/>
    <w:rsid w:val="00BC02A7"/>
    <w:rsid w:val="00BC0AB0"/>
    <w:rsid w:val="00BC0CA4"/>
    <w:rsid w:val="00BC1100"/>
    <w:rsid w:val="00BC1308"/>
    <w:rsid w:val="00BC1611"/>
    <w:rsid w:val="00BC1F88"/>
    <w:rsid w:val="00BC253D"/>
    <w:rsid w:val="00BC25BD"/>
    <w:rsid w:val="00BC2E86"/>
    <w:rsid w:val="00BC3B73"/>
    <w:rsid w:val="00BC43CF"/>
    <w:rsid w:val="00BC4A16"/>
    <w:rsid w:val="00BC59E3"/>
    <w:rsid w:val="00BC5C29"/>
    <w:rsid w:val="00BC5CE0"/>
    <w:rsid w:val="00BC723C"/>
    <w:rsid w:val="00BC728F"/>
    <w:rsid w:val="00BC77CA"/>
    <w:rsid w:val="00BD00E9"/>
    <w:rsid w:val="00BD1623"/>
    <w:rsid w:val="00BD29B1"/>
    <w:rsid w:val="00BD31A1"/>
    <w:rsid w:val="00BD39A9"/>
    <w:rsid w:val="00BD5B62"/>
    <w:rsid w:val="00BD6EDC"/>
    <w:rsid w:val="00BD6F0E"/>
    <w:rsid w:val="00BD6F86"/>
    <w:rsid w:val="00BD7755"/>
    <w:rsid w:val="00BE08E5"/>
    <w:rsid w:val="00BE0C1E"/>
    <w:rsid w:val="00BE0E0B"/>
    <w:rsid w:val="00BE2159"/>
    <w:rsid w:val="00BE2BFC"/>
    <w:rsid w:val="00BE3241"/>
    <w:rsid w:val="00BE38D9"/>
    <w:rsid w:val="00BE434E"/>
    <w:rsid w:val="00BE44ED"/>
    <w:rsid w:val="00BE4D43"/>
    <w:rsid w:val="00BE5303"/>
    <w:rsid w:val="00BE6DC9"/>
    <w:rsid w:val="00BE6F95"/>
    <w:rsid w:val="00BE6FBF"/>
    <w:rsid w:val="00BE7041"/>
    <w:rsid w:val="00BE71FF"/>
    <w:rsid w:val="00BE7326"/>
    <w:rsid w:val="00BE75C7"/>
    <w:rsid w:val="00BE7CDF"/>
    <w:rsid w:val="00BE7F01"/>
    <w:rsid w:val="00BF014B"/>
    <w:rsid w:val="00BF07A6"/>
    <w:rsid w:val="00BF0D1A"/>
    <w:rsid w:val="00BF222B"/>
    <w:rsid w:val="00BF24C4"/>
    <w:rsid w:val="00BF2879"/>
    <w:rsid w:val="00BF2E25"/>
    <w:rsid w:val="00BF3664"/>
    <w:rsid w:val="00BF457B"/>
    <w:rsid w:val="00BF4689"/>
    <w:rsid w:val="00BF4C59"/>
    <w:rsid w:val="00BF600B"/>
    <w:rsid w:val="00BF6341"/>
    <w:rsid w:val="00C0017A"/>
    <w:rsid w:val="00C0050C"/>
    <w:rsid w:val="00C007F3"/>
    <w:rsid w:val="00C00A58"/>
    <w:rsid w:val="00C00CDE"/>
    <w:rsid w:val="00C016CA"/>
    <w:rsid w:val="00C0294E"/>
    <w:rsid w:val="00C0298A"/>
    <w:rsid w:val="00C04984"/>
    <w:rsid w:val="00C04D9D"/>
    <w:rsid w:val="00C0537D"/>
    <w:rsid w:val="00C06045"/>
    <w:rsid w:val="00C062DA"/>
    <w:rsid w:val="00C06ACC"/>
    <w:rsid w:val="00C06B36"/>
    <w:rsid w:val="00C07132"/>
    <w:rsid w:val="00C10316"/>
    <w:rsid w:val="00C10D0B"/>
    <w:rsid w:val="00C1117E"/>
    <w:rsid w:val="00C11853"/>
    <w:rsid w:val="00C12350"/>
    <w:rsid w:val="00C12734"/>
    <w:rsid w:val="00C12B41"/>
    <w:rsid w:val="00C1340F"/>
    <w:rsid w:val="00C1511F"/>
    <w:rsid w:val="00C1552A"/>
    <w:rsid w:val="00C16723"/>
    <w:rsid w:val="00C1683E"/>
    <w:rsid w:val="00C16FCC"/>
    <w:rsid w:val="00C17109"/>
    <w:rsid w:val="00C17B8A"/>
    <w:rsid w:val="00C17D55"/>
    <w:rsid w:val="00C20B4C"/>
    <w:rsid w:val="00C20D02"/>
    <w:rsid w:val="00C20F77"/>
    <w:rsid w:val="00C2194A"/>
    <w:rsid w:val="00C22718"/>
    <w:rsid w:val="00C22CD2"/>
    <w:rsid w:val="00C236D1"/>
    <w:rsid w:val="00C24FD8"/>
    <w:rsid w:val="00C25571"/>
    <w:rsid w:val="00C25C48"/>
    <w:rsid w:val="00C25C85"/>
    <w:rsid w:val="00C262EE"/>
    <w:rsid w:val="00C2636A"/>
    <w:rsid w:val="00C265ED"/>
    <w:rsid w:val="00C26C27"/>
    <w:rsid w:val="00C26CC2"/>
    <w:rsid w:val="00C3069B"/>
    <w:rsid w:val="00C307DF"/>
    <w:rsid w:val="00C30FB4"/>
    <w:rsid w:val="00C3116F"/>
    <w:rsid w:val="00C31451"/>
    <w:rsid w:val="00C31A60"/>
    <w:rsid w:val="00C31D00"/>
    <w:rsid w:val="00C3287A"/>
    <w:rsid w:val="00C32C27"/>
    <w:rsid w:val="00C34043"/>
    <w:rsid w:val="00C342EF"/>
    <w:rsid w:val="00C3546F"/>
    <w:rsid w:val="00C357DC"/>
    <w:rsid w:val="00C35D56"/>
    <w:rsid w:val="00C35E75"/>
    <w:rsid w:val="00C36DEC"/>
    <w:rsid w:val="00C37065"/>
    <w:rsid w:val="00C3727B"/>
    <w:rsid w:val="00C406C9"/>
    <w:rsid w:val="00C40AC5"/>
    <w:rsid w:val="00C42416"/>
    <w:rsid w:val="00C42B67"/>
    <w:rsid w:val="00C43012"/>
    <w:rsid w:val="00C45572"/>
    <w:rsid w:val="00C4729F"/>
    <w:rsid w:val="00C5070C"/>
    <w:rsid w:val="00C5073E"/>
    <w:rsid w:val="00C50882"/>
    <w:rsid w:val="00C50B03"/>
    <w:rsid w:val="00C50BFB"/>
    <w:rsid w:val="00C50CB7"/>
    <w:rsid w:val="00C50E1D"/>
    <w:rsid w:val="00C510F2"/>
    <w:rsid w:val="00C51459"/>
    <w:rsid w:val="00C51A51"/>
    <w:rsid w:val="00C51C05"/>
    <w:rsid w:val="00C528C1"/>
    <w:rsid w:val="00C52B85"/>
    <w:rsid w:val="00C52E54"/>
    <w:rsid w:val="00C5319B"/>
    <w:rsid w:val="00C53473"/>
    <w:rsid w:val="00C535CC"/>
    <w:rsid w:val="00C542AA"/>
    <w:rsid w:val="00C546F0"/>
    <w:rsid w:val="00C554BF"/>
    <w:rsid w:val="00C5621C"/>
    <w:rsid w:val="00C56770"/>
    <w:rsid w:val="00C56928"/>
    <w:rsid w:val="00C5726C"/>
    <w:rsid w:val="00C60D15"/>
    <w:rsid w:val="00C61801"/>
    <w:rsid w:val="00C619A4"/>
    <w:rsid w:val="00C62349"/>
    <w:rsid w:val="00C62412"/>
    <w:rsid w:val="00C638BE"/>
    <w:rsid w:val="00C63A5F"/>
    <w:rsid w:val="00C63EB5"/>
    <w:rsid w:val="00C64B4E"/>
    <w:rsid w:val="00C6592D"/>
    <w:rsid w:val="00C66251"/>
    <w:rsid w:val="00C66812"/>
    <w:rsid w:val="00C66AFA"/>
    <w:rsid w:val="00C67736"/>
    <w:rsid w:val="00C67A0D"/>
    <w:rsid w:val="00C70008"/>
    <w:rsid w:val="00C70721"/>
    <w:rsid w:val="00C70745"/>
    <w:rsid w:val="00C71534"/>
    <w:rsid w:val="00C7191F"/>
    <w:rsid w:val="00C71A2A"/>
    <w:rsid w:val="00C73956"/>
    <w:rsid w:val="00C7495C"/>
    <w:rsid w:val="00C74D43"/>
    <w:rsid w:val="00C75676"/>
    <w:rsid w:val="00C75A2F"/>
    <w:rsid w:val="00C769AD"/>
    <w:rsid w:val="00C776E4"/>
    <w:rsid w:val="00C77844"/>
    <w:rsid w:val="00C77C96"/>
    <w:rsid w:val="00C8052F"/>
    <w:rsid w:val="00C80837"/>
    <w:rsid w:val="00C80861"/>
    <w:rsid w:val="00C80A7C"/>
    <w:rsid w:val="00C80ABD"/>
    <w:rsid w:val="00C80B5C"/>
    <w:rsid w:val="00C811F8"/>
    <w:rsid w:val="00C8377E"/>
    <w:rsid w:val="00C83A3E"/>
    <w:rsid w:val="00C840DA"/>
    <w:rsid w:val="00C853C8"/>
    <w:rsid w:val="00C85421"/>
    <w:rsid w:val="00C854CE"/>
    <w:rsid w:val="00C8553B"/>
    <w:rsid w:val="00C8565E"/>
    <w:rsid w:val="00C86278"/>
    <w:rsid w:val="00C8643E"/>
    <w:rsid w:val="00C86692"/>
    <w:rsid w:val="00C866BE"/>
    <w:rsid w:val="00C86F29"/>
    <w:rsid w:val="00C911A4"/>
    <w:rsid w:val="00C916BA"/>
    <w:rsid w:val="00C91F8B"/>
    <w:rsid w:val="00C9286F"/>
    <w:rsid w:val="00C92D2C"/>
    <w:rsid w:val="00C9343A"/>
    <w:rsid w:val="00C93657"/>
    <w:rsid w:val="00C93BDF"/>
    <w:rsid w:val="00C93FCD"/>
    <w:rsid w:val="00C94160"/>
    <w:rsid w:val="00C94196"/>
    <w:rsid w:val="00C945B5"/>
    <w:rsid w:val="00C94DF5"/>
    <w:rsid w:val="00CA015A"/>
    <w:rsid w:val="00CA0385"/>
    <w:rsid w:val="00CA32DC"/>
    <w:rsid w:val="00CA379A"/>
    <w:rsid w:val="00CA40B3"/>
    <w:rsid w:val="00CA4E44"/>
    <w:rsid w:val="00CA5B86"/>
    <w:rsid w:val="00CA5CA7"/>
    <w:rsid w:val="00CA62B7"/>
    <w:rsid w:val="00CA6A12"/>
    <w:rsid w:val="00CB0F22"/>
    <w:rsid w:val="00CB18E1"/>
    <w:rsid w:val="00CB39AE"/>
    <w:rsid w:val="00CB4188"/>
    <w:rsid w:val="00CB6C4F"/>
    <w:rsid w:val="00CB6C95"/>
    <w:rsid w:val="00CB7232"/>
    <w:rsid w:val="00CC0692"/>
    <w:rsid w:val="00CC1499"/>
    <w:rsid w:val="00CC3077"/>
    <w:rsid w:val="00CC4C25"/>
    <w:rsid w:val="00CC5C2C"/>
    <w:rsid w:val="00CC6205"/>
    <w:rsid w:val="00CC72E5"/>
    <w:rsid w:val="00CC79C6"/>
    <w:rsid w:val="00CD0ED9"/>
    <w:rsid w:val="00CD1911"/>
    <w:rsid w:val="00CD2359"/>
    <w:rsid w:val="00CD2D5C"/>
    <w:rsid w:val="00CD36E3"/>
    <w:rsid w:val="00CD4287"/>
    <w:rsid w:val="00CD5334"/>
    <w:rsid w:val="00CD53AE"/>
    <w:rsid w:val="00CD7C11"/>
    <w:rsid w:val="00CE04BC"/>
    <w:rsid w:val="00CE0C49"/>
    <w:rsid w:val="00CE1342"/>
    <w:rsid w:val="00CE1663"/>
    <w:rsid w:val="00CE1669"/>
    <w:rsid w:val="00CE26C7"/>
    <w:rsid w:val="00CE5AEB"/>
    <w:rsid w:val="00CE6329"/>
    <w:rsid w:val="00CE6A03"/>
    <w:rsid w:val="00CE7A94"/>
    <w:rsid w:val="00CF1308"/>
    <w:rsid w:val="00CF1F43"/>
    <w:rsid w:val="00CF25A6"/>
    <w:rsid w:val="00CF362F"/>
    <w:rsid w:val="00CF397E"/>
    <w:rsid w:val="00CF3ABE"/>
    <w:rsid w:val="00CF3E80"/>
    <w:rsid w:val="00CF41D9"/>
    <w:rsid w:val="00CF542D"/>
    <w:rsid w:val="00CF56DF"/>
    <w:rsid w:val="00CF59DB"/>
    <w:rsid w:val="00CF5E87"/>
    <w:rsid w:val="00CF63BF"/>
    <w:rsid w:val="00CF7242"/>
    <w:rsid w:val="00CF7D2D"/>
    <w:rsid w:val="00D002B1"/>
    <w:rsid w:val="00D00C37"/>
    <w:rsid w:val="00D010CC"/>
    <w:rsid w:val="00D017D3"/>
    <w:rsid w:val="00D023BE"/>
    <w:rsid w:val="00D0489E"/>
    <w:rsid w:val="00D04E9B"/>
    <w:rsid w:val="00D05450"/>
    <w:rsid w:val="00D0737E"/>
    <w:rsid w:val="00D078C2"/>
    <w:rsid w:val="00D10AC7"/>
    <w:rsid w:val="00D12483"/>
    <w:rsid w:val="00D125B6"/>
    <w:rsid w:val="00D125DE"/>
    <w:rsid w:val="00D13BC9"/>
    <w:rsid w:val="00D1434F"/>
    <w:rsid w:val="00D146A0"/>
    <w:rsid w:val="00D14EA9"/>
    <w:rsid w:val="00D153EC"/>
    <w:rsid w:val="00D166F3"/>
    <w:rsid w:val="00D172B9"/>
    <w:rsid w:val="00D1772C"/>
    <w:rsid w:val="00D1773B"/>
    <w:rsid w:val="00D17D6D"/>
    <w:rsid w:val="00D209B2"/>
    <w:rsid w:val="00D20F81"/>
    <w:rsid w:val="00D21444"/>
    <w:rsid w:val="00D235FE"/>
    <w:rsid w:val="00D24B4C"/>
    <w:rsid w:val="00D24D34"/>
    <w:rsid w:val="00D25AE2"/>
    <w:rsid w:val="00D25D04"/>
    <w:rsid w:val="00D260E9"/>
    <w:rsid w:val="00D26BBC"/>
    <w:rsid w:val="00D27457"/>
    <w:rsid w:val="00D277E6"/>
    <w:rsid w:val="00D30256"/>
    <w:rsid w:val="00D30C9A"/>
    <w:rsid w:val="00D3154B"/>
    <w:rsid w:val="00D31F05"/>
    <w:rsid w:val="00D322A5"/>
    <w:rsid w:val="00D33FFE"/>
    <w:rsid w:val="00D34158"/>
    <w:rsid w:val="00D34A8D"/>
    <w:rsid w:val="00D355CF"/>
    <w:rsid w:val="00D355D4"/>
    <w:rsid w:val="00D358F4"/>
    <w:rsid w:val="00D35AE5"/>
    <w:rsid w:val="00D3664A"/>
    <w:rsid w:val="00D367E2"/>
    <w:rsid w:val="00D378FE"/>
    <w:rsid w:val="00D37BB6"/>
    <w:rsid w:val="00D37F02"/>
    <w:rsid w:val="00D40C6F"/>
    <w:rsid w:val="00D41702"/>
    <w:rsid w:val="00D41873"/>
    <w:rsid w:val="00D41CC2"/>
    <w:rsid w:val="00D41D85"/>
    <w:rsid w:val="00D433A8"/>
    <w:rsid w:val="00D439B6"/>
    <w:rsid w:val="00D4444E"/>
    <w:rsid w:val="00D444BE"/>
    <w:rsid w:val="00D445A1"/>
    <w:rsid w:val="00D44E92"/>
    <w:rsid w:val="00D45032"/>
    <w:rsid w:val="00D453D9"/>
    <w:rsid w:val="00D46CA2"/>
    <w:rsid w:val="00D501D0"/>
    <w:rsid w:val="00D51A03"/>
    <w:rsid w:val="00D52AC5"/>
    <w:rsid w:val="00D52C5A"/>
    <w:rsid w:val="00D540C1"/>
    <w:rsid w:val="00D54A00"/>
    <w:rsid w:val="00D556C4"/>
    <w:rsid w:val="00D574FF"/>
    <w:rsid w:val="00D575E9"/>
    <w:rsid w:val="00D6274B"/>
    <w:rsid w:val="00D62790"/>
    <w:rsid w:val="00D63767"/>
    <w:rsid w:val="00D646F8"/>
    <w:rsid w:val="00D64FDC"/>
    <w:rsid w:val="00D65EA9"/>
    <w:rsid w:val="00D66200"/>
    <w:rsid w:val="00D66C63"/>
    <w:rsid w:val="00D7040D"/>
    <w:rsid w:val="00D714BC"/>
    <w:rsid w:val="00D721D9"/>
    <w:rsid w:val="00D722C0"/>
    <w:rsid w:val="00D72642"/>
    <w:rsid w:val="00D73627"/>
    <w:rsid w:val="00D7575D"/>
    <w:rsid w:val="00D75FFA"/>
    <w:rsid w:val="00D767FD"/>
    <w:rsid w:val="00D7727B"/>
    <w:rsid w:val="00D80623"/>
    <w:rsid w:val="00D80654"/>
    <w:rsid w:val="00D81041"/>
    <w:rsid w:val="00D81349"/>
    <w:rsid w:val="00D81F9C"/>
    <w:rsid w:val="00D82C82"/>
    <w:rsid w:val="00D8302A"/>
    <w:rsid w:val="00D83AE4"/>
    <w:rsid w:val="00D843A3"/>
    <w:rsid w:val="00D844A3"/>
    <w:rsid w:val="00D85117"/>
    <w:rsid w:val="00D8538E"/>
    <w:rsid w:val="00D8596D"/>
    <w:rsid w:val="00D85BAB"/>
    <w:rsid w:val="00D85D64"/>
    <w:rsid w:val="00D86819"/>
    <w:rsid w:val="00D869D0"/>
    <w:rsid w:val="00D8749B"/>
    <w:rsid w:val="00D8777D"/>
    <w:rsid w:val="00D901B3"/>
    <w:rsid w:val="00D90A66"/>
    <w:rsid w:val="00D93BC6"/>
    <w:rsid w:val="00D93C80"/>
    <w:rsid w:val="00D945D1"/>
    <w:rsid w:val="00D945FC"/>
    <w:rsid w:val="00D94786"/>
    <w:rsid w:val="00D95823"/>
    <w:rsid w:val="00D95EC9"/>
    <w:rsid w:val="00D95F8A"/>
    <w:rsid w:val="00D9600B"/>
    <w:rsid w:val="00D96C25"/>
    <w:rsid w:val="00D9770B"/>
    <w:rsid w:val="00DA0223"/>
    <w:rsid w:val="00DA0D66"/>
    <w:rsid w:val="00DA0FD2"/>
    <w:rsid w:val="00DA28BC"/>
    <w:rsid w:val="00DA2F89"/>
    <w:rsid w:val="00DA32C5"/>
    <w:rsid w:val="00DA3EBD"/>
    <w:rsid w:val="00DA4DAA"/>
    <w:rsid w:val="00DA5BD3"/>
    <w:rsid w:val="00DA5C34"/>
    <w:rsid w:val="00DA5E09"/>
    <w:rsid w:val="00DA65CE"/>
    <w:rsid w:val="00DA710C"/>
    <w:rsid w:val="00DA749B"/>
    <w:rsid w:val="00DA752A"/>
    <w:rsid w:val="00DA7907"/>
    <w:rsid w:val="00DB067A"/>
    <w:rsid w:val="00DB3034"/>
    <w:rsid w:val="00DB32F6"/>
    <w:rsid w:val="00DB5533"/>
    <w:rsid w:val="00DB5F83"/>
    <w:rsid w:val="00DB6C43"/>
    <w:rsid w:val="00DB6EB7"/>
    <w:rsid w:val="00DB74E0"/>
    <w:rsid w:val="00DC0D41"/>
    <w:rsid w:val="00DC154E"/>
    <w:rsid w:val="00DC2A1E"/>
    <w:rsid w:val="00DC2BD3"/>
    <w:rsid w:val="00DC31F4"/>
    <w:rsid w:val="00DC3533"/>
    <w:rsid w:val="00DC46D7"/>
    <w:rsid w:val="00DC48A7"/>
    <w:rsid w:val="00DC4AE2"/>
    <w:rsid w:val="00DC51D8"/>
    <w:rsid w:val="00DC542E"/>
    <w:rsid w:val="00DC5764"/>
    <w:rsid w:val="00DC5B8C"/>
    <w:rsid w:val="00DC6189"/>
    <w:rsid w:val="00DC668E"/>
    <w:rsid w:val="00DC6759"/>
    <w:rsid w:val="00DC68EF"/>
    <w:rsid w:val="00DC6F6F"/>
    <w:rsid w:val="00DC7515"/>
    <w:rsid w:val="00DD00F5"/>
    <w:rsid w:val="00DD08AF"/>
    <w:rsid w:val="00DD0E39"/>
    <w:rsid w:val="00DD21B7"/>
    <w:rsid w:val="00DD247A"/>
    <w:rsid w:val="00DD2775"/>
    <w:rsid w:val="00DD44F2"/>
    <w:rsid w:val="00DD4FC1"/>
    <w:rsid w:val="00DD5334"/>
    <w:rsid w:val="00DD5955"/>
    <w:rsid w:val="00DD5E31"/>
    <w:rsid w:val="00DD698F"/>
    <w:rsid w:val="00DD6C41"/>
    <w:rsid w:val="00DD6EAE"/>
    <w:rsid w:val="00DE011D"/>
    <w:rsid w:val="00DE0ADF"/>
    <w:rsid w:val="00DE0BE7"/>
    <w:rsid w:val="00DE186F"/>
    <w:rsid w:val="00DE1957"/>
    <w:rsid w:val="00DE1FBB"/>
    <w:rsid w:val="00DE3FC8"/>
    <w:rsid w:val="00DE42F9"/>
    <w:rsid w:val="00DE44E7"/>
    <w:rsid w:val="00DE7361"/>
    <w:rsid w:val="00DE7830"/>
    <w:rsid w:val="00DE7A51"/>
    <w:rsid w:val="00DF0206"/>
    <w:rsid w:val="00DF0885"/>
    <w:rsid w:val="00DF0BAB"/>
    <w:rsid w:val="00DF19AE"/>
    <w:rsid w:val="00DF1BE9"/>
    <w:rsid w:val="00DF21A8"/>
    <w:rsid w:val="00DF3F9C"/>
    <w:rsid w:val="00DF409E"/>
    <w:rsid w:val="00DF59DC"/>
    <w:rsid w:val="00DF6ADE"/>
    <w:rsid w:val="00DF77D5"/>
    <w:rsid w:val="00DF7C5F"/>
    <w:rsid w:val="00E00781"/>
    <w:rsid w:val="00E00D32"/>
    <w:rsid w:val="00E00D68"/>
    <w:rsid w:val="00E01287"/>
    <w:rsid w:val="00E012DA"/>
    <w:rsid w:val="00E013DC"/>
    <w:rsid w:val="00E039C0"/>
    <w:rsid w:val="00E03BF3"/>
    <w:rsid w:val="00E0467C"/>
    <w:rsid w:val="00E04D49"/>
    <w:rsid w:val="00E04F74"/>
    <w:rsid w:val="00E0506D"/>
    <w:rsid w:val="00E050A5"/>
    <w:rsid w:val="00E066B6"/>
    <w:rsid w:val="00E06E79"/>
    <w:rsid w:val="00E072EF"/>
    <w:rsid w:val="00E07621"/>
    <w:rsid w:val="00E10802"/>
    <w:rsid w:val="00E11ADC"/>
    <w:rsid w:val="00E11BF3"/>
    <w:rsid w:val="00E11EFF"/>
    <w:rsid w:val="00E1288A"/>
    <w:rsid w:val="00E12B9C"/>
    <w:rsid w:val="00E143B1"/>
    <w:rsid w:val="00E15BB7"/>
    <w:rsid w:val="00E16989"/>
    <w:rsid w:val="00E16C05"/>
    <w:rsid w:val="00E17599"/>
    <w:rsid w:val="00E17D78"/>
    <w:rsid w:val="00E20944"/>
    <w:rsid w:val="00E21E23"/>
    <w:rsid w:val="00E224FA"/>
    <w:rsid w:val="00E23146"/>
    <w:rsid w:val="00E238A2"/>
    <w:rsid w:val="00E24002"/>
    <w:rsid w:val="00E240F3"/>
    <w:rsid w:val="00E24CE0"/>
    <w:rsid w:val="00E254AB"/>
    <w:rsid w:val="00E25936"/>
    <w:rsid w:val="00E25BF0"/>
    <w:rsid w:val="00E25D98"/>
    <w:rsid w:val="00E262E2"/>
    <w:rsid w:val="00E27418"/>
    <w:rsid w:val="00E27FE8"/>
    <w:rsid w:val="00E30EBE"/>
    <w:rsid w:val="00E3120B"/>
    <w:rsid w:val="00E31A13"/>
    <w:rsid w:val="00E32055"/>
    <w:rsid w:val="00E32DD3"/>
    <w:rsid w:val="00E3306C"/>
    <w:rsid w:val="00E331B0"/>
    <w:rsid w:val="00E344F2"/>
    <w:rsid w:val="00E35403"/>
    <w:rsid w:val="00E35D69"/>
    <w:rsid w:val="00E35E36"/>
    <w:rsid w:val="00E36351"/>
    <w:rsid w:val="00E36522"/>
    <w:rsid w:val="00E37146"/>
    <w:rsid w:val="00E4057B"/>
    <w:rsid w:val="00E41B81"/>
    <w:rsid w:val="00E44173"/>
    <w:rsid w:val="00E443F2"/>
    <w:rsid w:val="00E47D60"/>
    <w:rsid w:val="00E50D0E"/>
    <w:rsid w:val="00E50D47"/>
    <w:rsid w:val="00E51048"/>
    <w:rsid w:val="00E51130"/>
    <w:rsid w:val="00E5287E"/>
    <w:rsid w:val="00E53E40"/>
    <w:rsid w:val="00E542C2"/>
    <w:rsid w:val="00E5475B"/>
    <w:rsid w:val="00E552B4"/>
    <w:rsid w:val="00E561DB"/>
    <w:rsid w:val="00E56378"/>
    <w:rsid w:val="00E56C5F"/>
    <w:rsid w:val="00E578AA"/>
    <w:rsid w:val="00E57E96"/>
    <w:rsid w:val="00E57EE4"/>
    <w:rsid w:val="00E60D80"/>
    <w:rsid w:val="00E62AF4"/>
    <w:rsid w:val="00E63059"/>
    <w:rsid w:val="00E64905"/>
    <w:rsid w:val="00E65B3A"/>
    <w:rsid w:val="00E65C2B"/>
    <w:rsid w:val="00E65EB9"/>
    <w:rsid w:val="00E6694C"/>
    <w:rsid w:val="00E66D9B"/>
    <w:rsid w:val="00E702C2"/>
    <w:rsid w:val="00E70B6F"/>
    <w:rsid w:val="00E71105"/>
    <w:rsid w:val="00E7115E"/>
    <w:rsid w:val="00E71E42"/>
    <w:rsid w:val="00E72E7D"/>
    <w:rsid w:val="00E731A1"/>
    <w:rsid w:val="00E738DB"/>
    <w:rsid w:val="00E75754"/>
    <w:rsid w:val="00E7637B"/>
    <w:rsid w:val="00E77969"/>
    <w:rsid w:val="00E805D5"/>
    <w:rsid w:val="00E8199A"/>
    <w:rsid w:val="00E81D1E"/>
    <w:rsid w:val="00E824D3"/>
    <w:rsid w:val="00E824FD"/>
    <w:rsid w:val="00E82C70"/>
    <w:rsid w:val="00E84712"/>
    <w:rsid w:val="00E8496F"/>
    <w:rsid w:val="00E8573F"/>
    <w:rsid w:val="00E85F8A"/>
    <w:rsid w:val="00E8619C"/>
    <w:rsid w:val="00E86C08"/>
    <w:rsid w:val="00E87B41"/>
    <w:rsid w:val="00E87CDB"/>
    <w:rsid w:val="00E87E89"/>
    <w:rsid w:val="00E908C5"/>
    <w:rsid w:val="00E9164B"/>
    <w:rsid w:val="00E91975"/>
    <w:rsid w:val="00E92F44"/>
    <w:rsid w:val="00E93E4B"/>
    <w:rsid w:val="00E94009"/>
    <w:rsid w:val="00E94078"/>
    <w:rsid w:val="00E942EE"/>
    <w:rsid w:val="00E95708"/>
    <w:rsid w:val="00E958A8"/>
    <w:rsid w:val="00E95F03"/>
    <w:rsid w:val="00E96C2C"/>
    <w:rsid w:val="00E97B42"/>
    <w:rsid w:val="00EA018F"/>
    <w:rsid w:val="00EA0F32"/>
    <w:rsid w:val="00EA1D25"/>
    <w:rsid w:val="00EA1D7D"/>
    <w:rsid w:val="00EA1F3F"/>
    <w:rsid w:val="00EA27A8"/>
    <w:rsid w:val="00EA292D"/>
    <w:rsid w:val="00EA351F"/>
    <w:rsid w:val="00EA3B8C"/>
    <w:rsid w:val="00EA3C2C"/>
    <w:rsid w:val="00EA454E"/>
    <w:rsid w:val="00EA5006"/>
    <w:rsid w:val="00EA5B8E"/>
    <w:rsid w:val="00EA737E"/>
    <w:rsid w:val="00EA7944"/>
    <w:rsid w:val="00EB0CFB"/>
    <w:rsid w:val="00EB0D19"/>
    <w:rsid w:val="00EB10C4"/>
    <w:rsid w:val="00EB2311"/>
    <w:rsid w:val="00EB2D94"/>
    <w:rsid w:val="00EB4BC3"/>
    <w:rsid w:val="00EB4D52"/>
    <w:rsid w:val="00EB4F11"/>
    <w:rsid w:val="00EB5BC9"/>
    <w:rsid w:val="00EB5F71"/>
    <w:rsid w:val="00EB68D1"/>
    <w:rsid w:val="00EB759B"/>
    <w:rsid w:val="00EB76CC"/>
    <w:rsid w:val="00EB7952"/>
    <w:rsid w:val="00EB7FCB"/>
    <w:rsid w:val="00EC017F"/>
    <w:rsid w:val="00EC0635"/>
    <w:rsid w:val="00EC1153"/>
    <w:rsid w:val="00EC1819"/>
    <w:rsid w:val="00EC22D7"/>
    <w:rsid w:val="00EC34D5"/>
    <w:rsid w:val="00EC3B6A"/>
    <w:rsid w:val="00EC4412"/>
    <w:rsid w:val="00EC4803"/>
    <w:rsid w:val="00EC5045"/>
    <w:rsid w:val="00EC64AB"/>
    <w:rsid w:val="00EC6DDF"/>
    <w:rsid w:val="00EC7772"/>
    <w:rsid w:val="00EC7862"/>
    <w:rsid w:val="00EC7888"/>
    <w:rsid w:val="00EC79EF"/>
    <w:rsid w:val="00ED00F6"/>
    <w:rsid w:val="00ED11A5"/>
    <w:rsid w:val="00ED17CB"/>
    <w:rsid w:val="00ED20EB"/>
    <w:rsid w:val="00ED2190"/>
    <w:rsid w:val="00ED2432"/>
    <w:rsid w:val="00ED2D34"/>
    <w:rsid w:val="00ED2E7A"/>
    <w:rsid w:val="00ED33DD"/>
    <w:rsid w:val="00ED3989"/>
    <w:rsid w:val="00ED3A37"/>
    <w:rsid w:val="00ED3B7E"/>
    <w:rsid w:val="00ED4655"/>
    <w:rsid w:val="00ED479C"/>
    <w:rsid w:val="00ED496A"/>
    <w:rsid w:val="00ED4DB6"/>
    <w:rsid w:val="00ED5049"/>
    <w:rsid w:val="00ED5AC9"/>
    <w:rsid w:val="00ED62DD"/>
    <w:rsid w:val="00ED6FC0"/>
    <w:rsid w:val="00ED79A4"/>
    <w:rsid w:val="00ED7EA3"/>
    <w:rsid w:val="00ED7EBF"/>
    <w:rsid w:val="00EE20C3"/>
    <w:rsid w:val="00EE2E08"/>
    <w:rsid w:val="00EE3210"/>
    <w:rsid w:val="00EE4B2E"/>
    <w:rsid w:val="00EE4CF5"/>
    <w:rsid w:val="00EE5148"/>
    <w:rsid w:val="00EE54E6"/>
    <w:rsid w:val="00EE6DD6"/>
    <w:rsid w:val="00EE7024"/>
    <w:rsid w:val="00EE7D37"/>
    <w:rsid w:val="00EF0AC9"/>
    <w:rsid w:val="00EF1240"/>
    <w:rsid w:val="00EF15A9"/>
    <w:rsid w:val="00EF1E06"/>
    <w:rsid w:val="00EF1F4F"/>
    <w:rsid w:val="00EF24A8"/>
    <w:rsid w:val="00EF34A9"/>
    <w:rsid w:val="00EF4469"/>
    <w:rsid w:val="00EF4C91"/>
    <w:rsid w:val="00EF4CA0"/>
    <w:rsid w:val="00EF5692"/>
    <w:rsid w:val="00EF649E"/>
    <w:rsid w:val="00EF64D4"/>
    <w:rsid w:val="00EF685C"/>
    <w:rsid w:val="00EF7E72"/>
    <w:rsid w:val="00F01250"/>
    <w:rsid w:val="00F01429"/>
    <w:rsid w:val="00F0146F"/>
    <w:rsid w:val="00F01862"/>
    <w:rsid w:val="00F02480"/>
    <w:rsid w:val="00F03487"/>
    <w:rsid w:val="00F05054"/>
    <w:rsid w:val="00F05D2D"/>
    <w:rsid w:val="00F072B7"/>
    <w:rsid w:val="00F077CF"/>
    <w:rsid w:val="00F07A5F"/>
    <w:rsid w:val="00F07FCC"/>
    <w:rsid w:val="00F11043"/>
    <w:rsid w:val="00F12534"/>
    <w:rsid w:val="00F13019"/>
    <w:rsid w:val="00F13068"/>
    <w:rsid w:val="00F144EF"/>
    <w:rsid w:val="00F1476D"/>
    <w:rsid w:val="00F1483E"/>
    <w:rsid w:val="00F1492D"/>
    <w:rsid w:val="00F14995"/>
    <w:rsid w:val="00F157B0"/>
    <w:rsid w:val="00F1597F"/>
    <w:rsid w:val="00F15E61"/>
    <w:rsid w:val="00F16AAD"/>
    <w:rsid w:val="00F1701A"/>
    <w:rsid w:val="00F1704A"/>
    <w:rsid w:val="00F17963"/>
    <w:rsid w:val="00F20120"/>
    <w:rsid w:val="00F2063D"/>
    <w:rsid w:val="00F214EA"/>
    <w:rsid w:val="00F21622"/>
    <w:rsid w:val="00F2278D"/>
    <w:rsid w:val="00F22B06"/>
    <w:rsid w:val="00F23101"/>
    <w:rsid w:val="00F23AA1"/>
    <w:rsid w:val="00F23CC4"/>
    <w:rsid w:val="00F23F33"/>
    <w:rsid w:val="00F25BF3"/>
    <w:rsid w:val="00F2655F"/>
    <w:rsid w:val="00F2696E"/>
    <w:rsid w:val="00F274EC"/>
    <w:rsid w:val="00F27C2A"/>
    <w:rsid w:val="00F30E97"/>
    <w:rsid w:val="00F3175B"/>
    <w:rsid w:val="00F317AF"/>
    <w:rsid w:val="00F31FE4"/>
    <w:rsid w:val="00F3202C"/>
    <w:rsid w:val="00F32A48"/>
    <w:rsid w:val="00F3348A"/>
    <w:rsid w:val="00F34F36"/>
    <w:rsid w:val="00F3638B"/>
    <w:rsid w:val="00F364AE"/>
    <w:rsid w:val="00F375BF"/>
    <w:rsid w:val="00F40053"/>
    <w:rsid w:val="00F40086"/>
    <w:rsid w:val="00F40304"/>
    <w:rsid w:val="00F413A4"/>
    <w:rsid w:val="00F41987"/>
    <w:rsid w:val="00F420D9"/>
    <w:rsid w:val="00F429CA"/>
    <w:rsid w:val="00F43148"/>
    <w:rsid w:val="00F4375D"/>
    <w:rsid w:val="00F44D02"/>
    <w:rsid w:val="00F45210"/>
    <w:rsid w:val="00F4566C"/>
    <w:rsid w:val="00F45F3C"/>
    <w:rsid w:val="00F45F5D"/>
    <w:rsid w:val="00F4686A"/>
    <w:rsid w:val="00F46BBC"/>
    <w:rsid w:val="00F47645"/>
    <w:rsid w:val="00F47924"/>
    <w:rsid w:val="00F507CB"/>
    <w:rsid w:val="00F51FF0"/>
    <w:rsid w:val="00F5215A"/>
    <w:rsid w:val="00F528FB"/>
    <w:rsid w:val="00F52EBD"/>
    <w:rsid w:val="00F5308A"/>
    <w:rsid w:val="00F53697"/>
    <w:rsid w:val="00F5386B"/>
    <w:rsid w:val="00F53BD2"/>
    <w:rsid w:val="00F53C52"/>
    <w:rsid w:val="00F53DA2"/>
    <w:rsid w:val="00F54016"/>
    <w:rsid w:val="00F54E97"/>
    <w:rsid w:val="00F569F2"/>
    <w:rsid w:val="00F56B32"/>
    <w:rsid w:val="00F56C5F"/>
    <w:rsid w:val="00F56D91"/>
    <w:rsid w:val="00F56D9D"/>
    <w:rsid w:val="00F578C4"/>
    <w:rsid w:val="00F57BAC"/>
    <w:rsid w:val="00F57DF1"/>
    <w:rsid w:val="00F602ED"/>
    <w:rsid w:val="00F60B00"/>
    <w:rsid w:val="00F6154E"/>
    <w:rsid w:val="00F61806"/>
    <w:rsid w:val="00F62CD0"/>
    <w:rsid w:val="00F6392A"/>
    <w:rsid w:val="00F64FE3"/>
    <w:rsid w:val="00F650C2"/>
    <w:rsid w:val="00F65293"/>
    <w:rsid w:val="00F66023"/>
    <w:rsid w:val="00F66FB4"/>
    <w:rsid w:val="00F67898"/>
    <w:rsid w:val="00F701C8"/>
    <w:rsid w:val="00F712B6"/>
    <w:rsid w:val="00F71483"/>
    <w:rsid w:val="00F714FA"/>
    <w:rsid w:val="00F71636"/>
    <w:rsid w:val="00F71779"/>
    <w:rsid w:val="00F722D2"/>
    <w:rsid w:val="00F72A97"/>
    <w:rsid w:val="00F72BEA"/>
    <w:rsid w:val="00F738A7"/>
    <w:rsid w:val="00F74078"/>
    <w:rsid w:val="00F7447E"/>
    <w:rsid w:val="00F74EC2"/>
    <w:rsid w:val="00F753F5"/>
    <w:rsid w:val="00F75D9E"/>
    <w:rsid w:val="00F7664F"/>
    <w:rsid w:val="00F76BD2"/>
    <w:rsid w:val="00F801D3"/>
    <w:rsid w:val="00F818F8"/>
    <w:rsid w:val="00F81E6B"/>
    <w:rsid w:val="00F8358E"/>
    <w:rsid w:val="00F8444B"/>
    <w:rsid w:val="00F84DB8"/>
    <w:rsid w:val="00F8539B"/>
    <w:rsid w:val="00F859B5"/>
    <w:rsid w:val="00F85DA5"/>
    <w:rsid w:val="00F87029"/>
    <w:rsid w:val="00F87C11"/>
    <w:rsid w:val="00F900DD"/>
    <w:rsid w:val="00F900DE"/>
    <w:rsid w:val="00F912FE"/>
    <w:rsid w:val="00F914C3"/>
    <w:rsid w:val="00F9296A"/>
    <w:rsid w:val="00F93940"/>
    <w:rsid w:val="00F9565B"/>
    <w:rsid w:val="00F97096"/>
    <w:rsid w:val="00F9722B"/>
    <w:rsid w:val="00FA025B"/>
    <w:rsid w:val="00FA0B94"/>
    <w:rsid w:val="00FA0EB3"/>
    <w:rsid w:val="00FA0F77"/>
    <w:rsid w:val="00FA1D44"/>
    <w:rsid w:val="00FA21C6"/>
    <w:rsid w:val="00FA229F"/>
    <w:rsid w:val="00FA3688"/>
    <w:rsid w:val="00FA3C95"/>
    <w:rsid w:val="00FA69E6"/>
    <w:rsid w:val="00FA6A75"/>
    <w:rsid w:val="00FA7864"/>
    <w:rsid w:val="00FB03C2"/>
    <w:rsid w:val="00FB07B0"/>
    <w:rsid w:val="00FB0E25"/>
    <w:rsid w:val="00FB1BFB"/>
    <w:rsid w:val="00FB1C43"/>
    <w:rsid w:val="00FB1E06"/>
    <w:rsid w:val="00FB2719"/>
    <w:rsid w:val="00FB2E0A"/>
    <w:rsid w:val="00FB38EB"/>
    <w:rsid w:val="00FB3CE7"/>
    <w:rsid w:val="00FB45B4"/>
    <w:rsid w:val="00FB4B68"/>
    <w:rsid w:val="00FB4D3A"/>
    <w:rsid w:val="00FB53C2"/>
    <w:rsid w:val="00FB571B"/>
    <w:rsid w:val="00FB59EB"/>
    <w:rsid w:val="00FB5B43"/>
    <w:rsid w:val="00FB6274"/>
    <w:rsid w:val="00FB658A"/>
    <w:rsid w:val="00FB69F8"/>
    <w:rsid w:val="00FB727A"/>
    <w:rsid w:val="00FB7387"/>
    <w:rsid w:val="00FB78C9"/>
    <w:rsid w:val="00FC07F2"/>
    <w:rsid w:val="00FC1274"/>
    <w:rsid w:val="00FC14C0"/>
    <w:rsid w:val="00FC1857"/>
    <w:rsid w:val="00FC18B3"/>
    <w:rsid w:val="00FC2302"/>
    <w:rsid w:val="00FC2867"/>
    <w:rsid w:val="00FC2FA1"/>
    <w:rsid w:val="00FC3327"/>
    <w:rsid w:val="00FC3687"/>
    <w:rsid w:val="00FC38A4"/>
    <w:rsid w:val="00FC4BA9"/>
    <w:rsid w:val="00FC51B0"/>
    <w:rsid w:val="00FC524D"/>
    <w:rsid w:val="00FC550C"/>
    <w:rsid w:val="00FC5B7D"/>
    <w:rsid w:val="00FC5D2F"/>
    <w:rsid w:val="00FC73B5"/>
    <w:rsid w:val="00FD00B2"/>
    <w:rsid w:val="00FD084C"/>
    <w:rsid w:val="00FD2110"/>
    <w:rsid w:val="00FD254F"/>
    <w:rsid w:val="00FD2973"/>
    <w:rsid w:val="00FD2BA4"/>
    <w:rsid w:val="00FD79F8"/>
    <w:rsid w:val="00FE191B"/>
    <w:rsid w:val="00FE1C2F"/>
    <w:rsid w:val="00FE25FD"/>
    <w:rsid w:val="00FE34B6"/>
    <w:rsid w:val="00FE3FE9"/>
    <w:rsid w:val="00FE4432"/>
    <w:rsid w:val="00FE4DDC"/>
    <w:rsid w:val="00FE5047"/>
    <w:rsid w:val="00FE517C"/>
    <w:rsid w:val="00FE6A80"/>
    <w:rsid w:val="00FE6CC7"/>
    <w:rsid w:val="00FE7E5B"/>
    <w:rsid w:val="00FF0D86"/>
    <w:rsid w:val="00FF198C"/>
    <w:rsid w:val="00FF233C"/>
    <w:rsid w:val="00FF28CE"/>
    <w:rsid w:val="00FF33FA"/>
    <w:rsid w:val="00FF3EC3"/>
    <w:rsid w:val="00FF417F"/>
    <w:rsid w:val="00FF465F"/>
    <w:rsid w:val="00FF4E1F"/>
    <w:rsid w:val="00FF6157"/>
    <w:rsid w:val="00FF6C39"/>
    <w:rsid w:val="00FF70E1"/>
    <w:rsid w:val="00FF7CA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oNotEmbedSmartTags/>
  <w:decimalSymbol w:val="."/>
  <w:listSeparator w:val=","/>
  <w14:docId w14:val="370799D5"/>
  <w15:docId w15:val="{8BE08D14-F925-47F2-811A-1E8F3930F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before="240" w:after="120"/>
        <w:ind w:left="1021" w:hanging="102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5"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646"/>
    <w:pPr>
      <w:spacing w:after="0"/>
      <w:ind w:left="0" w:firstLine="0"/>
    </w:pPr>
    <w:rPr>
      <w:rFonts w:ascii="Calibri" w:hAnsi="Calibri"/>
    </w:rPr>
  </w:style>
  <w:style w:type="paragraph" w:styleId="Heading1">
    <w:name w:val="heading 1"/>
    <w:basedOn w:val="Normal"/>
    <w:next w:val="BodyText"/>
    <w:link w:val="Heading1Char"/>
    <w:uiPriority w:val="9"/>
    <w:qFormat/>
    <w:rsid w:val="00FC3687"/>
    <w:pPr>
      <w:keepNext/>
      <w:keepLines/>
      <w:numPr>
        <w:numId w:val="21"/>
      </w:numPr>
      <w:spacing w:after="120" w:line="400" w:lineRule="atLeast"/>
      <w:outlineLvl w:val="0"/>
    </w:pPr>
    <w:rPr>
      <w:rFonts w:ascii="Cambria" w:eastAsiaTheme="majorEastAsia" w:hAnsi="Cambria" w:cstheme="majorBidi"/>
      <w:bCs/>
      <w:color w:val="0072B9"/>
      <w:sz w:val="36"/>
      <w:szCs w:val="28"/>
    </w:rPr>
  </w:style>
  <w:style w:type="paragraph" w:styleId="Heading2">
    <w:name w:val="heading 2"/>
    <w:basedOn w:val="Normal"/>
    <w:next w:val="BodyText"/>
    <w:link w:val="Heading2Char"/>
    <w:uiPriority w:val="9"/>
    <w:qFormat/>
    <w:rsid w:val="00FC3687"/>
    <w:pPr>
      <w:keepNext/>
      <w:keepLines/>
      <w:numPr>
        <w:ilvl w:val="1"/>
        <w:numId w:val="21"/>
      </w:numPr>
      <w:spacing w:after="200" w:line="280" w:lineRule="atLeast"/>
      <w:outlineLvl w:val="1"/>
    </w:pPr>
    <w:rPr>
      <w:rFonts w:ascii="Cambria" w:eastAsiaTheme="majorEastAsia" w:hAnsi="Cambria" w:cstheme="majorBidi"/>
      <w:bCs/>
      <w:color w:val="0072B9"/>
      <w:sz w:val="26"/>
      <w:szCs w:val="26"/>
    </w:rPr>
  </w:style>
  <w:style w:type="paragraph" w:styleId="Heading3">
    <w:name w:val="heading 3"/>
    <w:basedOn w:val="Normal"/>
    <w:next w:val="BodyText"/>
    <w:link w:val="Heading3Char"/>
    <w:uiPriority w:val="9"/>
    <w:qFormat/>
    <w:rsid w:val="007E1F48"/>
    <w:pPr>
      <w:keepNext/>
      <w:keepLines/>
      <w:numPr>
        <w:ilvl w:val="2"/>
        <w:numId w:val="21"/>
      </w:numPr>
      <w:spacing w:before="200" w:after="120"/>
      <w:outlineLvl w:val="2"/>
    </w:pPr>
    <w:rPr>
      <w:rFonts w:ascii="Cambria" w:eastAsiaTheme="majorEastAsia" w:hAnsi="Cambria" w:cstheme="majorBidi"/>
      <w:b/>
      <w:bCs/>
      <w:color w:val="0072B9"/>
    </w:rPr>
  </w:style>
  <w:style w:type="paragraph" w:styleId="Heading4">
    <w:name w:val="heading 4"/>
    <w:basedOn w:val="Normal"/>
    <w:next w:val="BodyText"/>
    <w:link w:val="Heading4Char"/>
    <w:uiPriority w:val="9"/>
    <w:qFormat/>
    <w:rsid w:val="004E1F67"/>
    <w:pPr>
      <w:keepNext/>
      <w:keepLines/>
      <w:numPr>
        <w:ilvl w:val="3"/>
        <w:numId w:val="21"/>
      </w:numPr>
      <w:spacing w:before="200" w:after="120"/>
      <w:outlineLvl w:val="3"/>
    </w:pPr>
    <w:rPr>
      <w:rFonts w:ascii="Cambria" w:eastAsiaTheme="majorEastAsia" w:hAnsi="Cambria" w:cstheme="majorBidi"/>
      <w:b/>
      <w:bCs/>
      <w:iCs/>
    </w:rPr>
  </w:style>
  <w:style w:type="paragraph" w:styleId="Heading5">
    <w:name w:val="heading 5"/>
    <w:basedOn w:val="Normal"/>
    <w:next w:val="BodyText"/>
    <w:uiPriority w:val="9"/>
    <w:qFormat/>
    <w:rsid w:val="004E1F67"/>
    <w:pPr>
      <w:keepNext/>
      <w:keepLines/>
      <w:numPr>
        <w:ilvl w:val="4"/>
        <w:numId w:val="21"/>
      </w:numPr>
      <w:spacing w:before="200" w:after="120"/>
      <w:outlineLvl w:val="4"/>
    </w:pPr>
    <w:rPr>
      <w:rFonts w:ascii="Cambria" w:eastAsiaTheme="majorEastAsia" w:hAnsi="Cambria" w:cstheme="majorBidi"/>
    </w:rPr>
  </w:style>
  <w:style w:type="paragraph" w:styleId="Heading6">
    <w:name w:val="heading 6"/>
    <w:basedOn w:val="Normal"/>
    <w:next w:val="Normal"/>
    <w:unhideWhenUsed/>
    <w:qFormat/>
    <w:rsid w:val="00A0420F"/>
    <w:pPr>
      <w:keepNext/>
      <w:keepLines/>
      <w:numPr>
        <w:ilvl w:val="5"/>
        <w:numId w:val="19"/>
      </w:numPr>
      <w:spacing w:before="200"/>
      <w:outlineLvl w:val="5"/>
    </w:pPr>
    <w:rPr>
      <w:rFonts w:asciiTheme="majorHAnsi" w:eastAsiaTheme="majorEastAsia" w:hAnsiTheme="majorHAnsi" w:cstheme="majorBidi"/>
      <w:i/>
      <w:iCs/>
      <w:color w:val="003847" w:themeColor="accent1" w:themeShade="7F"/>
    </w:rPr>
  </w:style>
  <w:style w:type="paragraph" w:styleId="Heading7">
    <w:name w:val="heading 7"/>
    <w:basedOn w:val="Normal"/>
    <w:next w:val="Normal"/>
    <w:uiPriority w:val="9"/>
    <w:semiHidden/>
    <w:unhideWhenUsed/>
    <w:qFormat/>
    <w:rsid w:val="00A0420F"/>
    <w:pPr>
      <w:keepNext/>
      <w:keepLines/>
      <w:numPr>
        <w:ilvl w:val="6"/>
        <w:numId w:val="19"/>
      </w:numPr>
      <w:spacing w:before="200"/>
      <w:outlineLvl w:val="6"/>
    </w:pPr>
    <w:rPr>
      <w:rFonts w:asciiTheme="majorHAnsi" w:eastAsiaTheme="majorEastAsia" w:hAnsiTheme="majorHAnsi" w:cstheme="majorBidi"/>
      <w:i/>
      <w:iCs/>
      <w:color w:val="00BBEB" w:themeColor="text1" w:themeTint="BF"/>
    </w:rPr>
  </w:style>
  <w:style w:type="paragraph" w:styleId="Heading8">
    <w:name w:val="heading 8"/>
    <w:basedOn w:val="Normal"/>
    <w:next w:val="Normal"/>
    <w:uiPriority w:val="9"/>
    <w:semiHidden/>
    <w:unhideWhenUsed/>
    <w:qFormat/>
    <w:rsid w:val="00A0420F"/>
    <w:pPr>
      <w:keepNext/>
      <w:keepLines/>
      <w:numPr>
        <w:ilvl w:val="7"/>
        <w:numId w:val="19"/>
      </w:numPr>
      <w:spacing w:before="200"/>
      <w:outlineLvl w:val="7"/>
    </w:pPr>
    <w:rPr>
      <w:rFonts w:asciiTheme="majorHAnsi" w:eastAsiaTheme="majorEastAsia" w:hAnsiTheme="majorHAnsi" w:cstheme="majorBidi"/>
      <w:color w:val="00BBEB" w:themeColor="text1" w:themeTint="BF"/>
      <w:sz w:val="20"/>
      <w:szCs w:val="20"/>
    </w:rPr>
  </w:style>
  <w:style w:type="paragraph" w:styleId="Heading9">
    <w:name w:val="heading 9"/>
    <w:basedOn w:val="Normal"/>
    <w:next w:val="Normal"/>
    <w:uiPriority w:val="9"/>
    <w:semiHidden/>
    <w:unhideWhenUsed/>
    <w:qFormat/>
    <w:rsid w:val="00A0420F"/>
    <w:pPr>
      <w:keepNext/>
      <w:keepLines/>
      <w:numPr>
        <w:ilvl w:val="8"/>
        <w:numId w:val="19"/>
      </w:numPr>
      <w:spacing w:before="200"/>
      <w:outlineLvl w:val="8"/>
    </w:pPr>
    <w:rPr>
      <w:rFonts w:asciiTheme="majorHAnsi" w:eastAsiaTheme="majorEastAsia" w:hAnsiTheme="majorHAnsi" w:cstheme="majorBidi"/>
      <w:i/>
      <w:iCs/>
      <w:color w:val="00BBEB"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A5622"/>
    <w:pPr>
      <w:spacing w:after="240"/>
    </w:pPr>
  </w:style>
  <w:style w:type="paragraph" w:customStyle="1" w:styleId="Titleheading">
    <w:name w:val="Title heading"/>
    <w:basedOn w:val="Normal"/>
    <w:next w:val="BodyText"/>
    <w:uiPriority w:val="15"/>
    <w:qFormat/>
    <w:rsid w:val="00583203"/>
    <w:pPr>
      <w:spacing w:before="480" w:after="360" w:line="440" w:lineRule="atLeast"/>
    </w:pPr>
    <w:rPr>
      <w:rFonts w:asciiTheme="minorHAnsi" w:hAnsiTheme="minorHAnsi"/>
      <w:color w:val="005391"/>
      <w:sz w:val="60"/>
    </w:rPr>
  </w:style>
  <w:style w:type="paragraph" w:customStyle="1" w:styleId="Tablecellheading">
    <w:name w:val="Table cell heading"/>
    <w:basedOn w:val="Tabletext"/>
    <w:uiPriority w:val="12"/>
    <w:qFormat/>
    <w:rsid w:val="009B32C8"/>
    <w:pPr>
      <w:keepNext/>
    </w:pPr>
    <w:rPr>
      <w:bCs/>
      <w:color w:val="FFFFFF"/>
    </w:rPr>
  </w:style>
  <w:style w:type="paragraph" w:customStyle="1" w:styleId="Tabletext">
    <w:name w:val="Table text"/>
    <w:basedOn w:val="BodyText"/>
    <w:uiPriority w:val="12"/>
    <w:qFormat/>
    <w:rsid w:val="00763CB1"/>
    <w:pPr>
      <w:spacing w:before="120" w:after="120"/>
    </w:pPr>
    <w:rPr>
      <w:rFonts w:eastAsia="Calibri" w:cs="Times New Roman"/>
      <w:sz w:val="21"/>
      <w:lang w:eastAsia="en-AU"/>
    </w:rPr>
  </w:style>
  <w:style w:type="paragraph" w:styleId="Caption">
    <w:name w:val="caption"/>
    <w:basedOn w:val="Normal"/>
    <w:next w:val="Normal"/>
    <w:uiPriority w:val="35"/>
    <w:semiHidden/>
    <w:qFormat/>
    <w:rsid w:val="0052764B"/>
    <w:pPr>
      <w:tabs>
        <w:tab w:val="left" w:pos="1021"/>
      </w:tabs>
      <w:spacing w:after="120"/>
      <w:ind w:left="1021" w:hanging="1021"/>
    </w:pPr>
    <w:rPr>
      <w:b/>
      <w:bCs/>
      <w:color w:val="00728F"/>
      <w:sz w:val="18"/>
      <w:szCs w:val="18"/>
    </w:rPr>
  </w:style>
  <w:style w:type="paragraph" w:customStyle="1" w:styleId="Tablecaption">
    <w:name w:val="Table caption"/>
    <w:basedOn w:val="Caption"/>
    <w:next w:val="Tabledescription"/>
    <w:uiPriority w:val="11"/>
    <w:qFormat/>
    <w:rsid w:val="00F602ED"/>
    <w:pPr>
      <w:keepNext/>
    </w:pPr>
    <w:rPr>
      <w:color w:val="0072B9"/>
    </w:rPr>
  </w:style>
  <w:style w:type="character" w:styleId="Strong">
    <w:name w:val="Strong"/>
    <w:basedOn w:val="DefaultParagraphFont"/>
    <w:uiPriority w:val="2"/>
    <w:qFormat/>
    <w:rsid w:val="00BF014B"/>
    <w:rPr>
      <w:b/>
      <w:bCs/>
    </w:rPr>
  </w:style>
  <w:style w:type="paragraph" w:styleId="BalloonText">
    <w:name w:val="Balloon Text"/>
    <w:basedOn w:val="Normal"/>
    <w:uiPriority w:val="99"/>
    <w:semiHidden/>
    <w:rsid w:val="00A66655"/>
    <w:rPr>
      <w:rFonts w:ascii="Tahoma" w:hAnsi="Tahoma" w:cs="Tahoma"/>
      <w:sz w:val="16"/>
      <w:szCs w:val="16"/>
    </w:rPr>
  </w:style>
  <w:style w:type="character" w:styleId="Hyperlink">
    <w:name w:val="Hyperlink"/>
    <w:basedOn w:val="DefaultParagraphFont"/>
    <w:uiPriority w:val="99"/>
    <w:unhideWhenUsed/>
    <w:rsid w:val="00B11651"/>
    <w:rPr>
      <w:color w:val="006DFF"/>
      <w:u w:val="single"/>
    </w:rPr>
  </w:style>
  <w:style w:type="paragraph" w:customStyle="1" w:styleId="Tablebullet-Level1">
    <w:name w:val="Table bullet - Level 1"/>
    <w:basedOn w:val="Tabletext"/>
    <w:uiPriority w:val="13"/>
    <w:qFormat/>
    <w:rsid w:val="00F05D2D"/>
    <w:pPr>
      <w:numPr>
        <w:numId w:val="12"/>
      </w:numPr>
    </w:pPr>
  </w:style>
  <w:style w:type="paragraph" w:customStyle="1" w:styleId="Tabledescription">
    <w:name w:val="Table description"/>
    <w:basedOn w:val="Tablecaption"/>
    <w:uiPriority w:val="11"/>
    <w:qFormat/>
    <w:rsid w:val="0052764B"/>
    <w:pPr>
      <w:tabs>
        <w:tab w:val="clear" w:pos="1021"/>
      </w:tabs>
      <w:spacing w:before="120" w:after="240"/>
      <w:ind w:firstLine="0"/>
    </w:pPr>
    <w:rPr>
      <w:b w:val="0"/>
      <w:color w:val="auto"/>
    </w:rPr>
  </w:style>
  <w:style w:type="paragraph" w:customStyle="1" w:styleId="Endmatter-Heading1">
    <w:name w:val="End matter - Heading 1"/>
    <w:basedOn w:val="Heading1"/>
    <w:next w:val="BodyText"/>
    <w:uiPriority w:val="19"/>
    <w:qFormat/>
    <w:rsid w:val="00FC3687"/>
    <w:pPr>
      <w:pageBreakBefore/>
      <w:numPr>
        <w:numId w:val="22"/>
      </w:numPr>
    </w:pPr>
  </w:style>
  <w:style w:type="paragraph" w:styleId="TOCHeading">
    <w:name w:val="TOC Heading"/>
    <w:basedOn w:val="Heading1"/>
    <w:next w:val="BodyText"/>
    <w:uiPriority w:val="38"/>
    <w:qFormat/>
    <w:rsid w:val="00FC3687"/>
    <w:pPr>
      <w:numPr>
        <w:numId w:val="0"/>
      </w:numPr>
      <w:spacing w:after="360"/>
      <w:outlineLvl w:val="9"/>
    </w:pPr>
    <w:rPr>
      <w:rFonts w:asciiTheme="minorHAnsi" w:hAnsiTheme="minorHAnsi"/>
    </w:rPr>
  </w:style>
  <w:style w:type="paragraph" w:styleId="TOC1">
    <w:name w:val="toc 1"/>
    <w:basedOn w:val="Normal"/>
    <w:next w:val="Normal"/>
    <w:autoRedefine/>
    <w:uiPriority w:val="39"/>
    <w:rsid w:val="00FC3687"/>
    <w:pPr>
      <w:tabs>
        <w:tab w:val="left" w:pos="567"/>
        <w:tab w:val="right" w:leader="dot" w:pos="9029"/>
      </w:tabs>
      <w:spacing w:before="120" w:after="100"/>
      <w:ind w:left="567" w:right="662" w:hanging="567"/>
    </w:pPr>
    <w:rPr>
      <w:noProof/>
      <w:color w:val="0072B9"/>
      <w:sz w:val="24"/>
    </w:rPr>
  </w:style>
  <w:style w:type="paragraph" w:styleId="TOC2">
    <w:name w:val="toc 2"/>
    <w:basedOn w:val="Normal"/>
    <w:next w:val="Normal"/>
    <w:autoRedefine/>
    <w:uiPriority w:val="39"/>
    <w:rsid w:val="00545856"/>
    <w:pPr>
      <w:tabs>
        <w:tab w:val="left" w:pos="1134"/>
        <w:tab w:val="right" w:leader="dot" w:pos="9029"/>
      </w:tabs>
      <w:spacing w:before="0" w:after="100"/>
      <w:ind w:left="1134" w:right="379" w:hanging="567"/>
    </w:pPr>
  </w:style>
  <w:style w:type="paragraph" w:styleId="TOC3">
    <w:name w:val="toc 3"/>
    <w:basedOn w:val="Normal"/>
    <w:next w:val="Normal"/>
    <w:autoRedefine/>
    <w:uiPriority w:val="39"/>
    <w:rsid w:val="002968F3"/>
    <w:pPr>
      <w:tabs>
        <w:tab w:val="left" w:pos="1320"/>
        <w:tab w:val="right" w:leader="dot" w:pos="9016"/>
      </w:tabs>
      <w:spacing w:before="0" w:after="100"/>
      <w:ind w:left="440"/>
    </w:pPr>
    <w:rPr>
      <w:noProof/>
    </w:rPr>
  </w:style>
  <w:style w:type="paragraph" w:customStyle="1" w:styleId="Titlesub-heading">
    <w:name w:val="Title sub-heading"/>
    <w:basedOn w:val="Normal"/>
    <w:next w:val="BodyText"/>
    <w:uiPriority w:val="15"/>
    <w:qFormat/>
    <w:rsid w:val="00FC3687"/>
    <w:pPr>
      <w:spacing w:after="120" w:line="440" w:lineRule="atLeast"/>
      <w:contextualSpacing/>
    </w:pPr>
    <w:rPr>
      <w:rFonts w:ascii="Cambria" w:eastAsiaTheme="majorEastAsia" w:hAnsi="Cambria" w:cstheme="majorBidi"/>
      <w:color w:val="0072B9"/>
      <w:kern w:val="28"/>
      <w:sz w:val="36"/>
      <w:szCs w:val="52"/>
    </w:rPr>
  </w:style>
  <w:style w:type="paragraph" w:customStyle="1" w:styleId="Endmatter-Heading2">
    <w:name w:val="End matter - Heading 2"/>
    <w:basedOn w:val="Heading2"/>
    <w:next w:val="BodyText"/>
    <w:uiPriority w:val="19"/>
    <w:qFormat/>
    <w:rsid w:val="00FC3687"/>
    <w:pPr>
      <w:numPr>
        <w:numId w:val="22"/>
      </w:numPr>
    </w:pPr>
  </w:style>
  <w:style w:type="paragraph" w:styleId="Header">
    <w:name w:val="header"/>
    <w:basedOn w:val="Normal"/>
    <w:link w:val="HeaderChar"/>
    <w:rsid w:val="00FC3687"/>
    <w:pPr>
      <w:tabs>
        <w:tab w:val="center" w:pos="4513"/>
        <w:tab w:val="right" w:pos="9026"/>
      </w:tabs>
      <w:spacing w:before="0"/>
    </w:pPr>
    <w:rPr>
      <w:color w:val="0072C3"/>
      <w:sz w:val="20"/>
    </w:rPr>
  </w:style>
  <w:style w:type="paragraph" w:styleId="Footer">
    <w:name w:val="footer"/>
    <w:basedOn w:val="Normal"/>
    <w:link w:val="FooterChar"/>
    <w:uiPriority w:val="99"/>
    <w:rsid w:val="00FC3687"/>
    <w:pPr>
      <w:tabs>
        <w:tab w:val="center" w:pos="4513"/>
        <w:tab w:val="right" w:pos="9026"/>
      </w:tabs>
    </w:pPr>
    <w:rPr>
      <w:color w:val="FFFFFF" w:themeColor="background1"/>
      <w:sz w:val="20"/>
    </w:rPr>
  </w:style>
  <w:style w:type="paragraph" w:customStyle="1" w:styleId="Bodybullet-Level1">
    <w:name w:val="Body bullet - Level 1"/>
    <w:basedOn w:val="BodyText"/>
    <w:uiPriority w:val="1"/>
    <w:qFormat/>
    <w:rsid w:val="00793DC9"/>
    <w:pPr>
      <w:numPr>
        <w:numId w:val="11"/>
      </w:numPr>
      <w:spacing w:before="120" w:after="180"/>
    </w:pPr>
  </w:style>
  <w:style w:type="paragraph" w:customStyle="1" w:styleId="Bodybullet-Level2">
    <w:name w:val="Body bullet - Level 2"/>
    <w:basedOn w:val="Bodybullet-Level1"/>
    <w:uiPriority w:val="1"/>
    <w:qFormat/>
    <w:rsid w:val="008825AB"/>
    <w:pPr>
      <w:numPr>
        <w:ilvl w:val="1"/>
      </w:numPr>
    </w:pPr>
  </w:style>
  <w:style w:type="paragraph" w:customStyle="1" w:styleId="Bodybullet-Level3">
    <w:name w:val="Body bullet - Level 3"/>
    <w:basedOn w:val="Bodybullet-Level1"/>
    <w:uiPriority w:val="1"/>
    <w:qFormat/>
    <w:rsid w:val="00617129"/>
    <w:pPr>
      <w:numPr>
        <w:ilvl w:val="2"/>
      </w:numPr>
    </w:pPr>
  </w:style>
  <w:style w:type="paragraph" w:customStyle="1" w:styleId="Tablebullet-Level2">
    <w:name w:val="Table bullet - Level 2"/>
    <w:basedOn w:val="Tablebullet-Level1"/>
    <w:uiPriority w:val="13"/>
    <w:qFormat/>
    <w:rsid w:val="00AC37E5"/>
    <w:pPr>
      <w:numPr>
        <w:ilvl w:val="1"/>
      </w:numPr>
    </w:pPr>
  </w:style>
  <w:style w:type="paragraph" w:customStyle="1" w:styleId="Figurecaption">
    <w:name w:val="Figure caption"/>
    <w:basedOn w:val="Caption"/>
    <w:next w:val="Figuredescription"/>
    <w:link w:val="FigurecaptionCharChar"/>
    <w:uiPriority w:val="10"/>
    <w:qFormat/>
    <w:rsid w:val="00FC3687"/>
    <w:pPr>
      <w:keepNext/>
    </w:pPr>
    <w:rPr>
      <w:color w:val="0072B9"/>
    </w:rPr>
  </w:style>
  <w:style w:type="character" w:styleId="PageNumber">
    <w:name w:val="page number"/>
    <w:basedOn w:val="DefaultParagraphFont"/>
    <w:uiPriority w:val="49"/>
    <w:rsid w:val="00FC3687"/>
    <w:rPr>
      <w:color w:val="FFFFFF" w:themeColor="background1"/>
      <w:sz w:val="22"/>
    </w:rPr>
  </w:style>
  <w:style w:type="paragraph" w:customStyle="1" w:styleId="Figuredescription">
    <w:name w:val="Figure description"/>
    <w:basedOn w:val="Figurecaption"/>
    <w:uiPriority w:val="10"/>
    <w:qFormat/>
    <w:rsid w:val="00593A5A"/>
    <w:pPr>
      <w:tabs>
        <w:tab w:val="clear" w:pos="1021"/>
      </w:tabs>
      <w:spacing w:before="120" w:after="240"/>
      <w:ind w:firstLine="0"/>
    </w:pPr>
    <w:rPr>
      <w:b w:val="0"/>
      <w:color w:val="auto"/>
    </w:rPr>
  </w:style>
  <w:style w:type="paragraph" w:customStyle="1" w:styleId="Bodynumbered-Level1">
    <w:name w:val="Body numbered - Level 1"/>
    <w:basedOn w:val="BodyText"/>
    <w:uiPriority w:val="1"/>
    <w:qFormat/>
    <w:rsid w:val="00FC3687"/>
    <w:pPr>
      <w:numPr>
        <w:numId w:val="13"/>
      </w:numPr>
      <w:spacing w:before="120" w:after="180"/>
    </w:pPr>
  </w:style>
  <w:style w:type="paragraph" w:customStyle="1" w:styleId="Bodynumbered-Level2">
    <w:name w:val="Body numbered - Level 2"/>
    <w:basedOn w:val="Bodynumbered-Level1"/>
    <w:uiPriority w:val="1"/>
    <w:qFormat/>
    <w:rsid w:val="00A6258B"/>
    <w:pPr>
      <w:numPr>
        <w:ilvl w:val="1"/>
      </w:numPr>
    </w:pPr>
  </w:style>
  <w:style w:type="paragraph" w:customStyle="1" w:styleId="Bodynumbered-Level3">
    <w:name w:val="Body numbered - Level 3"/>
    <w:basedOn w:val="Bodynumbered-Level1"/>
    <w:uiPriority w:val="1"/>
    <w:qFormat/>
    <w:rsid w:val="00A6258B"/>
    <w:pPr>
      <w:numPr>
        <w:ilvl w:val="2"/>
      </w:numPr>
    </w:pPr>
  </w:style>
  <w:style w:type="paragraph" w:customStyle="1" w:styleId="Preliminaries-Heading1">
    <w:name w:val="Preliminaries - Heading 1"/>
    <w:basedOn w:val="Heading1"/>
    <w:next w:val="BodyText"/>
    <w:uiPriority w:val="18"/>
    <w:qFormat/>
    <w:rsid w:val="007E77FD"/>
    <w:pPr>
      <w:numPr>
        <w:numId w:val="0"/>
      </w:numPr>
    </w:pPr>
  </w:style>
  <w:style w:type="paragraph" w:customStyle="1" w:styleId="Preliminaries-Heading2">
    <w:name w:val="Preliminaries - Heading 2"/>
    <w:basedOn w:val="Heading2"/>
    <w:next w:val="BodyText"/>
    <w:uiPriority w:val="18"/>
    <w:qFormat/>
    <w:rsid w:val="007E77FD"/>
    <w:pPr>
      <w:numPr>
        <w:ilvl w:val="0"/>
        <w:numId w:val="0"/>
      </w:numPr>
    </w:pPr>
  </w:style>
  <w:style w:type="paragraph" w:customStyle="1" w:styleId="Preliminaries-Heading3">
    <w:name w:val="Preliminaries - Heading 3"/>
    <w:basedOn w:val="Heading3"/>
    <w:next w:val="BodyText"/>
    <w:uiPriority w:val="18"/>
    <w:qFormat/>
    <w:rsid w:val="007E77FD"/>
    <w:pPr>
      <w:numPr>
        <w:ilvl w:val="0"/>
        <w:numId w:val="0"/>
      </w:numPr>
    </w:pPr>
  </w:style>
  <w:style w:type="paragraph" w:styleId="FootnoteText">
    <w:name w:val="footnote text"/>
    <w:basedOn w:val="Normal"/>
    <w:link w:val="FootnoteTextChar"/>
    <w:uiPriority w:val="99"/>
    <w:rsid w:val="008D0A94"/>
    <w:rPr>
      <w:sz w:val="20"/>
      <w:szCs w:val="20"/>
    </w:rPr>
  </w:style>
  <w:style w:type="character" w:styleId="FootnoteReference">
    <w:name w:val="footnote reference"/>
    <w:basedOn w:val="DefaultParagraphFont"/>
    <w:uiPriority w:val="99"/>
    <w:rsid w:val="008D0A94"/>
    <w:rPr>
      <w:vertAlign w:val="superscript"/>
    </w:rPr>
  </w:style>
  <w:style w:type="paragraph" w:customStyle="1" w:styleId="Bodytext-Indent">
    <w:name w:val="Body text - Indent"/>
    <w:basedOn w:val="BodyText"/>
    <w:next w:val="BodyText"/>
    <w:qFormat/>
    <w:rsid w:val="00DF7C5F"/>
    <w:pPr>
      <w:ind w:left="340"/>
    </w:pPr>
  </w:style>
  <w:style w:type="paragraph" w:customStyle="1" w:styleId="Boxtext">
    <w:name w:val="Box text"/>
    <w:basedOn w:val="BodyText"/>
    <w:uiPriority w:val="14"/>
    <w:qFormat/>
    <w:rsid w:val="00C26C27"/>
    <w:pPr>
      <w:pBdr>
        <w:top w:val="single" w:sz="4" w:space="8" w:color="0072B9"/>
        <w:left w:val="single" w:sz="4" w:space="8" w:color="0072B9"/>
        <w:bottom w:val="single" w:sz="4" w:space="8" w:color="0072B9"/>
        <w:right w:val="single" w:sz="4" w:space="0" w:color="0072B9"/>
      </w:pBdr>
      <w:shd w:val="clear" w:color="auto" w:fill="E7F5FF"/>
      <w:ind w:left="198"/>
    </w:pPr>
  </w:style>
  <w:style w:type="paragraph" w:customStyle="1" w:styleId="Boxheading">
    <w:name w:val="Box heading"/>
    <w:basedOn w:val="Boxtext"/>
    <w:next w:val="Boxtext"/>
    <w:uiPriority w:val="14"/>
    <w:qFormat/>
    <w:rsid w:val="00FC3687"/>
    <w:pPr>
      <w:spacing w:after="120"/>
    </w:pPr>
    <w:rPr>
      <w:rFonts w:asciiTheme="majorHAnsi" w:hAnsiTheme="majorHAnsi"/>
      <w:color w:val="0072B9"/>
      <w:sz w:val="28"/>
    </w:rPr>
  </w:style>
  <w:style w:type="paragraph" w:customStyle="1" w:styleId="Boxbullet">
    <w:name w:val="Box bullet"/>
    <w:basedOn w:val="Boxtext"/>
    <w:uiPriority w:val="15"/>
    <w:qFormat/>
    <w:rsid w:val="00F01429"/>
    <w:pPr>
      <w:numPr>
        <w:numId w:val="14"/>
      </w:numPr>
      <w:spacing w:before="0" w:after="180"/>
      <w:ind w:left="652" w:hanging="454"/>
    </w:pPr>
  </w:style>
  <w:style w:type="paragraph" w:customStyle="1" w:styleId="Boxsub-heading">
    <w:name w:val="Box sub-heading"/>
    <w:basedOn w:val="Boxtext"/>
    <w:next w:val="Boxtext"/>
    <w:uiPriority w:val="14"/>
    <w:qFormat/>
    <w:rsid w:val="00FC3687"/>
    <w:rPr>
      <w:b/>
      <w:color w:val="0072B9"/>
    </w:rPr>
  </w:style>
  <w:style w:type="paragraph" w:customStyle="1" w:styleId="SourceNotes">
    <w:name w:val="Source/Notes"/>
    <w:basedOn w:val="BodyText"/>
    <w:next w:val="BodyText"/>
    <w:uiPriority w:val="10"/>
    <w:qFormat/>
    <w:rsid w:val="007D6EC3"/>
    <w:pPr>
      <w:spacing w:before="0"/>
    </w:pPr>
    <w:rPr>
      <w:sz w:val="20"/>
    </w:rPr>
  </w:style>
  <w:style w:type="paragraph" w:customStyle="1" w:styleId="Boxcaption">
    <w:name w:val="Box caption"/>
    <w:basedOn w:val="Caption"/>
    <w:uiPriority w:val="14"/>
    <w:qFormat/>
    <w:rsid w:val="00CE04BC"/>
  </w:style>
  <w:style w:type="paragraph" w:customStyle="1" w:styleId="Endmatter-Heading3">
    <w:name w:val="End matter - Heading 3"/>
    <w:basedOn w:val="Heading3"/>
    <w:next w:val="BodyText"/>
    <w:uiPriority w:val="19"/>
    <w:qFormat/>
    <w:rsid w:val="00FC3687"/>
    <w:pPr>
      <w:numPr>
        <w:numId w:val="22"/>
      </w:numPr>
    </w:pPr>
  </w:style>
  <w:style w:type="paragraph" w:customStyle="1" w:styleId="Titledate">
    <w:name w:val="Title date"/>
    <w:basedOn w:val="Normal"/>
    <w:uiPriority w:val="16"/>
    <w:qFormat/>
    <w:rsid w:val="00FC3687"/>
    <w:pPr>
      <w:spacing w:before="80" w:after="120" w:line="460" w:lineRule="atLeast"/>
      <w:contextualSpacing/>
    </w:pPr>
    <w:rPr>
      <w:rFonts w:ascii="Cambria" w:eastAsiaTheme="majorEastAsia" w:hAnsi="Cambria" w:cstheme="majorBidi"/>
      <w:b/>
      <w:color w:val="0072B9"/>
      <w:kern w:val="28"/>
      <w:sz w:val="32"/>
      <w:szCs w:val="52"/>
    </w:rPr>
  </w:style>
  <w:style w:type="paragraph" w:customStyle="1" w:styleId="Boxlist-Numbered">
    <w:name w:val="Box list - Numbered"/>
    <w:basedOn w:val="Boxtext"/>
    <w:uiPriority w:val="15"/>
    <w:qFormat/>
    <w:rsid w:val="00B1447A"/>
    <w:pPr>
      <w:numPr>
        <w:numId w:val="23"/>
      </w:numPr>
      <w:spacing w:before="120" w:after="180"/>
    </w:pPr>
  </w:style>
  <w:style w:type="paragraph" w:customStyle="1" w:styleId="Boxlist-Alpha">
    <w:name w:val="Box list - Alpha"/>
    <w:basedOn w:val="Boxtext"/>
    <w:uiPriority w:val="15"/>
    <w:qFormat/>
    <w:rsid w:val="004B47F1"/>
    <w:pPr>
      <w:numPr>
        <w:numId w:val="15"/>
      </w:numPr>
      <w:spacing w:before="120" w:after="0"/>
    </w:pPr>
  </w:style>
  <w:style w:type="paragraph" w:customStyle="1" w:styleId="FigureImagewithrule">
    <w:name w:val="Figure/Image with rule"/>
    <w:basedOn w:val="BodyText"/>
    <w:next w:val="SourceNotes"/>
    <w:uiPriority w:val="10"/>
    <w:qFormat/>
    <w:rsid w:val="007F1685"/>
    <w:pPr>
      <w:pBdr>
        <w:bottom w:val="single" w:sz="4" w:space="8" w:color="00728F"/>
      </w:pBdr>
      <w:spacing w:after="0"/>
    </w:pPr>
  </w:style>
  <w:style w:type="paragraph" w:customStyle="1" w:styleId="Tablelist-Numbered">
    <w:name w:val="Table list - Numbered"/>
    <w:basedOn w:val="Tabletext"/>
    <w:uiPriority w:val="13"/>
    <w:qFormat/>
    <w:rsid w:val="00EF4469"/>
    <w:pPr>
      <w:numPr>
        <w:numId w:val="16"/>
      </w:numPr>
    </w:pPr>
  </w:style>
  <w:style w:type="paragraph" w:customStyle="1" w:styleId="Tablecellsub-heading">
    <w:name w:val="Table cell sub-heading"/>
    <w:basedOn w:val="Tablecellheading"/>
    <w:uiPriority w:val="12"/>
    <w:qFormat/>
    <w:rsid w:val="00133178"/>
    <w:rPr>
      <w:color w:val="auto"/>
    </w:rPr>
  </w:style>
  <w:style w:type="character" w:styleId="Emphasis">
    <w:name w:val="Emphasis"/>
    <w:basedOn w:val="DefaultParagraphFont"/>
    <w:uiPriority w:val="20"/>
    <w:qFormat/>
    <w:rsid w:val="00D52C5A"/>
    <w:rPr>
      <w:i/>
      <w:iCs/>
    </w:rPr>
  </w:style>
  <w:style w:type="character" w:styleId="CommentReference">
    <w:name w:val="annotation reference"/>
    <w:basedOn w:val="DefaultParagraphFont"/>
    <w:uiPriority w:val="99"/>
    <w:semiHidden/>
    <w:rsid w:val="008F23A9"/>
    <w:rPr>
      <w:sz w:val="16"/>
      <w:szCs w:val="16"/>
    </w:rPr>
  </w:style>
  <w:style w:type="paragraph" w:styleId="CommentText">
    <w:name w:val="annotation text"/>
    <w:basedOn w:val="Normal"/>
    <w:link w:val="CommentTextChar"/>
    <w:uiPriority w:val="99"/>
    <w:semiHidden/>
    <w:rsid w:val="008F23A9"/>
    <w:rPr>
      <w:sz w:val="20"/>
      <w:szCs w:val="20"/>
    </w:rPr>
  </w:style>
  <w:style w:type="paragraph" w:styleId="CommentSubject">
    <w:name w:val="annotation subject"/>
    <w:basedOn w:val="CommentText"/>
    <w:next w:val="CommentText"/>
    <w:uiPriority w:val="99"/>
    <w:semiHidden/>
    <w:rsid w:val="008F23A9"/>
    <w:rPr>
      <w:b/>
      <w:bCs/>
    </w:rPr>
  </w:style>
  <w:style w:type="numbering" w:styleId="111111">
    <w:name w:val="Outline List 2"/>
    <w:basedOn w:val="NoList"/>
    <w:uiPriority w:val="99"/>
    <w:semiHidden/>
    <w:unhideWhenUsed/>
    <w:rsid w:val="00A0420F"/>
    <w:pPr>
      <w:numPr>
        <w:numId w:val="17"/>
      </w:numPr>
    </w:pPr>
  </w:style>
  <w:style w:type="numbering" w:styleId="1ai">
    <w:name w:val="Outline List 1"/>
    <w:basedOn w:val="NoList"/>
    <w:uiPriority w:val="99"/>
    <w:semiHidden/>
    <w:unhideWhenUsed/>
    <w:rsid w:val="00A0420F"/>
    <w:pPr>
      <w:numPr>
        <w:numId w:val="18"/>
      </w:numPr>
    </w:pPr>
  </w:style>
  <w:style w:type="numbering" w:styleId="ArticleSection">
    <w:name w:val="Outline List 3"/>
    <w:basedOn w:val="NoList"/>
    <w:uiPriority w:val="99"/>
    <w:semiHidden/>
    <w:unhideWhenUsed/>
    <w:rsid w:val="00A0420F"/>
    <w:pPr>
      <w:numPr>
        <w:numId w:val="19"/>
      </w:numPr>
    </w:pPr>
  </w:style>
  <w:style w:type="paragraph" w:styleId="Bibliography">
    <w:name w:val="Bibliography"/>
    <w:basedOn w:val="Normal"/>
    <w:next w:val="Normal"/>
    <w:uiPriority w:val="37"/>
    <w:semiHidden/>
    <w:unhideWhenUsed/>
    <w:rsid w:val="00A0420F"/>
  </w:style>
  <w:style w:type="paragraph" w:styleId="BlockText">
    <w:name w:val="Block Text"/>
    <w:basedOn w:val="Normal"/>
    <w:uiPriority w:val="99"/>
    <w:semiHidden/>
    <w:rsid w:val="00A0420F"/>
    <w:pPr>
      <w:pBdr>
        <w:top w:val="single" w:sz="2" w:space="10" w:color="00728F" w:themeColor="accent1" w:shadow="1" w:frame="1"/>
        <w:left w:val="single" w:sz="2" w:space="10" w:color="00728F" w:themeColor="accent1" w:shadow="1" w:frame="1"/>
        <w:bottom w:val="single" w:sz="2" w:space="10" w:color="00728F" w:themeColor="accent1" w:shadow="1" w:frame="1"/>
        <w:right w:val="single" w:sz="2" w:space="10" w:color="00728F" w:themeColor="accent1" w:shadow="1" w:frame="1"/>
      </w:pBdr>
      <w:ind w:left="1152" w:right="1152"/>
    </w:pPr>
    <w:rPr>
      <w:rFonts w:asciiTheme="minorHAnsi" w:eastAsiaTheme="minorEastAsia" w:hAnsiTheme="minorHAnsi"/>
      <w:i/>
      <w:iCs/>
      <w:color w:val="00728F" w:themeColor="accent1"/>
    </w:rPr>
  </w:style>
  <w:style w:type="paragraph" w:styleId="BodyText2">
    <w:name w:val="Body Text 2"/>
    <w:basedOn w:val="Normal"/>
    <w:uiPriority w:val="99"/>
    <w:semiHidden/>
    <w:rsid w:val="00A0420F"/>
    <w:pPr>
      <w:spacing w:after="120" w:line="480" w:lineRule="auto"/>
    </w:pPr>
  </w:style>
  <w:style w:type="paragraph" w:styleId="BodyText3">
    <w:name w:val="Body Text 3"/>
    <w:basedOn w:val="Normal"/>
    <w:uiPriority w:val="99"/>
    <w:semiHidden/>
    <w:rsid w:val="00A0420F"/>
    <w:pPr>
      <w:spacing w:after="120"/>
    </w:pPr>
    <w:rPr>
      <w:sz w:val="16"/>
      <w:szCs w:val="16"/>
    </w:rPr>
  </w:style>
  <w:style w:type="paragraph" w:styleId="BodyTextFirstIndent">
    <w:name w:val="Body Text First Indent"/>
    <w:basedOn w:val="BodyText"/>
    <w:uiPriority w:val="99"/>
    <w:semiHidden/>
    <w:rsid w:val="00A0420F"/>
    <w:pPr>
      <w:spacing w:before="0" w:after="0"/>
      <w:ind w:firstLine="360"/>
    </w:pPr>
  </w:style>
  <w:style w:type="paragraph" w:styleId="BodyTextIndent">
    <w:name w:val="Body Text Indent"/>
    <w:basedOn w:val="Normal"/>
    <w:uiPriority w:val="99"/>
    <w:semiHidden/>
    <w:rsid w:val="00A0420F"/>
    <w:pPr>
      <w:spacing w:after="120"/>
      <w:ind w:left="283"/>
    </w:pPr>
  </w:style>
  <w:style w:type="paragraph" w:styleId="BodyTextFirstIndent2">
    <w:name w:val="Body Text First Indent 2"/>
    <w:basedOn w:val="BodyTextIndent"/>
    <w:uiPriority w:val="99"/>
    <w:semiHidden/>
    <w:rsid w:val="00A0420F"/>
    <w:pPr>
      <w:spacing w:after="0"/>
      <w:ind w:left="360" w:firstLine="360"/>
    </w:pPr>
  </w:style>
  <w:style w:type="paragraph" w:styleId="BodyTextIndent2">
    <w:name w:val="Body Text Indent 2"/>
    <w:basedOn w:val="Normal"/>
    <w:uiPriority w:val="99"/>
    <w:semiHidden/>
    <w:rsid w:val="00A0420F"/>
    <w:pPr>
      <w:spacing w:after="120" w:line="480" w:lineRule="auto"/>
      <w:ind w:left="283"/>
    </w:pPr>
  </w:style>
  <w:style w:type="paragraph" w:styleId="BodyTextIndent3">
    <w:name w:val="Body Text Indent 3"/>
    <w:basedOn w:val="Normal"/>
    <w:uiPriority w:val="99"/>
    <w:semiHidden/>
    <w:rsid w:val="00A0420F"/>
    <w:pPr>
      <w:spacing w:after="120"/>
      <w:ind w:left="283"/>
    </w:pPr>
    <w:rPr>
      <w:sz w:val="16"/>
      <w:szCs w:val="16"/>
    </w:rPr>
  </w:style>
  <w:style w:type="character" w:styleId="BookTitle">
    <w:name w:val="Book Title"/>
    <w:basedOn w:val="DefaultParagraphFont"/>
    <w:uiPriority w:val="33"/>
    <w:semiHidden/>
    <w:qFormat/>
    <w:rsid w:val="00A0420F"/>
    <w:rPr>
      <w:b/>
      <w:bCs/>
      <w:smallCaps/>
      <w:spacing w:val="5"/>
    </w:rPr>
  </w:style>
  <w:style w:type="paragraph" w:styleId="Closing">
    <w:name w:val="Closing"/>
    <w:basedOn w:val="Normal"/>
    <w:link w:val="ClosingChar"/>
    <w:uiPriority w:val="99"/>
    <w:semiHidden/>
    <w:rsid w:val="00A0420F"/>
    <w:pPr>
      <w:ind w:left="4252"/>
    </w:pPr>
  </w:style>
  <w:style w:type="character" w:customStyle="1" w:styleId="ClosingChar">
    <w:name w:val="Closing Char"/>
    <w:basedOn w:val="DefaultParagraphFont"/>
    <w:link w:val="Closing"/>
    <w:uiPriority w:val="99"/>
    <w:semiHidden/>
    <w:rsid w:val="00A0420F"/>
    <w:rPr>
      <w:rFonts w:ascii="Calibri" w:hAnsi="Calibri"/>
    </w:rPr>
  </w:style>
  <w:style w:type="paragraph" w:styleId="Date">
    <w:name w:val="Date"/>
    <w:basedOn w:val="Normal"/>
    <w:next w:val="Normal"/>
    <w:link w:val="DateChar"/>
    <w:uiPriority w:val="99"/>
    <w:semiHidden/>
    <w:rsid w:val="00A0420F"/>
  </w:style>
  <w:style w:type="character" w:customStyle="1" w:styleId="DateChar">
    <w:name w:val="Date Char"/>
    <w:basedOn w:val="DefaultParagraphFont"/>
    <w:link w:val="Date"/>
    <w:uiPriority w:val="99"/>
    <w:semiHidden/>
    <w:rsid w:val="00A0420F"/>
    <w:rPr>
      <w:rFonts w:ascii="Calibri" w:hAnsi="Calibri"/>
    </w:rPr>
  </w:style>
  <w:style w:type="paragraph" w:styleId="DocumentMap">
    <w:name w:val="Document Map"/>
    <w:basedOn w:val="Normal"/>
    <w:link w:val="DocumentMapChar"/>
    <w:uiPriority w:val="99"/>
    <w:semiHidden/>
    <w:rsid w:val="00A0420F"/>
    <w:rPr>
      <w:rFonts w:ascii="Tahoma" w:hAnsi="Tahoma" w:cs="Tahoma"/>
      <w:sz w:val="16"/>
      <w:szCs w:val="16"/>
    </w:rPr>
  </w:style>
  <w:style w:type="character" w:customStyle="1" w:styleId="DocumentMapChar">
    <w:name w:val="Document Map Char"/>
    <w:basedOn w:val="DefaultParagraphFont"/>
    <w:link w:val="DocumentMap"/>
    <w:uiPriority w:val="99"/>
    <w:semiHidden/>
    <w:rsid w:val="00A0420F"/>
    <w:rPr>
      <w:rFonts w:ascii="Tahoma" w:hAnsi="Tahoma" w:cs="Tahoma"/>
      <w:sz w:val="16"/>
      <w:szCs w:val="16"/>
    </w:rPr>
  </w:style>
  <w:style w:type="paragraph" w:styleId="E-mailSignature">
    <w:name w:val="E-mail Signature"/>
    <w:basedOn w:val="Normal"/>
    <w:link w:val="E-mailSignatureChar"/>
    <w:uiPriority w:val="99"/>
    <w:semiHidden/>
    <w:rsid w:val="00A0420F"/>
  </w:style>
  <w:style w:type="character" w:customStyle="1" w:styleId="E-mailSignatureChar">
    <w:name w:val="E-mail Signature Char"/>
    <w:basedOn w:val="DefaultParagraphFont"/>
    <w:link w:val="E-mailSignature"/>
    <w:uiPriority w:val="99"/>
    <w:semiHidden/>
    <w:rsid w:val="00A0420F"/>
    <w:rPr>
      <w:rFonts w:ascii="Calibri" w:hAnsi="Calibri"/>
    </w:rPr>
  </w:style>
  <w:style w:type="character" w:styleId="EndnoteReference">
    <w:name w:val="endnote reference"/>
    <w:basedOn w:val="DefaultParagraphFont"/>
    <w:uiPriority w:val="99"/>
    <w:semiHidden/>
    <w:unhideWhenUsed/>
    <w:rsid w:val="00A0420F"/>
    <w:rPr>
      <w:vertAlign w:val="superscript"/>
    </w:rPr>
  </w:style>
  <w:style w:type="paragraph" w:styleId="EndnoteText">
    <w:name w:val="endnote text"/>
    <w:basedOn w:val="Normal"/>
    <w:link w:val="EndnoteTextChar"/>
    <w:uiPriority w:val="99"/>
    <w:semiHidden/>
    <w:unhideWhenUsed/>
    <w:rsid w:val="00A0420F"/>
    <w:rPr>
      <w:sz w:val="20"/>
      <w:szCs w:val="20"/>
    </w:rPr>
  </w:style>
  <w:style w:type="character" w:customStyle="1" w:styleId="EndnoteTextChar">
    <w:name w:val="Endnote Text Char"/>
    <w:basedOn w:val="DefaultParagraphFont"/>
    <w:link w:val="EndnoteText"/>
    <w:uiPriority w:val="99"/>
    <w:semiHidden/>
    <w:rsid w:val="00A0420F"/>
    <w:rPr>
      <w:rFonts w:ascii="Calibri" w:hAnsi="Calibri"/>
      <w:sz w:val="20"/>
      <w:szCs w:val="20"/>
    </w:rPr>
  </w:style>
  <w:style w:type="paragraph" w:styleId="EnvelopeAddress">
    <w:name w:val="envelope address"/>
    <w:basedOn w:val="Normal"/>
    <w:uiPriority w:val="99"/>
    <w:semiHidden/>
    <w:rsid w:val="00A0420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A0420F"/>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A0420F"/>
    <w:rPr>
      <w:color w:val="800080" w:themeColor="followedHyperlink"/>
      <w:u w:val="single"/>
    </w:rPr>
  </w:style>
  <w:style w:type="character" w:styleId="HTMLAcronym">
    <w:name w:val="HTML Acronym"/>
    <w:basedOn w:val="DefaultParagraphFont"/>
    <w:uiPriority w:val="99"/>
    <w:semiHidden/>
    <w:rsid w:val="00A0420F"/>
  </w:style>
  <w:style w:type="paragraph" w:styleId="HTMLAddress">
    <w:name w:val="HTML Address"/>
    <w:basedOn w:val="Normal"/>
    <w:link w:val="HTMLAddressChar"/>
    <w:uiPriority w:val="99"/>
    <w:semiHidden/>
    <w:rsid w:val="00A0420F"/>
    <w:rPr>
      <w:i/>
      <w:iCs/>
    </w:rPr>
  </w:style>
  <w:style w:type="character" w:customStyle="1" w:styleId="HTMLAddressChar">
    <w:name w:val="HTML Address Char"/>
    <w:basedOn w:val="DefaultParagraphFont"/>
    <w:link w:val="HTMLAddress"/>
    <w:uiPriority w:val="99"/>
    <w:semiHidden/>
    <w:rsid w:val="00A0420F"/>
    <w:rPr>
      <w:rFonts w:ascii="Calibri" w:hAnsi="Calibri"/>
      <w:i/>
      <w:iCs/>
    </w:rPr>
  </w:style>
  <w:style w:type="character" w:styleId="HTMLCite">
    <w:name w:val="HTML Cite"/>
    <w:basedOn w:val="DefaultParagraphFont"/>
    <w:uiPriority w:val="99"/>
    <w:semiHidden/>
    <w:rsid w:val="00A0420F"/>
    <w:rPr>
      <w:i/>
      <w:iCs/>
    </w:rPr>
  </w:style>
  <w:style w:type="character" w:styleId="HTMLCode">
    <w:name w:val="HTML Code"/>
    <w:basedOn w:val="DefaultParagraphFont"/>
    <w:uiPriority w:val="99"/>
    <w:semiHidden/>
    <w:rsid w:val="00A0420F"/>
    <w:rPr>
      <w:rFonts w:ascii="Consolas" w:hAnsi="Consolas" w:cs="Consolas"/>
      <w:sz w:val="20"/>
      <w:szCs w:val="20"/>
    </w:rPr>
  </w:style>
  <w:style w:type="character" w:styleId="HTMLDefinition">
    <w:name w:val="HTML Definition"/>
    <w:basedOn w:val="DefaultParagraphFont"/>
    <w:uiPriority w:val="99"/>
    <w:semiHidden/>
    <w:rsid w:val="00A0420F"/>
    <w:rPr>
      <w:i/>
      <w:iCs/>
    </w:rPr>
  </w:style>
  <w:style w:type="character" w:styleId="HTMLKeyboard">
    <w:name w:val="HTML Keyboard"/>
    <w:basedOn w:val="DefaultParagraphFont"/>
    <w:uiPriority w:val="99"/>
    <w:semiHidden/>
    <w:rsid w:val="00A0420F"/>
    <w:rPr>
      <w:rFonts w:ascii="Consolas" w:hAnsi="Consolas" w:cs="Consolas"/>
      <w:sz w:val="20"/>
      <w:szCs w:val="20"/>
    </w:rPr>
  </w:style>
  <w:style w:type="paragraph" w:styleId="HTMLPreformatted">
    <w:name w:val="HTML Preformatted"/>
    <w:basedOn w:val="Normal"/>
    <w:link w:val="HTMLPreformattedChar"/>
    <w:uiPriority w:val="99"/>
    <w:semiHidden/>
    <w:rsid w:val="00A0420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0420F"/>
    <w:rPr>
      <w:rFonts w:ascii="Consolas" w:hAnsi="Consolas" w:cs="Consolas"/>
      <w:sz w:val="20"/>
      <w:szCs w:val="20"/>
    </w:rPr>
  </w:style>
  <w:style w:type="character" w:styleId="HTMLSample">
    <w:name w:val="HTML Sample"/>
    <w:basedOn w:val="DefaultParagraphFont"/>
    <w:uiPriority w:val="99"/>
    <w:semiHidden/>
    <w:rsid w:val="00A0420F"/>
    <w:rPr>
      <w:rFonts w:ascii="Consolas" w:hAnsi="Consolas" w:cs="Consolas"/>
      <w:sz w:val="24"/>
      <w:szCs w:val="24"/>
    </w:rPr>
  </w:style>
  <w:style w:type="character" w:styleId="HTMLTypewriter">
    <w:name w:val="HTML Typewriter"/>
    <w:basedOn w:val="DefaultParagraphFont"/>
    <w:uiPriority w:val="99"/>
    <w:semiHidden/>
    <w:rsid w:val="00A0420F"/>
    <w:rPr>
      <w:rFonts w:ascii="Consolas" w:hAnsi="Consolas" w:cs="Consolas"/>
      <w:sz w:val="20"/>
      <w:szCs w:val="20"/>
    </w:rPr>
  </w:style>
  <w:style w:type="character" w:styleId="HTMLVariable">
    <w:name w:val="HTML Variable"/>
    <w:basedOn w:val="DefaultParagraphFont"/>
    <w:uiPriority w:val="99"/>
    <w:semiHidden/>
    <w:rsid w:val="00A0420F"/>
    <w:rPr>
      <w:i/>
      <w:iCs/>
    </w:rPr>
  </w:style>
  <w:style w:type="paragraph" w:styleId="Index1">
    <w:name w:val="index 1"/>
    <w:basedOn w:val="Normal"/>
    <w:next w:val="Normal"/>
    <w:autoRedefine/>
    <w:uiPriority w:val="99"/>
    <w:semiHidden/>
    <w:rsid w:val="00A0420F"/>
    <w:pPr>
      <w:ind w:left="220" w:hanging="220"/>
    </w:pPr>
  </w:style>
  <w:style w:type="paragraph" w:styleId="Index2">
    <w:name w:val="index 2"/>
    <w:basedOn w:val="Normal"/>
    <w:next w:val="Normal"/>
    <w:autoRedefine/>
    <w:uiPriority w:val="99"/>
    <w:semiHidden/>
    <w:rsid w:val="00A0420F"/>
    <w:pPr>
      <w:ind w:left="440" w:hanging="220"/>
    </w:pPr>
  </w:style>
  <w:style w:type="paragraph" w:styleId="Index3">
    <w:name w:val="index 3"/>
    <w:basedOn w:val="Normal"/>
    <w:next w:val="Normal"/>
    <w:autoRedefine/>
    <w:uiPriority w:val="99"/>
    <w:semiHidden/>
    <w:rsid w:val="00A0420F"/>
    <w:pPr>
      <w:ind w:left="660" w:hanging="220"/>
    </w:pPr>
  </w:style>
  <w:style w:type="paragraph" w:styleId="Index4">
    <w:name w:val="index 4"/>
    <w:basedOn w:val="Normal"/>
    <w:next w:val="Normal"/>
    <w:autoRedefine/>
    <w:uiPriority w:val="99"/>
    <w:semiHidden/>
    <w:rsid w:val="00A0420F"/>
    <w:pPr>
      <w:ind w:left="880" w:hanging="220"/>
    </w:pPr>
  </w:style>
  <w:style w:type="paragraph" w:styleId="Index5">
    <w:name w:val="index 5"/>
    <w:basedOn w:val="Normal"/>
    <w:next w:val="Normal"/>
    <w:autoRedefine/>
    <w:uiPriority w:val="99"/>
    <w:semiHidden/>
    <w:rsid w:val="00A0420F"/>
    <w:pPr>
      <w:ind w:left="1100" w:hanging="220"/>
    </w:pPr>
  </w:style>
  <w:style w:type="paragraph" w:styleId="Index6">
    <w:name w:val="index 6"/>
    <w:basedOn w:val="Normal"/>
    <w:next w:val="Normal"/>
    <w:autoRedefine/>
    <w:uiPriority w:val="99"/>
    <w:semiHidden/>
    <w:rsid w:val="00A0420F"/>
    <w:pPr>
      <w:ind w:left="1320" w:hanging="220"/>
    </w:pPr>
  </w:style>
  <w:style w:type="paragraph" w:styleId="Index7">
    <w:name w:val="index 7"/>
    <w:basedOn w:val="Normal"/>
    <w:next w:val="Normal"/>
    <w:autoRedefine/>
    <w:uiPriority w:val="99"/>
    <w:semiHidden/>
    <w:rsid w:val="00A0420F"/>
    <w:pPr>
      <w:ind w:left="1540" w:hanging="220"/>
    </w:pPr>
  </w:style>
  <w:style w:type="paragraph" w:styleId="Index8">
    <w:name w:val="index 8"/>
    <w:basedOn w:val="Normal"/>
    <w:next w:val="Normal"/>
    <w:autoRedefine/>
    <w:uiPriority w:val="99"/>
    <w:semiHidden/>
    <w:rsid w:val="00A0420F"/>
    <w:pPr>
      <w:ind w:left="1760" w:hanging="220"/>
    </w:pPr>
  </w:style>
  <w:style w:type="paragraph" w:styleId="Index9">
    <w:name w:val="index 9"/>
    <w:basedOn w:val="Normal"/>
    <w:next w:val="Normal"/>
    <w:autoRedefine/>
    <w:uiPriority w:val="99"/>
    <w:semiHidden/>
    <w:rsid w:val="00A0420F"/>
    <w:pPr>
      <w:ind w:left="1980" w:hanging="220"/>
    </w:pPr>
  </w:style>
  <w:style w:type="paragraph" w:styleId="IndexHeading">
    <w:name w:val="index heading"/>
    <w:basedOn w:val="Normal"/>
    <w:next w:val="Index1"/>
    <w:uiPriority w:val="99"/>
    <w:semiHidden/>
    <w:rsid w:val="00A0420F"/>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A0420F"/>
    <w:rPr>
      <w:b/>
      <w:bCs/>
      <w:i/>
      <w:iCs/>
      <w:color w:val="00728F" w:themeColor="accent1"/>
    </w:rPr>
  </w:style>
  <w:style w:type="paragraph" w:styleId="IntenseQuote">
    <w:name w:val="Intense Quote"/>
    <w:basedOn w:val="Normal"/>
    <w:next w:val="Normal"/>
    <w:link w:val="IntenseQuoteChar"/>
    <w:uiPriority w:val="30"/>
    <w:semiHidden/>
    <w:qFormat/>
    <w:rsid w:val="00A0420F"/>
    <w:pPr>
      <w:pBdr>
        <w:bottom w:val="single" w:sz="4" w:space="4" w:color="00728F" w:themeColor="accent1"/>
      </w:pBdr>
      <w:spacing w:before="200" w:after="280"/>
      <w:ind w:left="936" w:right="936"/>
    </w:pPr>
    <w:rPr>
      <w:b/>
      <w:bCs/>
      <w:i/>
      <w:iCs/>
      <w:color w:val="00728F" w:themeColor="accent1"/>
    </w:rPr>
  </w:style>
  <w:style w:type="character" w:customStyle="1" w:styleId="IntenseQuoteChar">
    <w:name w:val="Intense Quote Char"/>
    <w:basedOn w:val="DefaultParagraphFont"/>
    <w:link w:val="IntenseQuote"/>
    <w:uiPriority w:val="30"/>
    <w:semiHidden/>
    <w:rsid w:val="00A0420F"/>
    <w:rPr>
      <w:rFonts w:ascii="Calibri" w:hAnsi="Calibri"/>
      <w:b/>
      <w:bCs/>
      <w:i/>
      <w:iCs/>
      <w:color w:val="00728F" w:themeColor="accent1"/>
    </w:rPr>
  </w:style>
  <w:style w:type="character" w:styleId="IntenseReference">
    <w:name w:val="Intense Reference"/>
    <w:basedOn w:val="DefaultParagraphFont"/>
    <w:uiPriority w:val="32"/>
    <w:semiHidden/>
    <w:qFormat/>
    <w:rsid w:val="00A0420F"/>
    <w:rPr>
      <w:b/>
      <w:bCs/>
      <w:smallCaps/>
      <w:color w:val="B7DDE8" w:themeColor="accent2"/>
      <w:spacing w:val="5"/>
      <w:u w:val="single"/>
    </w:rPr>
  </w:style>
  <w:style w:type="character" w:styleId="LineNumber">
    <w:name w:val="line number"/>
    <w:basedOn w:val="DefaultParagraphFont"/>
    <w:uiPriority w:val="99"/>
    <w:semiHidden/>
    <w:rsid w:val="00A0420F"/>
  </w:style>
  <w:style w:type="paragraph" w:styleId="List">
    <w:name w:val="List"/>
    <w:basedOn w:val="Normal"/>
    <w:uiPriority w:val="99"/>
    <w:semiHidden/>
    <w:rsid w:val="00A0420F"/>
    <w:pPr>
      <w:ind w:left="283" w:hanging="283"/>
      <w:contextualSpacing/>
    </w:pPr>
  </w:style>
  <w:style w:type="paragraph" w:styleId="List2">
    <w:name w:val="List 2"/>
    <w:basedOn w:val="Normal"/>
    <w:uiPriority w:val="99"/>
    <w:semiHidden/>
    <w:rsid w:val="00A0420F"/>
    <w:pPr>
      <w:ind w:left="566" w:hanging="283"/>
      <w:contextualSpacing/>
    </w:pPr>
  </w:style>
  <w:style w:type="paragraph" w:styleId="List3">
    <w:name w:val="List 3"/>
    <w:basedOn w:val="Normal"/>
    <w:uiPriority w:val="99"/>
    <w:semiHidden/>
    <w:rsid w:val="00A0420F"/>
    <w:pPr>
      <w:ind w:left="849" w:hanging="283"/>
      <w:contextualSpacing/>
    </w:pPr>
  </w:style>
  <w:style w:type="paragraph" w:styleId="List4">
    <w:name w:val="List 4"/>
    <w:basedOn w:val="Normal"/>
    <w:uiPriority w:val="99"/>
    <w:semiHidden/>
    <w:rsid w:val="00A0420F"/>
    <w:pPr>
      <w:ind w:left="1132" w:hanging="283"/>
      <w:contextualSpacing/>
    </w:pPr>
  </w:style>
  <w:style w:type="paragraph" w:styleId="List5">
    <w:name w:val="List 5"/>
    <w:basedOn w:val="Normal"/>
    <w:uiPriority w:val="99"/>
    <w:semiHidden/>
    <w:rsid w:val="00A0420F"/>
    <w:pPr>
      <w:ind w:left="1415" w:hanging="283"/>
      <w:contextualSpacing/>
    </w:pPr>
  </w:style>
  <w:style w:type="paragraph" w:styleId="ListBullet">
    <w:name w:val="List Bullet"/>
    <w:basedOn w:val="Normal"/>
    <w:uiPriority w:val="99"/>
    <w:semiHidden/>
    <w:rsid w:val="00A0420F"/>
    <w:pPr>
      <w:numPr>
        <w:numId w:val="1"/>
      </w:numPr>
      <w:contextualSpacing/>
    </w:pPr>
  </w:style>
  <w:style w:type="paragraph" w:styleId="ListBullet2">
    <w:name w:val="List Bullet 2"/>
    <w:basedOn w:val="Normal"/>
    <w:uiPriority w:val="99"/>
    <w:semiHidden/>
    <w:rsid w:val="00A0420F"/>
    <w:pPr>
      <w:numPr>
        <w:numId w:val="2"/>
      </w:numPr>
      <w:contextualSpacing/>
    </w:pPr>
  </w:style>
  <w:style w:type="paragraph" w:styleId="ListBullet3">
    <w:name w:val="List Bullet 3"/>
    <w:basedOn w:val="Normal"/>
    <w:uiPriority w:val="99"/>
    <w:semiHidden/>
    <w:rsid w:val="00A0420F"/>
    <w:pPr>
      <w:numPr>
        <w:numId w:val="3"/>
      </w:numPr>
      <w:contextualSpacing/>
    </w:pPr>
  </w:style>
  <w:style w:type="paragraph" w:styleId="ListBullet4">
    <w:name w:val="List Bullet 4"/>
    <w:basedOn w:val="Normal"/>
    <w:uiPriority w:val="99"/>
    <w:semiHidden/>
    <w:rsid w:val="00A0420F"/>
    <w:pPr>
      <w:numPr>
        <w:numId w:val="4"/>
      </w:numPr>
      <w:contextualSpacing/>
    </w:pPr>
  </w:style>
  <w:style w:type="paragraph" w:styleId="ListBullet5">
    <w:name w:val="List Bullet 5"/>
    <w:basedOn w:val="Normal"/>
    <w:uiPriority w:val="99"/>
    <w:semiHidden/>
    <w:rsid w:val="00A0420F"/>
    <w:pPr>
      <w:numPr>
        <w:numId w:val="5"/>
      </w:numPr>
      <w:contextualSpacing/>
    </w:pPr>
  </w:style>
  <w:style w:type="paragraph" w:styleId="ListContinue">
    <w:name w:val="List Continue"/>
    <w:basedOn w:val="Normal"/>
    <w:uiPriority w:val="99"/>
    <w:semiHidden/>
    <w:rsid w:val="00A0420F"/>
    <w:pPr>
      <w:spacing w:after="120"/>
      <w:ind w:left="283"/>
      <w:contextualSpacing/>
    </w:pPr>
  </w:style>
  <w:style w:type="paragraph" w:styleId="ListContinue2">
    <w:name w:val="List Continue 2"/>
    <w:basedOn w:val="Normal"/>
    <w:uiPriority w:val="99"/>
    <w:semiHidden/>
    <w:rsid w:val="00A0420F"/>
    <w:pPr>
      <w:spacing w:after="120"/>
      <w:ind w:left="566"/>
      <w:contextualSpacing/>
    </w:pPr>
  </w:style>
  <w:style w:type="paragraph" w:styleId="ListContinue3">
    <w:name w:val="List Continue 3"/>
    <w:basedOn w:val="Normal"/>
    <w:uiPriority w:val="99"/>
    <w:semiHidden/>
    <w:rsid w:val="00A0420F"/>
    <w:pPr>
      <w:spacing w:after="120"/>
      <w:ind w:left="849"/>
      <w:contextualSpacing/>
    </w:pPr>
  </w:style>
  <w:style w:type="paragraph" w:styleId="ListContinue4">
    <w:name w:val="List Continue 4"/>
    <w:basedOn w:val="Normal"/>
    <w:uiPriority w:val="99"/>
    <w:semiHidden/>
    <w:rsid w:val="00A0420F"/>
    <w:pPr>
      <w:spacing w:after="120"/>
      <w:ind w:left="1132"/>
      <w:contextualSpacing/>
    </w:pPr>
  </w:style>
  <w:style w:type="paragraph" w:styleId="ListContinue5">
    <w:name w:val="List Continue 5"/>
    <w:basedOn w:val="Normal"/>
    <w:uiPriority w:val="99"/>
    <w:semiHidden/>
    <w:rsid w:val="00A0420F"/>
    <w:pPr>
      <w:spacing w:after="120"/>
      <w:ind w:left="1415"/>
      <w:contextualSpacing/>
    </w:pPr>
  </w:style>
  <w:style w:type="paragraph" w:styleId="ListNumber">
    <w:name w:val="List Number"/>
    <w:basedOn w:val="Normal"/>
    <w:uiPriority w:val="99"/>
    <w:semiHidden/>
    <w:rsid w:val="00A0420F"/>
    <w:pPr>
      <w:numPr>
        <w:numId w:val="6"/>
      </w:numPr>
      <w:contextualSpacing/>
    </w:pPr>
  </w:style>
  <w:style w:type="paragraph" w:styleId="ListNumber2">
    <w:name w:val="List Number 2"/>
    <w:basedOn w:val="Normal"/>
    <w:uiPriority w:val="99"/>
    <w:semiHidden/>
    <w:rsid w:val="00A0420F"/>
    <w:pPr>
      <w:numPr>
        <w:numId w:val="7"/>
      </w:numPr>
      <w:contextualSpacing/>
    </w:pPr>
  </w:style>
  <w:style w:type="paragraph" w:styleId="ListNumber3">
    <w:name w:val="List Number 3"/>
    <w:basedOn w:val="Normal"/>
    <w:uiPriority w:val="99"/>
    <w:semiHidden/>
    <w:rsid w:val="00A0420F"/>
    <w:pPr>
      <w:numPr>
        <w:numId w:val="8"/>
      </w:numPr>
      <w:contextualSpacing/>
    </w:pPr>
  </w:style>
  <w:style w:type="paragraph" w:styleId="ListNumber4">
    <w:name w:val="List Number 4"/>
    <w:basedOn w:val="Normal"/>
    <w:uiPriority w:val="99"/>
    <w:semiHidden/>
    <w:rsid w:val="00A0420F"/>
    <w:pPr>
      <w:numPr>
        <w:numId w:val="9"/>
      </w:numPr>
      <w:contextualSpacing/>
    </w:pPr>
  </w:style>
  <w:style w:type="paragraph" w:styleId="ListNumber5">
    <w:name w:val="List Number 5"/>
    <w:basedOn w:val="Normal"/>
    <w:uiPriority w:val="99"/>
    <w:semiHidden/>
    <w:rsid w:val="00A0420F"/>
    <w:pPr>
      <w:numPr>
        <w:numId w:val="10"/>
      </w:numPr>
      <w:contextualSpacing/>
    </w:pPr>
  </w:style>
  <w:style w:type="paragraph" w:styleId="ListParagraph">
    <w:name w:val="List Paragraph"/>
    <w:aliases w:val="List Paragraph1,Recommendation,FooterText,Bullet List,numbered,Paragraphe de liste1,Bulletr List Paragraph,列出段落,列出段落1,List Paragraph2,List Paragraph21,Listeafsnit1,Parágrafo da Lista1,Párrafo de lista1,リスト段落1,bullet point list"/>
    <w:basedOn w:val="Normal"/>
    <w:link w:val="ListParagraphChar"/>
    <w:uiPriority w:val="34"/>
    <w:qFormat/>
    <w:rsid w:val="00A0420F"/>
    <w:pPr>
      <w:ind w:left="720"/>
      <w:contextualSpacing/>
    </w:pPr>
  </w:style>
  <w:style w:type="paragraph" w:styleId="MacroText">
    <w:name w:val="macro"/>
    <w:link w:val="MacroTextChar"/>
    <w:uiPriority w:val="99"/>
    <w:semiHidden/>
    <w:rsid w:val="00A04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A0420F"/>
    <w:rPr>
      <w:rFonts w:ascii="Consolas" w:hAnsi="Consolas" w:cs="Consolas"/>
      <w:sz w:val="20"/>
      <w:szCs w:val="20"/>
    </w:rPr>
  </w:style>
  <w:style w:type="paragraph" w:styleId="MessageHeader">
    <w:name w:val="Message Header"/>
    <w:basedOn w:val="Normal"/>
    <w:link w:val="MessageHeaderChar"/>
    <w:uiPriority w:val="99"/>
    <w:semiHidden/>
    <w:rsid w:val="00A0420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0420F"/>
    <w:rPr>
      <w:rFonts w:asciiTheme="majorHAnsi" w:eastAsiaTheme="majorEastAsia" w:hAnsiTheme="majorHAnsi" w:cstheme="majorBidi"/>
      <w:sz w:val="24"/>
      <w:szCs w:val="24"/>
      <w:shd w:val="pct20" w:color="auto" w:fill="auto"/>
    </w:rPr>
  </w:style>
  <w:style w:type="paragraph" w:styleId="NoSpacing">
    <w:name w:val="No Spacing"/>
    <w:uiPriority w:val="1"/>
    <w:qFormat/>
    <w:rsid w:val="00A0420F"/>
    <w:pPr>
      <w:spacing w:after="0"/>
    </w:pPr>
    <w:rPr>
      <w:rFonts w:ascii="Calibri" w:hAnsi="Calibri"/>
    </w:rPr>
  </w:style>
  <w:style w:type="paragraph" w:styleId="NormalWeb">
    <w:name w:val="Normal (Web)"/>
    <w:basedOn w:val="Normal"/>
    <w:uiPriority w:val="99"/>
    <w:semiHidden/>
    <w:rsid w:val="00A0420F"/>
    <w:rPr>
      <w:rFonts w:ascii="Times New Roman" w:hAnsi="Times New Roman" w:cs="Times New Roman"/>
      <w:sz w:val="24"/>
      <w:szCs w:val="24"/>
    </w:rPr>
  </w:style>
  <w:style w:type="paragraph" w:styleId="NormalIndent">
    <w:name w:val="Normal Indent"/>
    <w:basedOn w:val="Normal"/>
    <w:uiPriority w:val="99"/>
    <w:semiHidden/>
    <w:rsid w:val="00A0420F"/>
    <w:pPr>
      <w:ind w:left="720"/>
    </w:pPr>
  </w:style>
  <w:style w:type="paragraph" w:styleId="NoteHeading">
    <w:name w:val="Note Heading"/>
    <w:basedOn w:val="Normal"/>
    <w:next w:val="Normal"/>
    <w:link w:val="NoteHeadingChar"/>
    <w:uiPriority w:val="99"/>
    <w:semiHidden/>
    <w:rsid w:val="00A0420F"/>
  </w:style>
  <w:style w:type="character" w:customStyle="1" w:styleId="NoteHeadingChar">
    <w:name w:val="Note Heading Char"/>
    <w:basedOn w:val="DefaultParagraphFont"/>
    <w:link w:val="NoteHeading"/>
    <w:uiPriority w:val="99"/>
    <w:semiHidden/>
    <w:rsid w:val="00A0420F"/>
    <w:rPr>
      <w:rFonts w:ascii="Calibri" w:hAnsi="Calibri"/>
    </w:rPr>
  </w:style>
  <w:style w:type="character" w:styleId="PlaceholderText">
    <w:name w:val="Placeholder Text"/>
    <w:basedOn w:val="DefaultParagraphFont"/>
    <w:uiPriority w:val="99"/>
    <w:semiHidden/>
    <w:rsid w:val="00A0420F"/>
    <w:rPr>
      <w:color w:val="808080"/>
    </w:rPr>
  </w:style>
  <w:style w:type="paragraph" w:styleId="PlainText">
    <w:name w:val="Plain Text"/>
    <w:basedOn w:val="Normal"/>
    <w:link w:val="PlainTextChar"/>
    <w:uiPriority w:val="99"/>
    <w:semiHidden/>
    <w:rsid w:val="00A0420F"/>
    <w:rPr>
      <w:rFonts w:ascii="Consolas" w:hAnsi="Consolas" w:cs="Consolas"/>
      <w:sz w:val="21"/>
      <w:szCs w:val="21"/>
    </w:rPr>
  </w:style>
  <w:style w:type="character" w:customStyle="1" w:styleId="PlainTextChar">
    <w:name w:val="Plain Text Char"/>
    <w:basedOn w:val="DefaultParagraphFont"/>
    <w:link w:val="PlainText"/>
    <w:uiPriority w:val="99"/>
    <w:semiHidden/>
    <w:rsid w:val="00A0420F"/>
    <w:rPr>
      <w:rFonts w:ascii="Consolas" w:hAnsi="Consolas" w:cs="Consolas"/>
      <w:sz w:val="21"/>
      <w:szCs w:val="21"/>
    </w:rPr>
  </w:style>
  <w:style w:type="paragraph" w:styleId="Quote">
    <w:name w:val="Quote"/>
    <w:basedOn w:val="Normal"/>
    <w:next w:val="Normal"/>
    <w:link w:val="QuoteChar"/>
    <w:uiPriority w:val="29"/>
    <w:semiHidden/>
    <w:qFormat/>
    <w:rsid w:val="00A0420F"/>
    <w:rPr>
      <w:i/>
      <w:iCs/>
      <w:color w:val="00728F" w:themeColor="text1"/>
    </w:rPr>
  </w:style>
  <w:style w:type="character" w:customStyle="1" w:styleId="QuoteChar">
    <w:name w:val="Quote Char"/>
    <w:basedOn w:val="DefaultParagraphFont"/>
    <w:link w:val="Quote"/>
    <w:uiPriority w:val="29"/>
    <w:semiHidden/>
    <w:rsid w:val="00A0420F"/>
    <w:rPr>
      <w:rFonts w:ascii="Calibri" w:hAnsi="Calibri"/>
      <w:i/>
      <w:iCs/>
      <w:color w:val="00728F" w:themeColor="text1"/>
    </w:rPr>
  </w:style>
  <w:style w:type="paragraph" w:styleId="Salutation">
    <w:name w:val="Salutation"/>
    <w:basedOn w:val="Normal"/>
    <w:next w:val="Normal"/>
    <w:link w:val="SalutationChar"/>
    <w:uiPriority w:val="99"/>
    <w:semiHidden/>
    <w:rsid w:val="00A0420F"/>
  </w:style>
  <w:style w:type="character" w:customStyle="1" w:styleId="SalutationChar">
    <w:name w:val="Salutation Char"/>
    <w:basedOn w:val="DefaultParagraphFont"/>
    <w:link w:val="Salutation"/>
    <w:uiPriority w:val="99"/>
    <w:semiHidden/>
    <w:rsid w:val="00A0420F"/>
    <w:rPr>
      <w:rFonts w:ascii="Calibri" w:hAnsi="Calibri"/>
    </w:rPr>
  </w:style>
  <w:style w:type="paragraph" w:styleId="Signature">
    <w:name w:val="Signature"/>
    <w:basedOn w:val="Normal"/>
    <w:link w:val="SignatureChar"/>
    <w:uiPriority w:val="99"/>
    <w:semiHidden/>
    <w:rsid w:val="00A0420F"/>
    <w:pPr>
      <w:ind w:left="4252"/>
    </w:pPr>
  </w:style>
  <w:style w:type="character" w:customStyle="1" w:styleId="SignatureChar">
    <w:name w:val="Signature Char"/>
    <w:basedOn w:val="DefaultParagraphFont"/>
    <w:link w:val="Signature"/>
    <w:uiPriority w:val="99"/>
    <w:semiHidden/>
    <w:rsid w:val="00A0420F"/>
    <w:rPr>
      <w:rFonts w:ascii="Calibri" w:hAnsi="Calibri"/>
    </w:rPr>
  </w:style>
  <w:style w:type="paragraph" w:styleId="Subtitle">
    <w:name w:val="Subtitle"/>
    <w:basedOn w:val="Normal"/>
    <w:next w:val="Normal"/>
    <w:link w:val="SubtitleChar"/>
    <w:uiPriority w:val="15"/>
    <w:semiHidden/>
    <w:qFormat/>
    <w:rsid w:val="00A0420F"/>
    <w:pPr>
      <w:numPr>
        <w:ilvl w:val="1"/>
      </w:numPr>
      <w:ind w:left="1021" w:hanging="1021"/>
    </w:pPr>
    <w:rPr>
      <w:rFonts w:asciiTheme="majorHAnsi" w:eastAsiaTheme="majorEastAsia" w:hAnsiTheme="majorHAnsi" w:cstheme="majorBidi"/>
      <w:i/>
      <w:iCs/>
      <w:color w:val="00728F" w:themeColor="accent1"/>
      <w:spacing w:val="15"/>
      <w:sz w:val="24"/>
      <w:szCs w:val="24"/>
    </w:rPr>
  </w:style>
  <w:style w:type="character" w:customStyle="1" w:styleId="SubtitleChar">
    <w:name w:val="Subtitle Char"/>
    <w:basedOn w:val="DefaultParagraphFont"/>
    <w:link w:val="Subtitle"/>
    <w:uiPriority w:val="15"/>
    <w:semiHidden/>
    <w:rsid w:val="00A0420F"/>
    <w:rPr>
      <w:rFonts w:asciiTheme="majorHAnsi" w:eastAsiaTheme="majorEastAsia" w:hAnsiTheme="majorHAnsi" w:cstheme="majorBidi"/>
      <w:i/>
      <w:iCs/>
      <w:color w:val="00728F" w:themeColor="accent1"/>
      <w:spacing w:val="15"/>
      <w:sz w:val="24"/>
      <w:szCs w:val="24"/>
    </w:rPr>
  </w:style>
  <w:style w:type="character" w:styleId="SubtleEmphasis">
    <w:name w:val="Subtle Emphasis"/>
    <w:basedOn w:val="DefaultParagraphFont"/>
    <w:uiPriority w:val="19"/>
    <w:semiHidden/>
    <w:qFormat/>
    <w:rsid w:val="00A0420F"/>
    <w:rPr>
      <w:i/>
      <w:iCs/>
      <w:color w:val="48D9FF" w:themeColor="text1" w:themeTint="7F"/>
    </w:rPr>
  </w:style>
  <w:style w:type="character" w:styleId="SubtleReference">
    <w:name w:val="Subtle Reference"/>
    <w:basedOn w:val="DefaultParagraphFont"/>
    <w:uiPriority w:val="31"/>
    <w:semiHidden/>
    <w:qFormat/>
    <w:rsid w:val="00A0420F"/>
    <w:rPr>
      <w:smallCaps/>
      <w:color w:val="B7DDE8" w:themeColor="accent2"/>
      <w:u w:val="single"/>
    </w:rPr>
  </w:style>
  <w:style w:type="table" w:styleId="Table3Deffects1">
    <w:name w:val="Table 3D effects 1"/>
    <w:basedOn w:val="TableNormal"/>
    <w:uiPriority w:val="99"/>
    <w:semiHidden/>
    <w:unhideWhenUsed/>
    <w:rsid w:val="00A0420F"/>
    <w:pPr>
      <w:spacing w:after="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0420F"/>
    <w:pPr>
      <w:spacing w:after="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0420F"/>
    <w:pPr>
      <w:spacing w:after="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0420F"/>
    <w:pPr>
      <w:spacing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0420F"/>
    <w:pPr>
      <w:spacing w:after="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0420F"/>
    <w:pPr>
      <w:spacing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0420F"/>
    <w:pPr>
      <w:spacing w:after="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A0420F"/>
    <w:pPr>
      <w:spacing w:after="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0420F"/>
    <w:pPr>
      <w:spacing w:after="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0420F"/>
    <w:pPr>
      <w:spacing w:after="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0420F"/>
    <w:pPr>
      <w:spacing w:after="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0420F"/>
    <w:pPr>
      <w:spacing w:after="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0420F"/>
    <w:pPr>
      <w:spacing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0420F"/>
    <w:pPr>
      <w:spacing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0420F"/>
    <w:pPr>
      <w:spacing w:after="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0420F"/>
    <w:pPr>
      <w:spacing w:after="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0420F"/>
    <w:pPr>
      <w:spacing w:after="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0420F"/>
    <w:pPr>
      <w:spacing w:after="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0420F"/>
    <w:pPr>
      <w:spacing w:after="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0420F"/>
    <w:pPr>
      <w:spacing w:after="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0420F"/>
    <w:pPr>
      <w:spacing w:after="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0420F"/>
    <w:pPr>
      <w:spacing w:after="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0420F"/>
    <w:pPr>
      <w:ind w:left="220" w:hanging="220"/>
    </w:pPr>
  </w:style>
  <w:style w:type="paragraph" w:styleId="TableofFigures">
    <w:name w:val="table of figures"/>
    <w:basedOn w:val="Normal"/>
    <w:next w:val="Normal"/>
    <w:uiPriority w:val="99"/>
    <w:semiHidden/>
    <w:rsid w:val="00A0420F"/>
  </w:style>
  <w:style w:type="table" w:styleId="TableProfessional">
    <w:name w:val="Table Professional"/>
    <w:basedOn w:val="TableNormal"/>
    <w:uiPriority w:val="99"/>
    <w:semiHidden/>
    <w:unhideWhenUsed/>
    <w:rsid w:val="00A0420F"/>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0420F"/>
    <w:pPr>
      <w:spacing w:after="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0420F"/>
    <w:pPr>
      <w:spacing w:after="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0420F"/>
    <w:pPr>
      <w:spacing w:after="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0420F"/>
    <w:pPr>
      <w:spacing w:after="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0420F"/>
    <w:pPr>
      <w:spacing w:after="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0420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0420F"/>
    <w:pPr>
      <w:spacing w:after="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0420F"/>
    <w:pPr>
      <w:spacing w:after="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0420F"/>
    <w:pPr>
      <w:spacing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A0420F"/>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A0420F"/>
    <w:pPr>
      <w:spacing w:after="100"/>
      <w:ind w:left="660"/>
    </w:pPr>
  </w:style>
  <w:style w:type="paragraph" w:styleId="TOC5">
    <w:name w:val="toc 5"/>
    <w:basedOn w:val="Normal"/>
    <w:next w:val="Normal"/>
    <w:autoRedefine/>
    <w:uiPriority w:val="39"/>
    <w:semiHidden/>
    <w:unhideWhenUsed/>
    <w:rsid w:val="00A0420F"/>
    <w:pPr>
      <w:spacing w:after="100"/>
      <w:ind w:left="880"/>
    </w:pPr>
  </w:style>
  <w:style w:type="paragraph" w:styleId="TOC6">
    <w:name w:val="toc 6"/>
    <w:basedOn w:val="Normal"/>
    <w:next w:val="Normal"/>
    <w:autoRedefine/>
    <w:uiPriority w:val="39"/>
    <w:semiHidden/>
    <w:unhideWhenUsed/>
    <w:rsid w:val="00A0420F"/>
    <w:pPr>
      <w:spacing w:after="100"/>
      <w:ind w:left="1100"/>
    </w:pPr>
  </w:style>
  <w:style w:type="paragraph" w:styleId="TOC7">
    <w:name w:val="toc 7"/>
    <w:basedOn w:val="Normal"/>
    <w:next w:val="Normal"/>
    <w:autoRedefine/>
    <w:uiPriority w:val="39"/>
    <w:semiHidden/>
    <w:unhideWhenUsed/>
    <w:rsid w:val="00A0420F"/>
    <w:pPr>
      <w:spacing w:after="100"/>
      <w:ind w:left="1320"/>
    </w:pPr>
  </w:style>
  <w:style w:type="paragraph" w:styleId="TOC8">
    <w:name w:val="toc 8"/>
    <w:basedOn w:val="Normal"/>
    <w:next w:val="Normal"/>
    <w:autoRedefine/>
    <w:uiPriority w:val="39"/>
    <w:semiHidden/>
    <w:unhideWhenUsed/>
    <w:rsid w:val="00A0420F"/>
    <w:pPr>
      <w:spacing w:after="100"/>
      <w:ind w:left="1540"/>
    </w:pPr>
  </w:style>
  <w:style w:type="paragraph" w:styleId="TOC9">
    <w:name w:val="toc 9"/>
    <w:basedOn w:val="Normal"/>
    <w:next w:val="Normal"/>
    <w:autoRedefine/>
    <w:uiPriority w:val="39"/>
    <w:semiHidden/>
    <w:unhideWhenUsed/>
    <w:rsid w:val="00A0420F"/>
    <w:pPr>
      <w:spacing w:after="100"/>
      <w:ind w:left="1760"/>
    </w:pPr>
  </w:style>
  <w:style w:type="paragraph" w:customStyle="1" w:styleId="Definitiontext">
    <w:name w:val="Definition text"/>
    <w:basedOn w:val="BodyText"/>
    <w:uiPriority w:val="20"/>
    <w:qFormat/>
    <w:rsid w:val="00C80837"/>
    <w:pPr>
      <w:spacing w:before="120"/>
    </w:pPr>
  </w:style>
  <w:style w:type="paragraph" w:customStyle="1" w:styleId="Definitionterm">
    <w:name w:val="Definition term"/>
    <w:basedOn w:val="Definitiontext"/>
    <w:next w:val="Definitiontext"/>
    <w:uiPriority w:val="20"/>
    <w:qFormat/>
    <w:rsid w:val="00A34761"/>
    <w:pPr>
      <w:spacing w:before="240" w:after="120"/>
    </w:pPr>
    <w:rPr>
      <w:b/>
    </w:rPr>
  </w:style>
  <w:style w:type="table" w:customStyle="1" w:styleId="ColorfulGrid1">
    <w:name w:val="Colorful Grid1"/>
    <w:basedOn w:val="TableNormal"/>
    <w:uiPriority w:val="99"/>
    <w:semiHidden/>
    <w:rsid w:val="00361DEB"/>
    <w:pPr>
      <w:spacing w:after="0"/>
    </w:pPr>
    <w:rPr>
      <w:color w:val="00728F" w:themeColor="text1"/>
    </w:rPr>
    <w:tblPr>
      <w:tblStyleRowBandSize w:val="1"/>
      <w:tblStyleColBandSize w:val="1"/>
      <w:tblBorders>
        <w:insideH w:val="single" w:sz="4" w:space="0" w:color="FFFFFF" w:themeColor="background1"/>
      </w:tblBorders>
    </w:tblPr>
    <w:tcPr>
      <w:shd w:val="clear" w:color="auto" w:fill="B5EFFF" w:themeFill="text1" w:themeFillTint="33"/>
    </w:tcPr>
    <w:tblStylePr w:type="firstRow">
      <w:rPr>
        <w:b/>
        <w:bCs/>
      </w:rPr>
      <w:tblPr/>
      <w:tcPr>
        <w:shd w:val="clear" w:color="auto" w:fill="6CE1FF" w:themeFill="text1" w:themeFillTint="66"/>
      </w:tcPr>
    </w:tblStylePr>
    <w:tblStylePr w:type="lastRow">
      <w:rPr>
        <w:b/>
        <w:bCs/>
        <w:color w:val="00728F" w:themeColor="text1"/>
      </w:rPr>
      <w:tblPr/>
      <w:tcPr>
        <w:shd w:val="clear" w:color="auto" w:fill="6CE1FF" w:themeFill="text1" w:themeFillTint="66"/>
      </w:tcPr>
    </w:tblStylePr>
    <w:tblStylePr w:type="firstCol">
      <w:rPr>
        <w:color w:val="FFFFFF" w:themeColor="background1"/>
      </w:rPr>
      <w:tblPr/>
      <w:tcPr>
        <w:shd w:val="clear" w:color="auto" w:fill="00556B" w:themeFill="text1" w:themeFillShade="BF"/>
      </w:tcPr>
    </w:tblStylePr>
    <w:tblStylePr w:type="lastCol">
      <w:rPr>
        <w:color w:val="FFFFFF" w:themeColor="background1"/>
      </w:rPr>
      <w:tblPr/>
      <w:tcPr>
        <w:shd w:val="clear" w:color="auto" w:fill="00556B" w:themeFill="text1" w:themeFillShade="BF"/>
      </w:tcPr>
    </w:tblStylePr>
    <w:tblStylePr w:type="band1Vert">
      <w:tblPr/>
      <w:tcPr>
        <w:shd w:val="clear" w:color="auto" w:fill="48D9FF" w:themeFill="text1" w:themeFillTint="7F"/>
      </w:tcPr>
    </w:tblStylePr>
    <w:tblStylePr w:type="band1Horz">
      <w:tblPr/>
      <w:tcPr>
        <w:shd w:val="clear" w:color="auto" w:fill="48D9FF" w:themeFill="text1" w:themeFillTint="7F"/>
      </w:tcPr>
    </w:tblStylePr>
  </w:style>
  <w:style w:type="table" w:styleId="ColorfulGrid-Accent1">
    <w:name w:val="Colorful Grid Accent 1"/>
    <w:basedOn w:val="TableNormal"/>
    <w:uiPriority w:val="99"/>
    <w:semiHidden/>
    <w:rsid w:val="00361DEB"/>
    <w:pPr>
      <w:spacing w:after="0"/>
    </w:pPr>
    <w:rPr>
      <w:color w:val="00728F" w:themeColor="text1"/>
    </w:rPr>
    <w:tblPr>
      <w:tblStyleRowBandSize w:val="1"/>
      <w:tblStyleColBandSize w:val="1"/>
      <w:tblBorders>
        <w:insideH w:val="single" w:sz="4" w:space="0" w:color="FFFFFF" w:themeColor="background1"/>
      </w:tblBorders>
    </w:tblPr>
    <w:tcPr>
      <w:shd w:val="clear" w:color="auto" w:fill="B5EFFF" w:themeFill="accent1" w:themeFillTint="33"/>
    </w:tcPr>
    <w:tblStylePr w:type="firstRow">
      <w:rPr>
        <w:b/>
        <w:bCs/>
      </w:rPr>
      <w:tblPr/>
      <w:tcPr>
        <w:shd w:val="clear" w:color="auto" w:fill="6CE1FF" w:themeFill="accent1" w:themeFillTint="66"/>
      </w:tcPr>
    </w:tblStylePr>
    <w:tblStylePr w:type="lastRow">
      <w:rPr>
        <w:b/>
        <w:bCs/>
        <w:color w:val="00728F" w:themeColor="text1"/>
      </w:rPr>
      <w:tblPr/>
      <w:tcPr>
        <w:shd w:val="clear" w:color="auto" w:fill="6CE1FF" w:themeFill="accent1" w:themeFillTint="66"/>
      </w:tcPr>
    </w:tblStylePr>
    <w:tblStylePr w:type="firstCol">
      <w:rPr>
        <w:color w:val="FFFFFF" w:themeColor="background1"/>
      </w:rPr>
      <w:tblPr/>
      <w:tcPr>
        <w:shd w:val="clear" w:color="auto" w:fill="00556B" w:themeFill="accent1" w:themeFillShade="BF"/>
      </w:tcPr>
    </w:tblStylePr>
    <w:tblStylePr w:type="lastCol">
      <w:rPr>
        <w:color w:val="FFFFFF" w:themeColor="background1"/>
      </w:rPr>
      <w:tblPr/>
      <w:tcPr>
        <w:shd w:val="clear" w:color="auto" w:fill="00556B" w:themeFill="accent1" w:themeFillShade="BF"/>
      </w:tcPr>
    </w:tblStylePr>
    <w:tblStylePr w:type="band1Vert">
      <w:tblPr/>
      <w:tcPr>
        <w:shd w:val="clear" w:color="auto" w:fill="48D9FF" w:themeFill="accent1" w:themeFillTint="7F"/>
      </w:tcPr>
    </w:tblStylePr>
    <w:tblStylePr w:type="band1Horz">
      <w:tblPr/>
      <w:tcPr>
        <w:shd w:val="clear" w:color="auto" w:fill="48D9FF" w:themeFill="accent1" w:themeFillTint="7F"/>
      </w:tcPr>
    </w:tblStylePr>
  </w:style>
  <w:style w:type="table" w:styleId="ColorfulGrid-Accent2">
    <w:name w:val="Colorful Grid Accent 2"/>
    <w:basedOn w:val="TableNormal"/>
    <w:uiPriority w:val="99"/>
    <w:semiHidden/>
    <w:rsid w:val="00361DEB"/>
    <w:pPr>
      <w:spacing w:after="0"/>
    </w:pPr>
    <w:rPr>
      <w:color w:val="00728F" w:themeColor="text1"/>
    </w:rPr>
    <w:tblPr>
      <w:tblStyleRowBandSize w:val="1"/>
      <w:tblStyleColBandSize w:val="1"/>
      <w:tblBorders>
        <w:insideH w:val="single" w:sz="4" w:space="0" w:color="FFFFFF" w:themeColor="background1"/>
      </w:tblBorders>
    </w:tblPr>
    <w:tcPr>
      <w:shd w:val="clear" w:color="auto" w:fill="F0F8FA" w:themeFill="accent2" w:themeFillTint="33"/>
    </w:tcPr>
    <w:tblStylePr w:type="firstRow">
      <w:rPr>
        <w:b/>
        <w:bCs/>
      </w:rPr>
      <w:tblPr/>
      <w:tcPr>
        <w:shd w:val="clear" w:color="auto" w:fill="E2F1F5" w:themeFill="accent2" w:themeFillTint="66"/>
      </w:tcPr>
    </w:tblStylePr>
    <w:tblStylePr w:type="lastRow">
      <w:rPr>
        <w:b/>
        <w:bCs/>
        <w:color w:val="00728F" w:themeColor="text1"/>
      </w:rPr>
      <w:tblPr/>
      <w:tcPr>
        <w:shd w:val="clear" w:color="auto" w:fill="E2F1F5" w:themeFill="accent2" w:themeFillTint="66"/>
      </w:tcPr>
    </w:tblStylePr>
    <w:tblStylePr w:type="firstCol">
      <w:rPr>
        <w:color w:val="FFFFFF" w:themeColor="background1"/>
      </w:rPr>
      <w:tblPr/>
      <w:tcPr>
        <w:shd w:val="clear" w:color="auto" w:fill="67B7CE" w:themeFill="accent2" w:themeFillShade="BF"/>
      </w:tcPr>
    </w:tblStylePr>
    <w:tblStylePr w:type="lastCol">
      <w:rPr>
        <w:color w:val="FFFFFF" w:themeColor="background1"/>
      </w:rPr>
      <w:tblPr/>
      <w:tcPr>
        <w:shd w:val="clear" w:color="auto" w:fill="67B7CE" w:themeFill="accent2" w:themeFillShade="BF"/>
      </w:tcPr>
    </w:tblStylePr>
    <w:tblStylePr w:type="band1Vert">
      <w:tblPr/>
      <w:tcPr>
        <w:shd w:val="clear" w:color="auto" w:fill="DBEEF3" w:themeFill="accent2" w:themeFillTint="7F"/>
      </w:tcPr>
    </w:tblStylePr>
    <w:tblStylePr w:type="band1Horz">
      <w:tblPr/>
      <w:tcPr>
        <w:shd w:val="clear" w:color="auto" w:fill="DBEEF3" w:themeFill="accent2" w:themeFillTint="7F"/>
      </w:tcPr>
    </w:tblStylePr>
  </w:style>
  <w:style w:type="table" w:styleId="ColorfulGrid-Accent3">
    <w:name w:val="Colorful Grid Accent 3"/>
    <w:basedOn w:val="TableNormal"/>
    <w:uiPriority w:val="99"/>
    <w:semiHidden/>
    <w:rsid w:val="00361DEB"/>
    <w:pPr>
      <w:spacing w:after="0"/>
    </w:pPr>
    <w:rPr>
      <w:color w:val="00728F" w:themeColor="text1"/>
    </w:rPr>
    <w:tblPr>
      <w:tblStyleRowBandSize w:val="1"/>
      <w:tblStyleColBandSize w:val="1"/>
      <w:tblBorders>
        <w:insideH w:val="single" w:sz="4" w:space="0" w:color="FFFFFF" w:themeColor="background1"/>
      </w:tblBorders>
    </w:tblPr>
    <w:tcPr>
      <w:shd w:val="clear" w:color="auto" w:fill="F7FBFC" w:themeFill="accent3" w:themeFillTint="33"/>
    </w:tcPr>
    <w:tblStylePr w:type="firstRow">
      <w:rPr>
        <w:b/>
        <w:bCs/>
      </w:rPr>
      <w:tblPr/>
      <w:tcPr>
        <w:shd w:val="clear" w:color="auto" w:fill="F0F8FA" w:themeFill="accent3" w:themeFillTint="66"/>
      </w:tcPr>
    </w:tblStylePr>
    <w:tblStylePr w:type="lastRow">
      <w:rPr>
        <w:b/>
        <w:bCs/>
        <w:color w:val="00728F" w:themeColor="text1"/>
      </w:rPr>
      <w:tblPr/>
      <w:tcPr>
        <w:shd w:val="clear" w:color="auto" w:fill="F0F8FA" w:themeFill="accent3" w:themeFillTint="66"/>
      </w:tcPr>
    </w:tblStylePr>
    <w:tblStylePr w:type="firstCol">
      <w:rPr>
        <w:color w:val="FFFFFF" w:themeColor="background1"/>
      </w:rPr>
      <w:tblPr/>
      <w:tcPr>
        <w:shd w:val="clear" w:color="auto" w:fill="84C4D6" w:themeFill="accent3" w:themeFillShade="BF"/>
      </w:tcPr>
    </w:tblStylePr>
    <w:tblStylePr w:type="lastCol">
      <w:rPr>
        <w:color w:val="FFFFFF" w:themeColor="background1"/>
      </w:rPr>
      <w:tblPr/>
      <w:tcPr>
        <w:shd w:val="clear" w:color="auto" w:fill="84C4D6" w:themeFill="accent3" w:themeFillShade="BF"/>
      </w:tcPr>
    </w:tblStylePr>
    <w:tblStylePr w:type="band1Vert">
      <w:tblPr/>
      <w:tcPr>
        <w:shd w:val="clear" w:color="auto" w:fill="EDF6F9" w:themeFill="accent3" w:themeFillTint="7F"/>
      </w:tcPr>
    </w:tblStylePr>
    <w:tblStylePr w:type="band1Horz">
      <w:tblPr/>
      <w:tcPr>
        <w:shd w:val="clear" w:color="auto" w:fill="EDF6F9" w:themeFill="accent3" w:themeFillTint="7F"/>
      </w:tcPr>
    </w:tblStylePr>
  </w:style>
  <w:style w:type="table" w:styleId="ColorfulGrid-Accent4">
    <w:name w:val="Colorful Grid Accent 4"/>
    <w:basedOn w:val="TableNormal"/>
    <w:uiPriority w:val="99"/>
    <w:semiHidden/>
    <w:rsid w:val="00361DEB"/>
    <w:pPr>
      <w:spacing w:after="0"/>
    </w:pPr>
    <w:rPr>
      <w:color w:val="00728F" w:themeColor="text1"/>
    </w:rPr>
    <w:tblPr>
      <w:tblStyleRowBandSize w:val="1"/>
      <w:tblStyleColBandSize w:val="1"/>
      <w:tblBorders>
        <w:insideH w:val="single" w:sz="4" w:space="0" w:color="FFFFFF" w:themeColor="background1"/>
      </w:tblBorders>
    </w:tblPr>
    <w:tcPr>
      <w:shd w:val="clear" w:color="auto" w:fill="E9F4F8" w:themeFill="accent4" w:themeFillTint="33"/>
    </w:tcPr>
    <w:tblStylePr w:type="firstRow">
      <w:rPr>
        <w:b/>
        <w:bCs/>
      </w:rPr>
      <w:tblPr/>
      <w:tcPr>
        <w:shd w:val="clear" w:color="auto" w:fill="D3EAF1" w:themeFill="accent4" w:themeFillTint="66"/>
      </w:tcPr>
    </w:tblStylePr>
    <w:tblStylePr w:type="lastRow">
      <w:rPr>
        <w:b/>
        <w:bCs/>
        <w:color w:val="00728F" w:themeColor="text1"/>
      </w:rPr>
      <w:tblPr/>
      <w:tcPr>
        <w:shd w:val="clear" w:color="auto" w:fill="D3EAF1" w:themeFill="accent4" w:themeFillTint="66"/>
      </w:tcPr>
    </w:tblStylePr>
    <w:tblStylePr w:type="firstCol">
      <w:rPr>
        <w:color w:val="FFFFFF" w:themeColor="background1"/>
      </w:rPr>
      <w:tblPr/>
      <w:tcPr>
        <w:shd w:val="clear" w:color="auto" w:fill="4CACC5" w:themeFill="accent4" w:themeFillShade="BF"/>
      </w:tcPr>
    </w:tblStylePr>
    <w:tblStylePr w:type="lastCol">
      <w:rPr>
        <w:color w:val="FFFFFF" w:themeColor="background1"/>
      </w:rPr>
      <w:tblPr/>
      <w:tcPr>
        <w:shd w:val="clear" w:color="auto" w:fill="4CACC5" w:themeFill="accent4" w:themeFillShade="BF"/>
      </w:tcPr>
    </w:tblStylePr>
    <w:tblStylePr w:type="band1Vert">
      <w:tblPr/>
      <w:tcPr>
        <w:shd w:val="clear" w:color="auto" w:fill="C8E5ED" w:themeFill="accent4" w:themeFillTint="7F"/>
      </w:tcPr>
    </w:tblStylePr>
    <w:tblStylePr w:type="band1Horz">
      <w:tblPr/>
      <w:tcPr>
        <w:shd w:val="clear" w:color="auto" w:fill="C8E5ED" w:themeFill="accent4" w:themeFillTint="7F"/>
      </w:tcPr>
    </w:tblStylePr>
  </w:style>
  <w:style w:type="table" w:styleId="ColorfulGrid-Accent5">
    <w:name w:val="Colorful Grid Accent 5"/>
    <w:basedOn w:val="TableNormal"/>
    <w:uiPriority w:val="99"/>
    <w:semiHidden/>
    <w:rsid w:val="00361DEB"/>
    <w:pPr>
      <w:spacing w:after="0"/>
    </w:pPr>
    <w:rPr>
      <w:color w:val="00728F" w:themeColor="text1"/>
    </w:rPr>
    <w:tblPr>
      <w:tblStyleRowBandSize w:val="1"/>
      <w:tblStyleColBandSize w:val="1"/>
      <w:tblBorders>
        <w:insideH w:val="single" w:sz="4" w:space="0" w:color="FFFFFF" w:themeColor="background1"/>
      </w:tblBorders>
    </w:tblPr>
    <w:tcPr>
      <w:shd w:val="clear" w:color="auto" w:fill="D0E9F0" w:themeFill="accent5" w:themeFillTint="33"/>
    </w:tcPr>
    <w:tblStylePr w:type="firstRow">
      <w:rPr>
        <w:b/>
        <w:bCs/>
      </w:rPr>
      <w:tblPr/>
      <w:tcPr>
        <w:shd w:val="clear" w:color="auto" w:fill="A1D4E1" w:themeFill="accent5" w:themeFillTint="66"/>
      </w:tcPr>
    </w:tblStylePr>
    <w:tblStylePr w:type="lastRow">
      <w:rPr>
        <w:b/>
        <w:bCs/>
        <w:color w:val="00728F" w:themeColor="text1"/>
      </w:rPr>
      <w:tblPr/>
      <w:tcPr>
        <w:shd w:val="clear" w:color="auto" w:fill="A1D4E1" w:themeFill="accent5" w:themeFillTint="66"/>
      </w:tcPr>
    </w:tblStylePr>
    <w:tblStylePr w:type="firstCol">
      <w:rPr>
        <w:color w:val="FFFFFF" w:themeColor="background1"/>
      </w:rPr>
      <w:tblPr/>
      <w:tcPr>
        <w:shd w:val="clear" w:color="auto" w:fill="246373" w:themeFill="accent5" w:themeFillShade="BF"/>
      </w:tcPr>
    </w:tblStylePr>
    <w:tblStylePr w:type="lastCol">
      <w:rPr>
        <w:color w:val="FFFFFF" w:themeColor="background1"/>
      </w:rPr>
      <w:tblPr/>
      <w:tcPr>
        <w:shd w:val="clear" w:color="auto" w:fill="246373" w:themeFill="accent5" w:themeFillShade="BF"/>
      </w:tcPr>
    </w:tblStylePr>
    <w:tblStylePr w:type="band1Vert">
      <w:tblPr/>
      <w:tcPr>
        <w:shd w:val="clear" w:color="auto" w:fill="8BC9DA" w:themeFill="accent5" w:themeFillTint="7F"/>
      </w:tcPr>
    </w:tblStylePr>
    <w:tblStylePr w:type="band1Horz">
      <w:tblPr/>
      <w:tcPr>
        <w:shd w:val="clear" w:color="auto" w:fill="8BC9DA" w:themeFill="accent5" w:themeFillTint="7F"/>
      </w:tcPr>
    </w:tblStylePr>
  </w:style>
  <w:style w:type="table" w:styleId="ColorfulGrid-Accent6">
    <w:name w:val="Colorful Grid Accent 6"/>
    <w:basedOn w:val="TableNormal"/>
    <w:uiPriority w:val="99"/>
    <w:semiHidden/>
    <w:rsid w:val="00361DEB"/>
    <w:pPr>
      <w:spacing w:after="0"/>
    </w:pPr>
    <w:rPr>
      <w:color w:val="00728F" w:themeColor="text1"/>
    </w:rPr>
    <w:tblPr>
      <w:tblStyleRowBandSize w:val="1"/>
      <w:tblStyleColBandSize w:val="1"/>
      <w:tblBorders>
        <w:insideH w:val="single" w:sz="4" w:space="0" w:color="FFFFFF" w:themeColor="background1"/>
      </w:tblBorders>
    </w:tblPr>
    <w:tcPr>
      <w:shd w:val="clear" w:color="auto" w:fill="DFF0F5" w:themeFill="accent6" w:themeFillTint="33"/>
    </w:tcPr>
    <w:tblStylePr w:type="firstRow">
      <w:rPr>
        <w:b/>
        <w:bCs/>
      </w:rPr>
      <w:tblPr/>
      <w:tcPr>
        <w:shd w:val="clear" w:color="auto" w:fill="C0E2EB" w:themeFill="accent6" w:themeFillTint="66"/>
      </w:tcPr>
    </w:tblStylePr>
    <w:tblStylePr w:type="lastRow">
      <w:rPr>
        <w:b/>
        <w:bCs/>
        <w:color w:val="00728F" w:themeColor="text1"/>
      </w:rPr>
      <w:tblPr/>
      <w:tcPr>
        <w:shd w:val="clear" w:color="auto" w:fill="C0E2EB" w:themeFill="accent6" w:themeFillTint="66"/>
      </w:tcPr>
    </w:tblStylePr>
    <w:tblStylePr w:type="firstCol">
      <w:rPr>
        <w:color w:val="FFFFFF" w:themeColor="background1"/>
      </w:rPr>
      <w:tblPr/>
      <w:tcPr>
        <w:shd w:val="clear" w:color="auto" w:fill="3795AD" w:themeFill="accent6" w:themeFillShade="BF"/>
      </w:tcPr>
    </w:tblStylePr>
    <w:tblStylePr w:type="lastCol">
      <w:rPr>
        <w:color w:val="FFFFFF" w:themeColor="background1"/>
      </w:rPr>
      <w:tblPr/>
      <w:tcPr>
        <w:shd w:val="clear" w:color="auto" w:fill="3795AD" w:themeFill="accent6" w:themeFillShade="BF"/>
      </w:tcPr>
    </w:tblStylePr>
    <w:tblStylePr w:type="band1Vert">
      <w:tblPr/>
      <w:tcPr>
        <w:shd w:val="clear" w:color="auto" w:fill="B1DBE6" w:themeFill="accent6" w:themeFillTint="7F"/>
      </w:tcPr>
    </w:tblStylePr>
    <w:tblStylePr w:type="band1Horz">
      <w:tblPr/>
      <w:tcPr>
        <w:shd w:val="clear" w:color="auto" w:fill="B1DBE6" w:themeFill="accent6" w:themeFillTint="7F"/>
      </w:tcPr>
    </w:tblStylePr>
  </w:style>
  <w:style w:type="table" w:customStyle="1" w:styleId="ColorfulList1">
    <w:name w:val="Colorful List1"/>
    <w:basedOn w:val="TableNormal"/>
    <w:uiPriority w:val="99"/>
    <w:semiHidden/>
    <w:rsid w:val="00361DEB"/>
    <w:pPr>
      <w:spacing w:after="0"/>
    </w:pPr>
    <w:rPr>
      <w:color w:val="00728F" w:themeColor="text1"/>
    </w:rPr>
    <w:tblPr>
      <w:tblStyleRowBandSize w:val="1"/>
      <w:tblStyleColBandSize w:val="1"/>
    </w:tblPr>
    <w:tcPr>
      <w:shd w:val="clear" w:color="auto" w:fill="DBF7FF" w:themeFill="text1" w:themeFillTint="19"/>
    </w:tcPr>
    <w:tblStylePr w:type="firstRow">
      <w:rPr>
        <w:b/>
        <w:bCs/>
        <w:color w:val="FFFFFF" w:themeColor="background1"/>
      </w:rPr>
      <w:tblPr/>
      <w:tcPr>
        <w:tcBorders>
          <w:bottom w:val="single" w:sz="12" w:space="0" w:color="FFFFFF" w:themeColor="background1"/>
        </w:tcBorders>
        <w:shd w:val="clear" w:color="auto" w:fill="78BFD4" w:themeFill="accent2" w:themeFillShade="CC"/>
      </w:tcPr>
    </w:tblStylePr>
    <w:tblStylePr w:type="lastRow">
      <w:rPr>
        <w:b/>
        <w:bCs/>
        <w:color w:val="78BFD4" w:themeColor="accent2"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ECFF" w:themeFill="text1" w:themeFillTint="3F"/>
      </w:tcPr>
    </w:tblStylePr>
    <w:tblStylePr w:type="band1Horz">
      <w:tblPr/>
      <w:tcPr>
        <w:shd w:val="clear" w:color="auto" w:fill="B5EFFF" w:themeFill="text1" w:themeFillTint="33"/>
      </w:tcPr>
    </w:tblStylePr>
  </w:style>
  <w:style w:type="table" w:styleId="ColorfulList-Accent1">
    <w:name w:val="Colorful List Accent 1"/>
    <w:basedOn w:val="TableNormal"/>
    <w:uiPriority w:val="99"/>
    <w:semiHidden/>
    <w:rsid w:val="00361DEB"/>
    <w:pPr>
      <w:spacing w:after="0"/>
    </w:pPr>
    <w:rPr>
      <w:color w:val="00728F" w:themeColor="text1"/>
    </w:rPr>
    <w:tblPr>
      <w:tblStyleRowBandSize w:val="1"/>
      <w:tblStyleColBandSize w:val="1"/>
    </w:tblPr>
    <w:tcPr>
      <w:shd w:val="clear" w:color="auto" w:fill="DBF7FF" w:themeFill="accent1" w:themeFillTint="19"/>
    </w:tcPr>
    <w:tblStylePr w:type="firstRow">
      <w:rPr>
        <w:b/>
        <w:bCs/>
        <w:color w:val="FFFFFF" w:themeColor="background1"/>
      </w:rPr>
      <w:tblPr/>
      <w:tcPr>
        <w:tcBorders>
          <w:bottom w:val="single" w:sz="12" w:space="0" w:color="FFFFFF" w:themeColor="background1"/>
        </w:tcBorders>
        <w:shd w:val="clear" w:color="auto" w:fill="78BFD4" w:themeFill="accent2" w:themeFillShade="CC"/>
      </w:tcPr>
    </w:tblStylePr>
    <w:tblStylePr w:type="lastRow">
      <w:rPr>
        <w:b/>
        <w:bCs/>
        <w:color w:val="78BFD4" w:themeColor="accent2"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ECFF" w:themeFill="accent1" w:themeFillTint="3F"/>
      </w:tcPr>
    </w:tblStylePr>
    <w:tblStylePr w:type="band1Horz">
      <w:tblPr/>
      <w:tcPr>
        <w:shd w:val="clear" w:color="auto" w:fill="B5EFFF" w:themeFill="accent1" w:themeFillTint="33"/>
      </w:tcPr>
    </w:tblStylePr>
  </w:style>
  <w:style w:type="table" w:styleId="ColorfulList-Accent2">
    <w:name w:val="Colorful List Accent 2"/>
    <w:basedOn w:val="TableNormal"/>
    <w:uiPriority w:val="99"/>
    <w:semiHidden/>
    <w:rsid w:val="00361DEB"/>
    <w:pPr>
      <w:spacing w:after="0"/>
    </w:pPr>
    <w:rPr>
      <w:color w:val="00728F" w:themeColor="text1"/>
    </w:rPr>
    <w:tblPr>
      <w:tblStyleRowBandSize w:val="1"/>
      <w:tblStyleColBandSize w:val="1"/>
    </w:tblPr>
    <w:tcPr>
      <w:shd w:val="clear" w:color="auto" w:fill="F7FBFC" w:themeFill="accent2" w:themeFillTint="19"/>
    </w:tcPr>
    <w:tblStylePr w:type="firstRow">
      <w:rPr>
        <w:b/>
        <w:bCs/>
        <w:color w:val="FFFFFF" w:themeColor="background1"/>
      </w:rPr>
      <w:tblPr/>
      <w:tcPr>
        <w:tcBorders>
          <w:bottom w:val="single" w:sz="12" w:space="0" w:color="FFFFFF" w:themeColor="background1"/>
        </w:tcBorders>
        <w:shd w:val="clear" w:color="auto" w:fill="78BFD4" w:themeFill="accent2" w:themeFillShade="CC"/>
      </w:tcPr>
    </w:tblStylePr>
    <w:tblStylePr w:type="lastRow">
      <w:rPr>
        <w:b/>
        <w:bCs/>
        <w:color w:val="78BFD4" w:themeColor="accent2"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6F9" w:themeFill="accent2" w:themeFillTint="3F"/>
      </w:tcPr>
    </w:tblStylePr>
    <w:tblStylePr w:type="band1Horz">
      <w:tblPr/>
      <w:tcPr>
        <w:shd w:val="clear" w:color="auto" w:fill="F0F8FA" w:themeFill="accent2" w:themeFillTint="33"/>
      </w:tcPr>
    </w:tblStylePr>
  </w:style>
  <w:style w:type="table" w:styleId="ColorfulList-Accent3">
    <w:name w:val="Colorful List Accent 3"/>
    <w:basedOn w:val="TableNormal"/>
    <w:uiPriority w:val="99"/>
    <w:semiHidden/>
    <w:rsid w:val="00361DEB"/>
    <w:pPr>
      <w:spacing w:after="0"/>
    </w:pPr>
    <w:rPr>
      <w:color w:val="00728F" w:themeColor="text1"/>
    </w:rPr>
    <w:tblPr>
      <w:tblStyleRowBandSize w:val="1"/>
      <w:tblStyleColBandSize w:val="1"/>
    </w:tblPr>
    <w:tcPr>
      <w:shd w:val="clear" w:color="auto" w:fill="FBFDFD" w:themeFill="accent3" w:themeFillTint="19"/>
    </w:tcPr>
    <w:tblStylePr w:type="firstRow">
      <w:rPr>
        <w:b/>
        <w:bCs/>
        <w:color w:val="FFFFFF" w:themeColor="background1"/>
      </w:rPr>
      <w:tblPr/>
      <w:tcPr>
        <w:tcBorders>
          <w:bottom w:val="single" w:sz="12" w:space="0" w:color="FFFFFF" w:themeColor="background1"/>
        </w:tcBorders>
        <w:shd w:val="clear" w:color="auto" w:fill="5AB3CA" w:themeFill="accent4" w:themeFillShade="CC"/>
      </w:tcPr>
    </w:tblStylePr>
    <w:tblStylePr w:type="lastRow">
      <w:rPr>
        <w:b/>
        <w:bCs/>
        <w:color w:val="5AB3CA" w:themeColor="accent4"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AFC" w:themeFill="accent3" w:themeFillTint="3F"/>
      </w:tcPr>
    </w:tblStylePr>
    <w:tblStylePr w:type="band1Horz">
      <w:tblPr/>
      <w:tcPr>
        <w:shd w:val="clear" w:color="auto" w:fill="F7FBFC" w:themeFill="accent3" w:themeFillTint="33"/>
      </w:tcPr>
    </w:tblStylePr>
  </w:style>
  <w:style w:type="table" w:styleId="ColorfulList-Accent4">
    <w:name w:val="Colorful List Accent 4"/>
    <w:basedOn w:val="TableNormal"/>
    <w:uiPriority w:val="99"/>
    <w:semiHidden/>
    <w:rsid w:val="00361DEB"/>
    <w:pPr>
      <w:spacing w:after="0"/>
    </w:pPr>
    <w:rPr>
      <w:color w:val="00728F" w:themeColor="text1"/>
    </w:rPr>
    <w:tblPr>
      <w:tblStyleRowBandSize w:val="1"/>
      <w:tblStyleColBandSize w:val="1"/>
    </w:tblPr>
    <w:tcPr>
      <w:shd w:val="clear" w:color="auto" w:fill="F4FAFB" w:themeFill="accent4" w:themeFillTint="19"/>
    </w:tcPr>
    <w:tblStylePr w:type="firstRow">
      <w:rPr>
        <w:b/>
        <w:bCs/>
        <w:color w:val="FFFFFF" w:themeColor="background1"/>
      </w:rPr>
      <w:tblPr/>
      <w:tcPr>
        <w:tcBorders>
          <w:bottom w:val="single" w:sz="12" w:space="0" w:color="FFFFFF" w:themeColor="background1"/>
        </w:tcBorders>
        <w:shd w:val="clear" w:color="auto" w:fill="95CCDB" w:themeFill="accent3" w:themeFillShade="CC"/>
      </w:tcPr>
    </w:tblStylePr>
    <w:tblStylePr w:type="lastRow">
      <w:rPr>
        <w:b/>
        <w:bCs/>
        <w:color w:val="95CCDB" w:themeColor="accent3"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2F6" w:themeFill="accent4" w:themeFillTint="3F"/>
      </w:tcPr>
    </w:tblStylePr>
    <w:tblStylePr w:type="band1Horz">
      <w:tblPr/>
      <w:tcPr>
        <w:shd w:val="clear" w:color="auto" w:fill="E9F4F8" w:themeFill="accent4" w:themeFillTint="33"/>
      </w:tcPr>
    </w:tblStylePr>
  </w:style>
  <w:style w:type="table" w:styleId="ColorfulList-Accent5">
    <w:name w:val="Colorful List Accent 5"/>
    <w:basedOn w:val="TableNormal"/>
    <w:uiPriority w:val="99"/>
    <w:semiHidden/>
    <w:rsid w:val="00361DEB"/>
    <w:pPr>
      <w:spacing w:after="0"/>
    </w:pPr>
    <w:rPr>
      <w:color w:val="00728F" w:themeColor="text1"/>
    </w:rPr>
    <w:tblPr>
      <w:tblStyleRowBandSize w:val="1"/>
      <w:tblStyleColBandSize w:val="1"/>
    </w:tblPr>
    <w:tcPr>
      <w:shd w:val="clear" w:color="auto" w:fill="E8F4F7" w:themeFill="accent5" w:themeFillTint="19"/>
    </w:tcPr>
    <w:tblStylePr w:type="firstRow">
      <w:rPr>
        <w:b/>
        <w:bCs/>
        <w:color w:val="FFFFFF" w:themeColor="background1"/>
      </w:rPr>
      <w:tblPr/>
      <w:tcPr>
        <w:tcBorders>
          <w:bottom w:val="single" w:sz="12" w:space="0" w:color="FFFFFF" w:themeColor="background1"/>
        </w:tcBorders>
        <w:shd w:val="clear" w:color="auto" w:fill="3A9FB9" w:themeFill="accent6" w:themeFillShade="CC"/>
      </w:tcPr>
    </w:tblStylePr>
    <w:tblStylePr w:type="lastRow">
      <w:rPr>
        <w:b/>
        <w:bCs/>
        <w:color w:val="3A9FB9" w:themeColor="accent6"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4EC" w:themeFill="accent5" w:themeFillTint="3F"/>
      </w:tcPr>
    </w:tblStylePr>
    <w:tblStylePr w:type="band1Horz">
      <w:tblPr/>
      <w:tcPr>
        <w:shd w:val="clear" w:color="auto" w:fill="D0E9F0" w:themeFill="accent5" w:themeFillTint="33"/>
      </w:tcPr>
    </w:tblStylePr>
  </w:style>
  <w:style w:type="table" w:styleId="ColorfulList-Accent6">
    <w:name w:val="Colorful List Accent 6"/>
    <w:basedOn w:val="TableNormal"/>
    <w:uiPriority w:val="99"/>
    <w:semiHidden/>
    <w:rsid w:val="00361DEB"/>
    <w:pPr>
      <w:spacing w:after="0"/>
    </w:pPr>
    <w:rPr>
      <w:color w:val="00728F" w:themeColor="text1"/>
    </w:rPr>
    <w:tblPr>
      <w:tblStyleRowBandSize w:val="1"/>
      <w:tblStyleColBandSize w:val="1"/>
    </w:tblPr>
    <w:tcPr>
      <w:shd w:val="clear" w:color="auto" w:fill="EFF8FA" w:themeFill="accent6" w:themeFillTint="19"/>
    </w:tcPr>
    <w:tblStylePr w:type="firstRow">
      <w:rPr>
        <w:b/>
        <w:bCs/>
        <w:color w:val="FFFFFF" w:themeColor="background1"/>
      </w:rPr>
      <w:tblPr/>
      <w:tcPr>
        <w:tcBorders>
          <w:bottom w:val="single" w:sz="12" w:space="0" w:color="FFFFFF" w:themeColor="background1"/>
        </w:tcBorders>
        <w:shd w:val="clear" w:color="auto" w:fill="276A7B" w:themeFill="accent5" w:themeFillShade="CC"/>
      </w:tcPr>
    </w:tblStylePr>
    <w:tblStylePr w:type="lastRow">
      <w:rPr>
        <w:b/>
        <w:bCs/>
        <w:color w:val="276A7B" w:themeColor="accent5"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DF2" w:themeFill="accent6" w:themeFillTint="3F"/>
      </w:tcPr>
    </w:tblStylePr>
    <w:tblStylePr w:type="band1Horz">
      <w:tblPr/>
      <w:tcPr>
        <w:shd w:val="clear" w:color="auto" w:fill="DFF0F5" w:themeFill="accent6" w:themeFillTint="33"/>
      </w:tcPr>
    </w:tblStylePr>
  </w:style>
  <w:style w:type="table" w:customStyle="1" w:styleId="ColorfulShading1">
    <w:name w:val="Colorful Shading1"/>
    <w:basedOn w:val="TableNormal"/>
    <w:uiPriority w:val="99"/>
    <w:semiHidden/>
    <w:rsid w:val="00361DEB"/>
    <w:pPr>
      <w:spacing w:after="0"/>
    </w:pPr>
    <w:rPr>
      <w:color w:val="00728F" w:themeColor="text1"/>
    </w:rPr>
    <w:tblPr>
      <w:tblStyleRowBandSize w:val="1"/>
      <w:tblStyleColBandSize w:val="1"/>
      <w:tblBorders>
        <w:top w:val="single" w:sz="24" w:space="0" w:color="B7DDE8" w:themeColor="accent2"/>
        <w:left w:val="single" w:sz="4" w:space="0" w:color="00728F" w:themeColor="text1"/>
        <w:bottom w:val="single" w:sz="4" w:space="0" w:color="00728F" w:themeColor="text1"/>
        <w:right w:val="single" w:sz="4" w:space="0" w:color="00728F" w:themeColor="text1"/>
        <w:insideH w:val="single" w:sz="4" w:space="0" w:color="FFFFFF" w:themeColor="background1"/>
        <w:insideV w:val="single" w:sz="4" w:space="0" w:color="FFFFFF" w:themeColor="background1"/>
      </w:tblBorders>
    </w:tblPr>
    <w:tcPr>
      <w:shd w:val="clear" w:color="auto" w:fill="DBF7FF" w:themeFill="text1" w:themeFillTint="19"/>
    </w:tcPr>
    <w:tblStylePr w:type="firstRow">
      <w:rPr>
        <w:b/>
        <w:bCs/>
      </w:rPr>
      <w:tblPr/>
      <w:tcPr>
        <w:tcBorders>
          <w:top w:val="nil"/>
          <w:left w:val="nil"/>
          <w:bottom w:val="single" w:sz="24" w:space="0" w:color="B7DDE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55" w:themeFill="text1" w:themeFillShade="99"/>
      </w:tcPr>
    </w:tblStylePr>
    <w:tblStylePr w:type="firstCol">
      <w:rPr>
        <w:color w:val="FFFFFF" w:themeColor="background1"/>
      </w:rPr>
      <w:tblPr/>
      <w:tcPr>
        <w:tcBorders>
          <w:top w:val="nil"/>
          <w:left w:val="nil"/>
          <w:bottom w:val="nil"/>
          <w:right w:val="nil"/>
          <w:insideH w:val="single" w:sz="4" w:space="0" w:color="004455" w:themeColor="text1" w:themeShade="99"/>
          <w:insideV w:val="nil"/>
        </w:tcBorders>
        <w:shd w:val="clear" w:color="auto" w:fill="004455"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556B" w:themeFill="text1" w:themeFillShade="BF"/>
      </w:tcPr>
    </w:tblStylePr>
    <w:tblStylePr w:type="band1Vert">
      <w:tblPr/>
      <w:tcPr>
        <w:shd w:val="clear" w:color="auto" w:fill="6CE1FF" w:themeFill="text1" w:themeFillTint="66"/>
      </w:tcPr>
    </w:tblStylePr>
    <w:tblStylePr w:type="band1Horz">
      <w:tblPr/>
      <w:tcPr>
        <w:shd w:val="clear" w:color="auto" w:fill="48D9FF" w:themeFill="text1" w:themeFillTint="7F"/>
      </w:tcPr>
    </w:tblStylePr>
    <w:tblStylePr w:type="neCell">
      <w:rPr>
        <w:color w:val="00728F" w:themeColor="text1"/>
      </w:rPr>
    </w:tblStylePr>
    <w:tblStylePr w:type="nwCell">
      <w:rPr>
        <w:color w:val="00728F" w:themeColor="text1"/>
      </w:rPr>
    </w:tblStylePr>
  </w:style>
  <w:style w:type="table" w:styleId="ColorfulShading-Accent1">
    <w:name w:val="Colorful Shading Accent 1"/>
    <w:basedOn w:val="TableNormal"/>
    <w:uiPriority w:val="99"/>
    <w:semiHidden/>
    <w:rsid w:val="00361DEB"/>
    <w:pPr>
      <w:spacing w:after="0"/>
    </w:pPr>
    <w:rPr>
      <w:color w:val="00728F" w:themeColor="text1"/>
    </w:rPr>
    <w:tblPr>
      <w:tblStyleRowBandSize w:val="1"/>
      <w:tblStyleColBandSize w:val="1"/>
      <w:tblBorders>
        <w:top w:val="single" w:sz="24" w:space="0" w:color="B7DDE8" w:themeColor="accent2"/>
        <w:left w:val="single" w:sz="4" w:space="0" w:color="00728F" w:themeColor="accent1"/>
        <w:bottom w:val="single" w:sz="4" w:space="0" w:color="00728F" w:themeColor="accent1"/>
        <w:right w:val="single" w:sz="4" w:space="0" w:color="00728F" w:themeColor="accent1"/>
        <w:insideH w:val="single" w:sz="4" w:space="0" w:color="FFFFFF" w:themeColor="background1"/>
        <w:insideV w:val="single" w:sz="4" w:space="0" w:color="FFFFFF" w:themeColor="background1"/>
      </w:tblBorders>
    </w:tblPr>
    <w:tcPr>
      <w:shd w:val="clear" w:color="auto" w:fill="DBF7FF" w:themeFill="accent1" w:themeFillTint="19"/>
    </w:tcPr>
    <w:tblStylePr w:type="firstRow">
      <w:rPr>
        <w:b/>
        <w:bCs/>
      </w:rPr>
      <w:tblPr/>
      <w:tcPr>
        <w:tcBorders>
          <w:top w:val="nil"/>
          <w:left w:val="nil"/>
          <w:bottom w:val="single" w:sz="24" w:space="0" w:color="B7DDE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55" w:themeFill="accent1" w:themeFillShade="99"/>
      </w:tcPr>
    </w:tblStylePr>
    <w:tblStylePr w:type="firstCol">
      <w:rPr>
        <w:color w:val="FFFFFF" w:themeColor="background1"/>
      </w:rPr>
      <w:tblPr/>
      <w:tcPr>
        <w:tcBorders>
          <w:top w:val="nil"/>
          <w:left w:val="nil"/>
          <w:bottom w:val="nil"/>
          <w:right w:val="nil"/>
          <w:insideH w:val="single" w:sz="4" w:space="0" w:color="004455" w:themeColor="accent1" w:themeShade="99"/>
          <w:insideV w:val="nil"/>
        </w:tcBorders>
        <w:shd w:val="clear" w:color="auto" w:fill="0044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455" w:themeFill="accent1" w:themeFillShade="99"/>
      </w:tcPr>
    </w:tblStylePr>
    <w:tblStylePr w:type="band1Vert">
      <w:tblPr/>
      <w:tcPr>
        <w:shd w:val="clear" w:color="auto" w:fill="6CE1FF" w:themeFill="accent1" w:themeFillTint="66"/>
      </w:tcPr>
    </w:tblStylePr>
    <w:tblStylePr w:type="band1Horz">
      <w:tblPr/>
      <w:tcPr>
        <w:shd w:val="clear" w:color="auto" w:fill="48D9FF" w:themeFill="accent1" w:themeFillTint="7F"/>
      </w:tcPr>
    </w:tblStylePr>
    <w:tblStylePr w:type="neCell">
      <w:rPr>
        <w:color w:val="00728F" w:themeColor="text1"/>
      </w:rPr>
    </w:tblStylePr>
    <w:tblStylePr w:type="nwCell">
      <w:rPr>
        <w:color w:val="00728F" w:themeColor="text1"/>
      </w:rPr>
    </w:tblStylePr>
  </w:style>
  <w:style w:type="table" w:styleId="ColorfulShading-Accent2">
    <w:name w:val="Colorful Shading Accent 2"/>
    <w:basedOn w:val="TableNormal"/>
    <w:uiPriority w:val="99"/>
    <w:semiHidden/>
    <w:rsid w:val="00361DEB"/>
    <w:pPr>
      <w:spacing w:after="0"/>
    </w:pPr>
    <w:rPr>
      <w:color w:val="00728F" w:themeColor="text1"/>
    </w:rPr>
    <w:tblPr>
      <w:tblStyleRowBandSize w:val="1"/>
      <w:tblStyleColBandSize w:val="1"/>
      <w:tblBorders>
        <w:top w:val="single" w:sz="24" w:space="0" w:color="B7DDE8" w:themeColor="accent2"/>
        <w:left w:val="single" w:sz="4" w:space="0" w:color="B7DDE8" w:themeColor="accent2"/>
        <w:bottom w:val="single" w:sz="4" w:space="0" w:color="B7DDE8" w:themeColor="accent2"/>
        <w:right w:val="single" w:sz="4" w:space="0" w:color="B7DDE8" w:themeColor="accent2"/>
        <w:insideH w:val="single" w:sz="4" w:space="0" w:color="FFFFFF" w:themeColor="background1"/>
        <w:insideV w:val="single" w:sz="4" w:space="0" w:color="FFFFFF" w:themeColor="background1"/>
      </w:tblBorders>
    </w:tblPr>
    <w:tcPr>
      <w:shd w:val="clear" w:color="auto" w:fill="F7FBFC" w:themeFill="accent2" w:themeFillTint="19"/>
    </w:tcPr>
    <w:tblStylePr w:type="firstRow">
      <w:rPr>
        <w:b/>
        <w:bCs/>
      </w:rPr>
      <w:tblPr/>
      <w:tcPr>
        <w:tcBorders>
          <w:top w:val="nil"/>
          <w:left w:val="nil"/>
          <w:bottom w:val="single" w:sz="24" w:space="0" w:color="B7DDE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9FBC" w:themeFill="accent2" w:themeFillShade="99"/>
      </w:tcPr>
    </w:tblStylePr>
    <w:tblStylePr w:type="firstCol">
      <w:rPr>
        <w:color w:val="FFFFFF" w:themeColor="background1"/>
      </w:rPr>
      <w:tblPr/>
      <w:tcPr>
        <w:tcBorders>
          <w:top w:val="nil"/>
          <w:left w:val="nil"/>
          <w:bottom w:val="nil"/>
          <w:right w:val="nil"/>
          <w:insideH w:val="single" w:sz="4" w:space="0" w:color="3C9FBC" w:themeColor="accent2" w:themeShade="99"/>
          <w:insideV w:val="nil"/>
        </w:tcBorders>
        <w:shd w:val="clear" w:color="auto" w:fill="3C9FB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C9FBC" w:themeFill="accent2" w:themeFillShade="99"/>
      </w:tcPr>
    </w:tblStylePr>
    <w:tblStylePr w:type="band1Vert">
      <w:tblPr/>
      <w:tcPr>
        <w:shd w:val="clear" w:color="auto" w:fill="E2F1F5" w:themeFill="accent2" w:themeFillTint="66"/>
      </w:tcPr>
    </w:tblStylePr>
    <w:tblStylePr w:type="band1Horz">
      <w:tblPr/>
      <w:tcPr>
        <w:shd w:val="clear" w:color="auto" w:fill="DBEEF3" w:themeFill="accent2" w:themeFillTint="7F"/>
      </w:tcPr>
    </w:tblStylePr>
    <w:tblStylePr w:type="neCell">
      <w:rPr>
        <w:color w:val="00728F" w:themeColor="text1"/>
      </w:rPr>
    </w:tblStylePr>
    <w:tblStylePr w:type="nwCell">
      <w:rPr>
        <w:color w:val="00728F" w:themeColor="text1"/>
      </w:rPr>
    </w:tblStylePr>
  </w:style>
  <w:style w:type="table" w:styleId="ColorfulShading-Accent3">
    <w:name w:val="Colorful Shading Accent 3"/>
    <w:basedOn w:val="TableNormal"/>
    <w:uiPriority w:val="99"/>
    <w:semiHidden/>
    <w:rsid w:val="00361DEB"/>
    <w:pPr>
      <w:spacing w:after="0"/>
    </w:pPr>
    <w:rPr>
      <w:color w:val="00728F" w:themeColor="text1"/>
    </w:rPr>
    <w:tblPr>
      <w:tblStyleRowBandSize w:val="1"/>
      <w:tblStyleColBandSize w:val="1"/>
      <w:tblBorders>
        <w:top w:val="single" w:sz="24" w:space="0" w:color="92CDDC" w:themeColor="accent4"/>
        <w:left w:val="single" w:sz="4" w:space="0" w:color="DBEEF3" w:themeColor="accent3"/>
        <w:bottom w:val="single" w:sz="4" w:space="0" w:color="DBEEF3" w:themeColor="accent3"/>
        <w:right w:val="single" w:sz="4" w:space="0" w:color="DBEEF3" w:themeColor="accent3"/>
        <w:insideH w:val="single" w:sz="4" w:space="0" w:color="FFFFFF" w:themeColor="background1"/>
        <w:insideV w:val="single" w:sz="4" w:space="0" w:color="FFFFFF" w:themeColor="background1"/>
      </w:tblBorders>
    </w:tblPr>
    <w:tcPr>
      <w:shd w:val="clear" w:color="auto" w:fill="FBFDFD" w:themeFill="accent3" w:themeFillTint="19"/>
    </w:tcPr>
    <w:tblStylePr w:type="firstRow">
      <w:rPr>
        <w:b/>
        <w:bCs/>
      </w:rPr>
      <w:tblPr/>
      <w:tcPr>
        <w:tcBorders>
          <w:top w:val="nil"/>
          <w:left w:val="nil"/>
          <w:bottom w:val="single" w:sz="24" w:space="0" w:color="92CDD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ACC4" w:themeFill="accent3" w:themeFillShade="99"/>
      </w:tcPr>
    </w:tblStylePr>
    <w:tblStylePr w:type="firstCol">
      <w:rPr>
        <w:color w:val="FFFFFF" w:themeColor="background1"/>
      </w:rPr>
      <w:tblPr/>
      <w:tcPr>
        <w:tcBorders>
          <w:top w:val="nil"/>
          <w:left w:val="nil"/>
          <w:bottom w:val="nil"/>
          <w:right w:val="nil"/>
          <w:insideH w:val="single" w:sz="4" w:space="0" w:color="50ACC4" w:themeColor="accent3" w:themeShade="99"/>
          <w:insideV w:val="nil"/>
        </w:tcBorders>
        <w:shd w:val="clear" w:color="auto" w:fill="50ACC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0ACC4" w:themeFill="accent3" w:themeFillShade="99"/>
      </w:tcPr>
    </w:tblStylePr>
    <w:tblStylePr w:type="band1Vert">
      <w:tblPr/>
      <w:tcPr>
        <w:shd w:val="clear" w:color="auto" w:fill="F0F8FA" w:themeFill="accent3" w:themeFillTint="66"/>
      </w:tcPr>
    </w:tblStylePr>
    <w:tblStylePr w:type="band1Horz">
      <w:tblPr/>
      <w:tcPr>
        <w:shd w:val="clear" w:color="auto" w:fill="EDF6F9" w:themeFill="accent3" w:themeFillTint="7F"/>
      </w:tcPr>
    </w:tblStylePr>
  </w:style>
  <w:style w:type="table" w:styleId="ColorfulShading-Accent4">
    <w:name w:val="Colorful Shading Accent 4"/>
    <w:basedOn w:val="TableNormal"/>
    <w:uiPriority w:val="99"/>
    <w:semiHidden/>
    <w:rsid w:val="00361DEB"/>
    <w:pPr>
      <w:spacing w:after="0"/>
    </w:pPr>
    <w:rPr>
      <w:color w:val="00728F" w:themeColor="text1"/>
    </w:rPr>
    <w:tblPr>
      <w:tblStyleRowBandSize w:val="1"/>
      <w:tblStyleColBandSize w:val="1"/>
      <w:tblBorders>
        <w:top w:val="single" w:sz="24" w:space="0" w:color="DBEEF3" w:themeColor="accent3"/>
        <w:left w:val="single" w:sz="4" w:space="0" w:color="92CDDC" w:themeColor="accent4"/>
        <w:bottom w:val="single" w:sz="4" w:space="0" w:color="92CDDC" w:themeColor="accent4"/>
        <w:right w:val="single" w:sz="4" w:space="0" w:color="92CDDC" w:themeColor="accent4"/>
        <w:insideH w:val="single" w:sz="4" w:space="0" w:color="FFFFFF" w:themeColor="background1"/>
        <w:insideV w:val="single" w:sz="4" w:space="0" w:color="FFFFFF" w:themeColor="background1"/>
      </w:tblBorders>
    </w:tblPr>
    <w:tcPr>
      <w:shd w:val="clear" w:color="auto" w:fill="F4FAFB" w:themeFill="accent4" w:themeFillTint="19"/>
    </w:tcPr>
    <w:tblStylePr w:type="firstRow">
      <w:rPr>
        <w:b/>
        <w:bCs/>
      </w:rPr>
      <w:tblPr/>
      <w:tcPr>
        <w:tcBorders>
          <w:top w:val="nil"/>
          <w:left w:val="nil"/>
          <w:bottom w:val="single" w:sz="24" w:space="0" w:color="DBEEF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8FA6" w:themeFill="accent4" w:themeFillShade="99"/>
      </w:tcPr>
    </w:tblStylePr>
    <w:tblStylePr w:type="firstCol">
      <w:rPr>
        <w:color w:val="FFFFFF" w:themeColor="background1"/>
      </w:rPr>
      <w:tblPr/>
      <w:tcPr>
        <w:tcBorders>
          <w:top w:val="nil"/>
          <w:left w:val="nil"/>
          <w:bottom w:val="nil"/>
          <w:right w:val="nil"/>
          <w:insideH w:val="single" w:sz="4" w:space="0" w:color="358FA6" w:themeColor="accent4" w:themeShade="99"/>
          <w:insideV w:val="nil"/>
        </w:tcBorders>
        <w:shd w:val="clear" w:color="auto" w:fill="358FA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58FA6" w:themeFill="accent4" w:themeFillShade="99"/>
      </w:tcPr>
    </w:tblStylePr>
    <w:tblStylePr w:type="band1Vert">
      <w:tblPr/>
      <w:tcPr>
        <w:shd w:val="clear" w:color="auto" w:fill="D3EAF1" w:themeFill="accent4" w:themeFillTint="66"/>
      </w:tcPr>
    </w:tblStylePr>
    <w:tblStylePr w:type="band1Horz">
      <w:tblPr/>
      <w:tcPr>
        <w:shd w:val="clear" w:color="auto" w:fill="C8E5ED" w:themeFill="accent4" w:themeFillTint="7F"/>
      </w:tcPr>
    </w:tblStylePr>
    <w:tblStylePr w:type="neCell">
      <w:rPr>
        <w:color w:val="00728F" w:themeColor="text1"/>
      </w:rPr>
    </w:tblStylePr>
    <w:tblStylePr w:type="nwCell">
      <w:rPr>
        <w:color w:val="00728F" w:themeColor="text1"/>
      </w:rPr>
    </w:tblStylePr>
  </w:style>
  <w:style w:type="table" w:styleId="ColorfulShading-Accent5">
    <w:name w:val="Colorful Shading Accent 5"/>
    <w:basedOn w:val="TableNormal"/>
    <w:uiPriority w:val="99"/>
    <w:semiHidden/>
    <w:rsid w:val="00361DEB"/>
    <w:pPr>
      <w:spacing w:after="0"/>
    </w:pPr>
    <w:rPr>
      <w:color w:val="00728F" w:themeColor="text1"/>
    </w:rPr>
    <w:tblPr>
      <w:tblStyleRowBandSize w:val="1"/>
      <w:tblStyleColBandSize w:val="1"/>
      <w:tblBorders>
        <w:top w:val="single" w:sz="24" w:space="0" w:color="64B8CE" w:themeColor="accent6"/>
        <w:left w:val="single" w:sz="4" w:space="0" w:color="31859B" w:themeColor="accent5"/>
        <w:bottom w:val="single" w:sz="4" w:space="0" w:color="31859B" w:themeColor="accent5"/>
        <w:right w:val="single" w:sz="4" w:space="0" w:color="31859B" w:themeColor="accent5"/>
        <w:insideH w:val="single" w:sz="4" w:space="0" w:color="FFFFFF" w:themeColor="background1"/>
        <w:insideV w:val="single" w:sz="4" w:space="0" w:color="FFFFFF" w:themeColor="background1"/>
      </w:tblBorders>
    </w:tblPr>
    <w:tcPr>
      <w:shd w:val="clear" w:color="auto" w:fill="E8F4F7" w:themeFill="accent5" w:themeFillTint="19"/>
    </w:tcPr>
    <w:tblStylePr w:type="firstRow">
      <w:rPr>
        <w:b/>
        <w:bCs/>
      </w:rPr>
      <w:tblPr/>
      <w:tcPr>
        <w:tcBorders>
          <w:top w:val="nil"/>
          <w:left w:val="nil"/>
          <w:bottom w:val="single" w:sz="24" w:space="0" w:color="64B8C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4F5C" w:themeFill="accent5" w:themeFillShade="99"/>
      </w:tcPr>
    </w:tblStylePr>
    <w:tblStylePr w:type="firstCol">
      <w:rPr>
        <w:color w:val="FFFFFF" w:themeColor="background1"/>
      </w:rPr>
      <w:tblPr/>
      <w:tcPr>
        <w:tcBorders>
          <w:top w:val="nil"/>
          <w:left w:val="nil"/>
          <w:bottom w:val="nil"/>
          <w:right w:val="nil"/>
          <w:insideH w:val="single" w:sz="4" w:space="0" w:color="1D4F5C" w:themeColor="accent5" w:themeShade="99"/>
          <w:insideV w:val="nil"/>
        </w:tcBorders>
        <w:shd w:val="clear" w:color="auto" w:fill="1D4F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D4F5C" w:themeFill="accent5" w:themeFillShade="99"/>
      </w:tcPr>
    </w:tblStylePr>
    <w:tblStylePr w:type="band1Vert">
      <w:tblPr/>
      <w:tcPr>
        <w:shd w:val="clear" w:color="auto" w:fill="A1D4E1" w:themeFill="accent5" w:themeFillTint="66"/>
      </w:tcPr>
    </w:tblStylePr>
    <w:tblStylePr w:type="band1Horz">
      <w:tblPr/>
      <w:tcPr>
        <w:shd w:val="clear" w:color="auto" w:fill="8BC9DA" w:themeFill="accent5" w:themeFillTint="7F"/>
      </w:tcPr>
    </w:tblStylePr>
    <w:tblStylePr w:type="neCell">
      <w:rPr>
        <w:color w:val="00728F" w:themeColor="text1"/>
      </w:rPr>
    </w:tblStylePr>
    <w:tblStylePr w:type="nwCell">
      <w:rPr>
        <w:color w:val="00728F" w:themeColor="text1"/>
      </w:rPr>
    </w:tblStylePr>
  </w:style>
  <w:style w:type="table" w:styleId="ColorfulShading-Accent6">
    <w:name w:val="Colorful Shading Accent 6"/>
    <w:basedOn w:val="TableNormal"/>
    <w:uiPriority w:val="99"/>
    <w:semiHidden/>
    <w:rsid w:val="00361DEB"/>
    <w:pPr>
      <w:spacing w:after="0"/>
    </w:pPr>
    <w:rPr>
      <w:color w:val="00728F" w:themeColor="text1"/>
    </w:rPr>
    <w:tblPr>
      <w:tblStyleRowBandSize w:val="1"/>
      <w:tblStyleColBandSize w:val="1"/>
      <w:tblBorders>
        <w:top w:val="single" w:sz="24" w:space="0" w:color="31859B" w:themeColor="accent5"/>
        <w:left w:val="single" w:sz="4" w:space="0" w:color="64B8CE" w:themeColor="accent6"/>
        <w:bottom w:val="single" w:sz="4" w:space="0" w:color="64B8CE" w:themeColor="accent6"/>
        <w:right w:val="single" w:sz="4" w:space="0" w:color="64B8CE" w:themeColor="accent6"/>
        <w:insideH w:val="single" w:sz="4" w:space="0" w:color="FFFFFF" w:themeColor="background1"/>
        <w:insideV w:val="single" w:sz="4" w:space="0" w:color="FFFFFF" w:themeColor="background1"/>
      </w:tblBorders>
    </w:tblPr>
    <w:tcPr>
      <w:shd w:val="clear" w:color="auto" w:fill="EFF8FA" w:themeFill="accent6" w:themeFillTint="19"/>
    </w:tcPr>
    <w:tblStylePr w:type="firstRow">
      <w:rPr>
        <w:b/>
        <w:bCs/>
      </w:rPr>
      <w:tblPr/>
      <w:tcPr>
        <w:tcBorders>
          <w:top w:val="nil"/>
          <w:left w:val="nil"/>
          <w:bottom w:val="single" w:sz="24" w:space="0" w:color="31859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778B" w:themeFill="accent6" w:themeFillShade="99"/>
      </w:tcPr>
    </w:tblStylePr>
    <w:tblStylePr w:type="firstCol">
      <w:rPr>
        <w:color w:val="FFFFFF" w:themeColor="background1"/>
      </w:rPr>
      <w:tblPr/>
      <w:tcPr>
        <w:tcBorders>
          <w:top w:val="nil"/>
          <w:left w:val="nil"/>
          <w:bottom w:val="nil"/>
          <w:right w:val="nil"/>
          <w:insideH w:val="single" w:sz="4" w:space="0" w:color="2C778B" w:themeColor="accent6" w:themeShade="99"/>
          <w:insideV w:val="nil"/>
        </w:tcBorders>
        <w:shd w:val="clear" w:color="auto" w:fill="2C778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C778B" w:themeFill="accent6" w:themeFillShade="99"/>
      </w:tcPr>
    </w:tblStylePr>
    <w:tblStylePr w:type="band1Vert">
      <w:tblPr/>
      <w:tcPr>
        <w:shd w:val="clear" w:color="auto" w:fill="C0E2EB" w:themeFill="accent6" w:themeFillTint="66"/>
      </w:tcPr>
    </w:tblStylePr>
    <w:tblStylePr w:type="band1Horz">
      <w:tblPr/>
      <w:tcPr>
        <w:shd w:val="clear" w:color="auto" w:fill="B1DBE6" w:themeFill="accent6" w:themeFillTint="7F"/>
      </w:tcPr>
    </w:tblStylePr>
    <w:tblStylePr w:type="neCell">
      <w:rPr>
        <w:color w:val="00728F" w:themeColor="text1"/>
      </w:rPr>
    </w:tblStylePr>
    <w:tblStylePr w:type="nwCell">
      <w:rPr>
        <w:color w:val="00728F" w:themeColor="text1"/>
      </w:rPr>
    </w:tblStylePr>
  </w:style>
  <w:style w:type="table" w:customStyle="1" w:styleId="DarkList1">
    <w:name w:val="Dark List1"/>
    <w:basedOn w:val="TableNormal"/>
    <w:uiPriority w:val="99"/>
    <w:semiHidden/>
    <w:rsid w:val="00361DEB"/>
    <w:pPr>
      <w:spacing w:after="0"/>
    </w:pPr>
    <w:rPr>
      <w:color w:val="FFFFFF" w:themeColor="background1"/>
    </w:rPr>
    <w:tblPr>
      <w:tblStyleRowBandSize w:val="1"/>
      <w:tblStyleColBandSize w:val="1"/>
    </w:tblPr>
    <w:tcPr>
      <w:shd w:val="clear" w:color="auto" w:fill="00728F"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003847"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556B"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556B" w:themeFill="text1" w:themeFillShade="BF"/>
      </w:tcPr>
    </w:tblStylePr>
    <w:tblStylePr w:type="band1Vert">
      <w:tblPr/>
      <w:tcPr>
        <w:tcBorders>
          <w:top w:val="nil"/>
          <w:left w:val="nil"/>
          <w:bottom w:val="nil"/>
          <w:right w:val="nil"/>
          <w:insideH w:val="nil"/>
          <w:insideV w:val="nil"/>
        </w:tcBorders>
        <w:shd w:val="clear" w:color="auto" w:fill="00556B" w:themeFill="text1" w:themeFillShade="BF"/>
      </w:tcPr>
    </w:tblStylePr>
    <w:tblStylePr w:type="band1Horz">
      <w:tblPr/>
      <w:tcPr>
        <w:tcBorders>
          <w:top w:val="nil"/>
          <w:left w:val="nil"/>
          <w:bottom w:val="nil"/>
          <w:right w:val="nil"/>
          <w:insideH w:val="nil"/>
          <w:insideV w:val="nil"/>
        </w:tcBorders>
        <w:shd w:val="clear" w:color="auto" w:fill="00556B" w:themeFill="text1" w:themeFillShade="BF"/>
      </w:tcPr>
    </w:tblStylePr>
  </w:style>
  <w:style w:type="table" w:styleId="DarkList-Accent1">
    <w:name w:val="Dark List Accent 1"/>
    <w:basedOn w:val="TableNormal"/>
    <w:uiPriority w:val="99"/>
    <w:semiHidden/>
    <w:rsid w:val="00361DEB"/>
    <w:pPr>
      <w:spacing w:after="0"/>
    </w:pPr>
    <w:rPr>
      <w:color w:val="FFFFFF" w:themeColor="background1"/>
    </w:rPr>
    <w:tblPr>
      <w:tblStyleRowBandSize w:val="1"/>
      <w:tblStyleColBandSize w:val="1"/>
    </w:tblPr>
    <w:tcPr>
      <w:shd w:val="clear" w:color="auto" w:fill="00728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00384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56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56B" w:themeFill="accent1" w:themeFillShade="BF"/>
      </w:tcPr>
    </w:tblStylePr>
    <w:tblStylePr w:type="band1Vert">
      <w:tblPr/>
      <w:tcPr>
        <w:tcBorders>
          <w:top w:val="nil"/>
          <w:left w:val="nil"/>
          <w:bottom w:val="nil"/>
          <w:right w:val="nil"/>
          <w:insideH w:val="nil"/>
          <w:insideV w:val="nil"/>
        </w:tcBorders>
        <w:shd w:val="clear" w:color="auto" w:fill="00556B" w:themeFill="accent1" w:themeFillShade="BF"/>
      </w:tcPr>
    </w:tblStylePr>
    <w:tblStylePr w:type="band1Horz">
      <w:tblPr/>
      <w:tcPr>
        <w:tcBorders>
          <w:top w:val="nil"/>
          <w:left w:val="nil"/>
          <w:bottom w:val="nil"/>
          <w:right w:val="nil"/>
          <w:insideH w:val="nil"/>
          <w:insideV w:val="nil"/>
        </w:tcBorders>
        <w:shd w:val="clear" w:color="auto" w:fill="00556B" w:themeFill="accent1" w:themeFillShade="BF"/>
      </w:tcPr>
    </w:tblStylePr>
  </w:style>
  <w:style w:type="table" w:styleId="DarkList-Accent2">
    <w:name w:val="Dark List Accent 2"/>
    <w:basedOn w:val="TableNormal"/>
    <w:uiPriority w:val="99"/>
    <w:semiHidden/>
    <w:rsid w:val="00361DEB"/>
    <w:pPr>
      <w:spacing w:after="0"/>
    </w:pPr>
    <w:rPr>
      <w:color w:val="FFFFFF" w:themeColor="background1"/>
    </w:rPr>
    <w:tblPr>
      <w:tblStyleRowBandSize w:val="1"/>
      <w:tblStyleColBandSize w:val="1"/>
    </w:tblPr>
    <w:tcPr>
      <w:shd w:val="clear" w:color="auto" w:fill="B7DDE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32849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7B7C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7B7CE" w:themeFill="accent2" w:themeFillShade="BF"/>
      </w:tcPr>
    </w:tblStylePr>
    <w:tblStylePr w:type="band1Vert">
      <w:tblPr/>
      <w:tcPr>
        <w:tcBorders>
          <w:top w:val="nil"/>
          <w:left w:val="nil"/>
          <w:bottom w:val="nil"/>
          <w:right w:val="nil"/>
          <w:insideH w:val="nil"/>
          <w:insideV w:val="nil"/>
        </w:tcBorders>
        <w:shd w:val="clear" w:color="auto" w:fill="67B7CE" w:themeFill="accent2" w:themeFillShade="BF"/>
      </w:tcPr>
    </w:tblStylePr>
    <w:tblStylePr w:type="band1Horz">
      <w:tblPr/>
      <w:tcPr>
        <w:tcBorders>
          <w:top w:val="nil"/>
          <w:left w:val="nil"/>
          <w:bottom w:val="nil"/>
          <w:right w:val="nil"/>
          <w:insideH w:val="nil"/>
          <w:insideV w:val="nil"/>
        </w:tcBorders>
        <w:shd w:val="clear" w:color="auto" w:fill="67B7CE" w:themeFill="accent2" w:themeFillShade="BF"/>
      </w:tcPr>
    </w:tblStylePr>
  </w:style>
  <w:style w:type="table" w:styleId="DarkList-Accent3">
    <w:name w:val="Dark List Accent 3"/>
    <w:basedOn w:val="TableNormal"/>
    <w:uiPriority w:val="99"/>
    <w:semiHidden/>
    <w:rsid w:val="00361DEB"/>
    <w:pPr>
      <w:spacing w:after="0"/>
    </w:pPr>
    <w:rPr>
      <w:color w:val="FFFFFF" w:themeColor="background1"/>
    </w:rPr>
    <w:tblPr>
      <w:tblStyleRowBandSize w:val="1"/>
      <w:tblStyleColBandSize w:val="1"/>
    </w:tblPr>
    <w:tcPr>
      <w:shd w:val="clear" w:color="auto" w:fill="DBEEF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3994A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C4D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C4D6" w:themeFill="accent3" w:themeFillShade="BF"/>
      </w:tcPr>
    </w:tblStylePr>
    <w:tblStylePr w:type="band1Vert">
      <w:tblPr/>
      <w:tcPr>
        <w:tcBorders>
          <w:top w:val="nil"/>
          <w:left w:val="nil"/>
          <w:bottom w:val="nil"/>
          <w:right w:val="nil"/>
          <w:insideH w:val="nil"/>
          <w:insideV w:val="nil"/>
        </w:tcBorders>
        <w:shd w:val="clear" w:color="auto" w:fill="84C4D6" w:themeFill="accent3" w:themeFillShade="BF"/>
      </w:tcPr>
    </w:tblStylePr>
    <w:tblStylePr w:type="band1Horz">
      <w:tblPr/>
      <w:tcPr>
        <w:tcBorders>
          <w:top w:val="nil"/>
          <w:left w:val="nil"/>
          <w:bottom w:val="nil"/>
          <w:right w:val="nil"/>
          <w:insideH w:val="nil"/>
          <w:insideV w:val="nil"/>
        </w:tcBorders>
        <w:shd w:val="clear" w:color="auto" w:fill="84C4D6" w:themeFill="accent3" w:themeFillShade="BF"/>
      </w:tcPr>
    </w:tblStylePr>
  </w:style>
  <w:style w:type="table" w:styleId="DarkList-Accent4">
    <w:name w:val="Dark List Accent 4"/>
    <w:basedOn w:val="TableNormal"/>
    <w:uiPriority w:val="99"/>
    <w:semiHidden/>
    <w:rsid w:val="00361DEB"/>
    <w:pPr>
      <w:spacing w:after="0"/>
    </w:pPr>
    <w:rPr>
      <w:color w:val="FFFFFF" w:themeColor="background1"/>
    </w:rPr>
    <w:tblPr>
      <w:tblStyleRowBandSize w:val="1"/>
      <w:tblStyleColBandSize w:val="1"/>
    </w:tblPr>
    <w:tcPr>
      <w:shd w:val="clear" w:color="auto" w:fill="92CDD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2C768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CACC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CACC5" w:themeFill="accent4" w:themeFillShade="BF"/>
      </w:tcPr>
    </w:tblStylePr>
    <w:tblStylePr w:type="band1Vert">
      <w:tblPr/>
      <w:tcPr>
        <w:tcBorders>
          <w:top w:val="nil"/>
          <w:left w:val="nil"/>
          <w:bottom w:val="nil"/>
          <w:right w:val="nil"/>
          <w:insideH w:val="nil"/>
          <w:insideV w:val="nil"/>
        </w:tcBorders>
        <w:shd w:val="clear" w:color="auto" w:fill="4CACC5" w:themeFill="accent4" w:themeFillShade="BF"/>
      </w:tcPr>
    </w:tblStylePr>
    <w:tblStylePr w:type="band1Horz">
      <w:tblPr/>
      <w:tcPr>
        <w:tcBorders>
          <w:top w:val="nil"/>
          <w:left w:val="nil"/>
          <w:bottom w:val="nil"/>
          <w:right w:val="nil"/>
          <w:insideH w:val="nil"/>
          <w:insideV w:val="nil"/>
        </w:tcBorders>
        <w:shd w:val="clear" w:color="auto" w:fill="4CACC5" w:themeFill="accent4" w:themeFillShade="BF"/>
      </w:tcPr>
    </w:tblStylePr>
  </w:style>
  <w:style w:type="table" w:styleId="DarkList-Accent5">
    <w:name w:val="Dark List Accent 5"/>
    <w:basedOn w:val="TableNormal"/>
    <w:uiPriority w:val="99"/>
    <w:semiHidden/>
    <w:rsid w:val="00361DEB"/>
    <w:pPr>
      <w:spacing w:after="0"/>
    </w:pPr>
    <w:rPr>
      <w:color w:val="FFFFFF" w:themeColor="background1"/>
    </w:rPr>
    <w:tblPr>
      <w:tblStyleRowBandSize w:val="1"/>
      <w:tblStyleColBandSize w:val="1"/>
    </w:tblPr>
    <w:tcPr>
      <w:shd w:val="clear" w:color="auto" w:fill="31859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18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463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46373" w:themeFill="accent5" w:themeFillShade="BF"/>
      </w:tcPr>
    </w:tblStylePr>
    <w:tblStylePr w:type="band1Vert">
      <w:tblPr/>
      <w:tcPr>
        <w:tcBorders>
          <w:top w:val="nil"/>
          <w:left w:val="nil"/>
          <w:bottom w:val="nil"/>
          <w:right w:val="nil"/>
          <w:insideH w:val="nil"/>
          <w:insideV w:val="nil"/>
        </w:tcBorders>
        <w:shd w:val="clear" w:color="auto" w:fill="246373" w:themeFill="accent5" w:themeFillShade="BF"/>
      </w:tcPr>
    </w:tblStylePr>
    <w:tblStylePr w:type="band1Horz">
      <w:tblPr/>
      <w:tcPr>
        <w:tcBorders>
          <w:top w:val="nil"/>
          <w:left w:val="nil"/>
          <w:bottom w:val="nil"/>
          <w:right w:val="nil"/>
          <w:insideH w:val="nil"/>
          <w:insideV w:val="nil"/>
        </w:tcBorders>
        <w:shd w:val="clear" w:color="auto" w:fill="246373" w:themeFill="accent5" w:themeFillShade="BF"/>
      </w:tcPr>
    </w:tblStylePr>
  </w:style>
  <w:style w:type="table" w:styleId="DarkList-Accent6">
    <w:name w:val="Dark List Accent 6"/>
    <w:basedOn w:val="TableNormal"/>
    <w:uiPriority w:val="99"/>
    <w:semiHidden/>
    <w:rsid w:val="00361DEB"/>
    <w:pPr>
      <w:spacing w:after="0"/>
    </w:pPr>
    <w:rPr>
      <w:color w:val="FFFFFF" w:themeColor="background1"/>
    </w:rPr>
    <w:tblPr>
      <w:tblStyleRowBandSize w:val="1"/>
      <w:tblStyleColBandSize w:val="1"/>
    </w:tblPr>
    <w:tcPr>
      <w:shd w:val="clear" w:color="auto" w:fill="64B8C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24637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795A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795AD" w:themeFill="accent6" w:themeFillShade="BF"/>
      </w:tcPr>
    </w:tblStylePr>
    <w:tblStylePr w:type="band1Vert">
      <w:tblPr/>
      <w:tcPr>
        <w:tcBorders>
          <w:top w:val="nil"/>
          <w:left w:val="nil"/>
          <w:bottom w:val="nil"/>
          <w:right w:val="nil"/>
          <w:insideH w:val="nil"/>
          <w:insideV w:val="nil"/>
        </w:tcBorders>
        <w:shd w:val="clear" w:color="auto" w:fill="3795AD" w:themeFill="accent6" w:themeFillShade="BF"/>
      </w:tcPr>
    </w:tblStylePr>
    <w:tblStylePr w:type="band1Horz">
      <w:tblPr/>
      <w:tcPr>
        <w:tcBorders>
          <w:top w:val="nil"/>
          <w:left w:val="nil"/>
          <w:bottom w:val="nil"/>
          <w:right w:val="nil"/>
          <w:insideH w:val="nil"/>
          <w:insideV w:val="nil"/>
        </w:tcBorders>
        <w:shd w:val="clear" w:color="auto" w:fill="3795AD" w:themeFill="accent6" w:themeFillShade="BF"/>
      </w:tcPr>
    </w:tblStylePr>
  </w:style>
  <w:style w:type="table" w:customStyle="1" w:styleId="LightGrid1">
    <w:name w:val="Light Grid1"/>
    <w:basedOn w:val="TableNormal"/>
    <w:uiPriority w:val="99"/>
    <w:semiHidden/>
    <w:rsid w:val="00361DEB"/>
    <w:pPr>
      <w:spacing w:after="0"/>
    </w:pPr>
    <w:tblPr>
      <w:tblStyleRowBandSize w:val="1"/>
      <w:tblStyleColBandSize w:val="1"/>
      <w:tblBorders>
        <w:top w:val="single" w:sz="8" w:space="0" w:color="00728F" w:themeColor="text1"/>
        <w:left w:val="single" w:sz="8" w:space="0" w:color="00728F" w:themeColor="text1"/>
        <w:bottom w:val="single" w:sz="8" w:space="0" w:color="00728F" w:themeColor="text1"/>
        <w:right w:val="single" w:sz="8" w:space="0" w:color="00728F" w:themeColor="text1"/>
        <w:insideH w:val="single" w:sz="8" w:space="0" w:color="00728F" w:themeColor="text1"/>
        <w:insideV w:val="single" w:sz="8" w:space="0" w:color="00728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8F" w:themeColor="text1"/>
          <w:left w:val="single" w:sz="8" w:space="0" w:color="00728F" w:themeColor="text1"/>
          <w:bottom w:val="single" w:sz="18" w:space="0" w:color="00728F" w:themeColor="text1"/>
          <w:right w:val="single" w:sz="8" w:space="0" w:color="00728F" w:themeColor="text1"/>
          <w:insideH w:val="nil"/>
          <w:insideV w:val="single" w:sz="8" w:space="0" w:color="00728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8F" w:themeColor="text1"/>
          <w:left w:val="single" w:sz="8" w:space="0" w:color="00728F" w:themeColor="text1"/>
          <w:bottom w:val="single" w:sz="8" w:space="0" w:color="00728F" w:themeColor="text1"/>
          <w:right w:val="single" w:sz="8" w:space="0" w:color="00728F" w:themeColor="text1"/>
          <w:insideH w:val="nil"/>
          <w:insideV w:val="single" w:sz="8" w:space="0" w:color="00728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8F" w:themeColor="text1"/>
          <w:left w:val="single" w:sz="8" w:space="0" w:color="00728F" w:themeColor="text1"/>
          <w:bottom w:val="single" w:sz="8" w:space="0" w:color="00728F" w:themeColor="text1"/>
          <w:right w:val="single" w:sz="8" w:space="0" w:color="00728F" w:themeColor="text1"/>
        </w:tcBorders>
      </w:tcPr>
    </w:tblStylePr>
    <w:tblStylePr w:type="band1Vert">
      <w:tblPr/>
      <w:tcPr>
        <w:tcBorders>
          <w:top w:val="single" w:sz="8" w:space="0" w:color="00728F" w:themeColor="text1"/>
          <w:left w:val="single" w:sz="8" w:space="0" w:color="00728F" w:themeColor="text1"/>
          <w:bottom w:val="single" w:sz="8" w:space="0" w:color="00728F" w:themeColor="text1"/>
          <w:right w:val="single" w:sz="8" w:space="0" w:color="00728F" w:themeColor="text1"/>
        </w:tcBorders>
        <w:shd w:val="clear" w:color="auto" w:fill="A4ECFF" w:themeFill="text1" w:themeFillTint="3F"/>
      </w:tcPr>
    </w:tblStylePr>
    <w:tblStylePr w:type="band1Horz">
      <w:tblPr/>
      <w:tcPr>
        <w:tcBorders>
          <w:top w:val="single" w:sz="8" w:space="0" w:color="00728F" w:themeColor="text1"/>
          <w:left w:val="single" w:sz="8" w:space="0" w:color="00728F" w:themeColor="text1"/>
          <w:bottom w:val="single" w:sz="8" w:space="0" w:color="00728F" w:themeColor="text1"/>
          <w:right w:val="single" w:sz="8" w:space="0" w:color="00728F" w:themeColor="text1"/>
          <w:insideV w:val="single" w:sz="8" w:space="0" w:color="00728F" w:themeColor="text1"/>
        </w:tcBorders>
        <w:shd w:val="clear" w:color="auto" w:fill="A4ECFF" w:themeFill="text1" w:themeFillTint="3F"/>
      </w:tcPr>
    </w:tblStylePr>
    <w:tblStylePr w:type="band2Horz">
      <w:tblPr/>
      <w:tcPr>
        <w:tcBorders>
          <w:top w:val="single" w:sz="8" w:space="0" w:color="00728F" w:themeColor="text1"/>
          <w:left w:val="single" w:sz="8" w:space="0" w:color="00728F" w:themeColor="text1"/>
          <w:bottom w:val="single" w:sz="8" w:space="0" w:color="00728F" w:themeColor="text1"/>
          <w:right w:val="single" w:sz="8" w:space="0" w:color="00728F" w:themeColor="text1"/>
          <w:insideV w:val="single" w:sz="8" w:space="0" w:color="00728F" w:themeColor="text1"/>
        </w:tcBorders>
      </w:tcPr>
    </w:tblStylePr>
  </w:style>
  <w:style w:type="table" w:customStyle="1" w:styleId="LightGrid-Accent11">
    <w:name w:val="Light Grid - Accent 11"/>
    <w:basedOn w:val="TableNormal"/>
    <w:uiPriority w:val="99"/>
    <w:semiHidden/>
    <w:rsid w:val="00361DEB"/>
    <w:pPr>
      <w:spacing w:after="0"/>
    </w:pPr>
    <w:tblPr>
      <w:tblStyleRowBandSize w:val="1"/>
      <w:tblStyleColBandSize w:val="1"/>
      <w:tblBorders>
        <w:top w:val="single" w:sz="8" w:space="0" w:color="00728F" w:themeColor="accent1"/>
        <w:left w:val="single" w:sz="8" w:space="0" w:color="00728F" w:themeColor="accent1"/>
        <w:bottom w:val="single" w:sz="8" w:space="0" w:color="00728F" w:themeColor="accent1"/>
        <w:right w:val="single" w:sz="8" w:space="0" w:color="00728F" w:themeColor="accent1"/>
        <w:insideH w:val="single" w:sz="8" w:space="0" w:color="00728F" w:themeColor="accent1"/>
        <w:insideV w:val="single" w:sz="8" w:space="0" w:color="00728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8F" w:themeColor="accent1"/>
          <w:left w:val="single" w:sz="8" w:space="0" w:color="00728F" w:themeColor="accent1"/>
          <w:bottom w:val="single" w:sz="18" w:space="0" w:color="00728F" w:themeColor="accent1"/>
          <w:right w:val="single" w:sz="8" w:space="0" w:color="00728F" w:themeColor="accent1"/>
          <w:insideH w:val="nil"/>
          <w:insideV w:val="single" w:sz="8" w:space="0" w:color="00728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8F" w:themeColor="accent1"/>
          <w:left w:val="single" w:sz="8" w:space="0" w:color="00728F" w:themeColor="accent1"/>
          <w:bottom w:val="single" w:sz="8" w:space="0" w:color="00728F" w:themeColor="accent1"/>
          <w:right w:val="single" w:sz="8" w:space="0" w:color="00728F" w:themeColor="accent1"/>
          <w:insideH w:val="nil"/>
          <w:insideV w:val="single" w:sz="8" w:space="0" w:color="00728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8F" w:themeColor="accent1"/>
          <w:left w:val="single" w:sz="8" w:space="0" w:color="00728F" w:themeColor="accent1"/>
          <w:bottom w:val="single" w:sz="8" w:space="0" w:color="00728F" w:themeColor="accent1"/>
          <w:right w:val="single" w:sz="8" w:space="0" w:color="00728F" w:themeColor="accent1"/>
        </w:tcBorders>
      </w:tcPr>
    </w:tblStylePr>
    <w:tblStylePr w:type="band1Vert">
      <w:tblPr/>
      <w:tcPr>
        <w:tcBorders>
          <w:top w:val="single" w:sz="8" w:space="0" w:color="00728F" w:themeColor="accent1"/>
          <w:left w:val="single" w:sz="8" w:space="0" w:color="00728F" w:themeColor="accent1"/>
          <w:bottom w:val="single" w:sz="8" w:space="0" w:color="00728F" w:themeColor="accent1"/>
          <w:right w:val="single" w:sz="8" w:space="0" w:color="00728F" w:themeColor="accent1"/>
        </w:tcBorders>
        <w:shd w:val="clear" w:color="auto" w:fill="A4ECFF" w:themeFill="accent1" w:themeFillTint="3F"/>
      </w:tcPr>
    </w:tblStylePr>
    <w:tblStylePr w:type="band1Horz">
      <w:tblPr/>
      <w:tcPr>
        <w:tcBorders>
          <w:top w:val="single" w:sz="8" w:space="0" w:color="00728F" w:themeColor="accent1"/>
          <w:left w:val="single" w:sz="8" w:space="0" w:color="00728F" w:themeColor="accent1"/>
          <w:bottom w:val="single" w:sz="8" w:space="0" w:color="00728F" w:themeColor="accent1"/>
          <w:right w:val="single" w:sz="8" w:space="0" w:color="00728F" w:themeColor="accent1"/>
          <w:insideV w:val="single" w:sz="8" w:space="0" w:color="00728F" w:themeColor="accent1"/>
        </w:tcBorders>
        <w:shd w:val="clear" w:color="auto" w:fill="A4ECFF" w:themeFill="accent1" w:themeFillTint="3F"/>
      </w:tcPr>
    </w:tblStylePr>
    <w:tblStylePr w:type="band2Horz">
      <w:tblPr/>
      <w:tcPr>
        <w:tcBorders>
          <w:top w:val="single" w:sz="8" w:space="0" w:color="00728F" w:themeColor="accent1"/>
          <w:left w:val="single" w:sz="8" w:space="0" w:color="00728F" w:themeColor="accent1"/>
          <w:bottom w:val="single" w:sz="8" w:space="0" w:color="00728F" w:themeColor="accent1"/>
          <w:right w:val="single" w:sz="8" w:space="0" w:color="00728F" w:themeColor="accent1"/>
          <w:insideV w:val="single" w:sz="8" w:space="0" w:color="00728F" w:themeColor="accent1"/>
        </w:tcBorders>
      </w:tcPr>
    </w:tblStylePr>
  </w:style>
  <w:style w:type="table" w:styleId="LightGrid-Accent2">
    <w:name w:val="Light Grid Accent 2"/>
    <w:basedOn w:val="TableNormal"/>
    <w:uiPriority w:val="99"/>
    <w:semiHidden/>
    <w:rsid w:val="00361DEB"/>
    <w:pPr>
      <w:spacing w:after="0"/>
    </w:pPr>
    <w:tblPr>
      <w:tblStyleRowBandSize w:val="1"/>
      <w:tblStyleColBandSize w:val="1"/>
      <w:tblBorders>
        <w:top w:val="single" w:sz="8" w:space="0" w:color="B7DDE8" w:themeColor="accent2"/>
        <w:left w:val="single" w:sz="8" w:space="0" w:color="B7DDE8" w:themeColor="accent2"/>
        <w:bottom w:val="single" w:sz="8" w:space="0" w:color="B7DDE8" w:themeColor="accent2"/>
        <w:right w:val="single" w:sz="8" w:space="0" w:color="B7DDE8" w:themeColor="accent2"/>
        <w:insideH w:val="single" w:sz="8" w:space="0" w:color="B7DDE8" w:themeColor="accent2"/>
        <w:insideV w:val="single" w:sz="8" w:space="0" w:color="B7DDE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DDE8" w:themeColor="accent2"/>
          <w:left w:val="single" w:sz="8" w:space="0" w:color="B7DDE8" w:themeColor="accent2"/>
          <w:bottom w:val="single" w:sz="18" w:space="0" w:color="B7DDE8" w:themeColor="accent2"/>
          <w:right w:val="single" w:sz="8" w:space="0" w:color="B7DDE8" w:themeColor="accent2"/>
          <w:insideH w:val="nil"/>
          <w:insideV w:val="single" w:sz="8" w:space="0" w:color="B7DDE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DDE8" w:themeColor="accent2"/>
          <w:left w:val="single" w:sz="8" w:space="0" w:color="B7DDE8" w:themeColor="accent2"/>
          <w:bottom w:val="single" w:sz="8" w:space="0" w:color="B7DDE8" w:themeColor="accent2"/>
          <w:right w:val="single" w:sz="8" w:space="0" w:color="B7DDE8" w:themeColor="accent2"/>
          <w:insideH w:val="nil"/>
          <w:insideV w:val="single" w:sz="8" w:space="0" w:color="B7DDE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DDE8" w:themeColor="accent2"/>
          <w:left w:val="single" w:sz="8" w:space="0" w:color="B7DDE8" w:themeColor="accent2"/>
          <w:bottom w:val="single" w:sz="8" w:space="0" w:color="B7DDE8" w:themeColor="accent2"/>
          <w:right w:val="single" w:sz="8" w:space="0" w:color="B7DDE8" w:themeColor="accent2"/>
        </w:tcBorders>
      </w:tcPr>
    </w:tblStylePr>
    <w:tblStylePr w:type="band1Vert">
      <w:tblPr/>
      <w:tcPr>
        <w:tcBorders>
          <w:top w:val="single" w:sz="8" w:space="0" w:color="B7DDE8" w:themeColor="accent2"/>
          <w:left w:val="single" w:sz="8" w:space="0" w:color="B7DDE8" w:themeColor="accent2"/>
          <w:bottom w:val="single" w:sz="8" w:space="0" w:color="B7DDE8" w:themeColor="accent2"/>
          <w:right w:val="single" w:sz="8" w:space="0" w:color="B7DDE8" w:themeColor="accent2"/>
        </w:tcBorders>
        <w:shd w:val="clear" w:color="auto" w:fill="EDF6F9" w:themeFill="accent2" w:themeFillTint="3F"/>
      </w:tcPr>
    </w:tblStylePr>
    <w:tblStylePr w:type="band1Horz">
      <w:tblPr/>
      <w:tcPr>
        <w:tcBorders>
          <w:top w:val="single" w:sz="8" w:space="0" w:color="B7DDE8" w:themeColor="accent2"/>
          <w:left w:val="single" w:sz="8" w:space="0" w:color="B7DDE8" w:themeColor="accent2"/>
          <w:bottom w:val="single" w:sz="8" w:space="0" w:color="B7DDE8" w:themeColor="accent2"/>
          <w:right w:val="single" w:sz="8" w:space="0" w:color="B7DDE8" w:themeColor="accent2"/>
          <w:insideV w:val="single" w:sz="8" w:space="0" w:color="B7DDE8" w:themeColor="accent2"/>
        </w:tcBorders>
        <w:shd w:val="clear" w:color="auto" w:fill="EDF6F9" w:themeFill="accent2" w:themeFillTint="3F"/>
      </w:tcPr>
    </w:tblStylePr>
    <w:tblStylePr w:type="band2Horz">
      <w:tblPr/>
      <w:tcPr>
        <w:tcBorders>
          <w:top w:val="single" w:sz="8" w:space="0" w:color="B7DDE8" w:themeColor="accent2"/>
          <w:left w:val="single" w:sz="8" w:space="0" w:color="B7DDE8" w:themeColor="accent2"/>
          <w:bottom w:val="single" w:sz="8" w:space="0" w:color="B7DDE8" w:themeColor="accent2"/>
          <w:right w:val="single" w:sz="8" w:space="0" w:color="B7DDE8" w:themeColor="accent2"/>
          <w:insideV w:val="single" w:sz="8" w:space="0" w:color="B7DDE8" w:themeColor="accent2"/>
        </w:tcBorders>
      </w:tcPr>
    </w:tblStylePr>
  </w:style>
  <w:style w:type="table" w:styleId="LightGrid-Accent3">
    <w:name w:val="Light Grid Accent 3"/>
    <w:basedOn w:val="TableNormal"/>
    <w:uiPriority w:val="99"/>
    <w:semiHidden/>
    <w:rsid w:val="00361DEB"/>
    <w:pPr>
      <w:spacing w:after="0"/>
    </w:pPr>
    <w:tblPr>
      <w:tblStyleRowBandSize w:val="1"/>
      <w:tblStyleColBandSize w:val="1"/>
      <w:tblBorders>
        <w:top w:val="single" w:sz="8" w:space="0" w:color="DBEEF3" w:themeColor="accent3"/>
        <w:left w:val="single" w:sz="8" w:space="0" w:color="DBEEF3" w:themeColor="accent3"/>
        <w:bottom w:val="single" w:sz="8" w:space="0" w:color="DBEEF3" w:themeColor="accent3"/>
        <w:right w:val="single" w:sz="8" w:space="0" w:color="DBEEF3" w:themeColor="accent3"/>
        <w:insideH w:val="single" w:sz="8" w:space="0" w:color="DBEEF3" w:themeColor="accent3"/>
        <w:insideV w:val="single" w:sz="8" w:space="0" w:color="DBEEF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BEEF3" w:themeColor="accent3"/>
          <w:left w:val="single" w:sz="8" w:space="0" w:color="DBEEF3" w:themeColor="accent3"/>
          <w:bottom w:val="single" w:sz="18" w:space="0" w:color="DBEEF3" w:themeColor="accent3"/>
          <w:right w:val="single" w:sz="8" w:space="0" w:color="DBEEF3" w:themeColor="accent3"/>
          <w:insideH w:val="nil"/>
          <w:insideV w:val="single" w:sz="8" w:space="0" w:color="DBEEF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EEF3" w:themeColor="accent3"/>
          <w:left w:val="single" w:sz="8" w:space="0" w:color="DBEEF3" w:themeColor="accent3"/>
          <w:bottom w:val="single" w:sz="8" w:space="0" w:color="DBEEF3" w:themeColor="accent3"/>
          <w:right w:val="single" w:sz="8" w:space="0" w:color="DBEEF3" w:themeColor="accent3"/>
          <w:insideH w:val="nil"/>
          <w:insideV w:val="single" w:sz="8" w:space="0" w:color="DBEEF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EEF3" w:themeColor="accent3"/>
          <w:left w:val="single" w:sz="8" w:space="0" w:color="DBEEF3" w:themeColor="accent3"/>
          <w:bottom w:val="single" w:sz="8" w:space="0" w:color="DBEEF3" w:themeColor="accent3"/>
          <w:right w:val="single" w:sz="8" w:space="0" w:color="DBEEF3" w:themeColor="accent3"/>
        </w:tcBorders>
      </w:tcPr>
    </w:tblStylePr>
    <w:tblStylePr w:type="band1Vert">
      <w:tblPr/>
      <w:tcPr>
        <w:tcBorders>
          <w:top w:val="single" w:sz="8" w:space="0" w:color="DBEEF3" w:themeColor="accent3"/>
          <w:left w:val="single" w:sz="8" w:space="0" w:color="DBEEF3" w:themeColor="accent3"/>
          <w:bottom w:val="single" w:sz="8" w:space="0" w:color="DBEEF3" w:themeColor="accent3"/>
          <w:right w:val="single" w:sz="8" w:space="0" w:color="DBEEF3" w:themeColor="accent3"/>
        </w:tcBorders>
        <w:shd w:val="clear" w:color="auto" w:fill="F6FAFC" w:themeFill="accent3" w:themeFillTint="3F"/>
      </w:tcPr>
    </w:tblStylePr>
    <w:tblStylePr w:type="band1Horz">
      <w:tblPr/>
      <w:tcPr>
        <w:tcBorders>
          <w:top w:val="single" w:sz="8" w:space="0" w:color="DBEEF3" w:themeColor="accent3"/>
          <w:left w:val="single" w:sz="8" w:space="0" w:color="DBEEF3" w:themeColor="accent3"/>
          <w:bottom w:val="single" w:sz="8" w:space="0" w:color="DBEEF3" w:themeColor="accent3"/>
          <w:right w:val="single" w:sz="8" w:space="0" w:color="DBEEF3" w:themeColor="accent3"/>
          <w:insideV w:val="single" w:sz="8" w:space="0" w:color="DBEEF3" w:themeColor="accent3"/>
        </w:tcBorders>
        <w:shd w:val="clear" w:color="auto" w:fill="F6FAFC" w:themeFill="accent3" w:themeFillTint="3F"/>
      </w:tcPr>
    </w:tblStylePr>
    <w:tblStylePr w:type="band2Horz">
      <w:tblPr/>
      <w:tcPr>
        <w:tcBorders>
          <w:top w:val="single" w:sz="8" w:space="0" w:color="DBEEF3" w:themeColor="accent3"/>
          <w:left w:val="single" w:sz="8" w:space="0" w:color="DBEEF3" w:themeColor="accent3"/>
          <w:bottom w:val="single" w:sz="8" w:space="0" w:color="DBEEF3" w:themeColor="accent3"/>
          <w:right w:val="single" w:sz="8" w:space="0" w:color="DBEEF3" w:themeColor="accent3"/>
          <w:insideV w:val="single" w:sz="8" w:space="0" w:color="DBEEF3" w:themeColor="accent3"/>
        </w:tcBorders>
      </w:tcPr>
    </w:tblStylePr>
  </w:style>
  <w:style w:type="table" w:styleId="LightGrid-Accent4">
    <w:name w:val="Light Grid Accent 4"/>
    <w:basedOn w:val="TableNormal"/>
    <w:uiPriority w:val="99"/>
    <w:semiHidden/>
    <w:rsid w:val="00361DEB"/>
    <w:pPr>
      <w:spacing w:after="0"/>
    </w:pPr>
    <w:tblPr>
      <w:tblStyleRowBandSize w:val="1"/>
      <w:tblStyleColBandSize w:val="1"/>
      <w:tblBorders>
        <w:top w:val="single" w:sz="8" w:space="0" w:color="92CDDC" w:themeColor="accent4"/>
        <w:left w:val="single" w:sz="8" w:space="0" w:color="92CDDC" w:themeColor="accent4"/>
        <w:bottom w:val="single" w:sz="8" w:space="0" w:color="92CDDC" w:themeColor="accent4"/>
        <w:right w:val="single" w:sz="8" w:space="0" w:color="92CDDC" w:themeColor="accent4"/>
        <w:insideH w:val="single" w:sz="8" w:space="0" w:color="92CDDC" w:themeColor="accent4"/>
        <w:insideV w:val="single" w:sz="8" w:space="0" w:color="92CDD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CDDC" w:themeColor="accent4"/>
          <w:left w:val="single" w:sz="8" w:space="0" w:color="92CDDC" w:themeColor="accent4"/>
          <w:bottom w:val="single" w:sz="18" w:space="0" w:color="92CDDC" w:themeColor="accent4"/>
          <w:right w:val="single" w:sz="8" w:space="0" w:color="92CDDC" w:themeColor="accent4"/>
          <w:insideH w:val="nil"/>
          <w:insideV w:val="single" w:sz="8" w:space="0" w:color="92CDD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CDDC" w:themeColor="accent4"/>
          <w:left w:val="single" w:sz="8" w:space="0" w:color="92CDDC" w:themeColor="accent4"/>
          <w:bottom w:val="single" w:sz="8" w:space="0" w:color="92CDDC" w:themeColor="accent4"/>
          <w:right w:val="single" w:sz="8" w:space="0" w:color="92CDDC" w:themeColor="accent4"/>
          <w:insideH w:val="nil"/>
          <w:insideV w:val="single" w:sz="8" w:space="0" w:color="92CDD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CDDC" w:themeColor="accent4"/>
          <w:left w:val="single" w:sz="8" w:space="0" w:color="92CDDC" w:themeColor="accent4"/>
          <w:bottom w:val="single" w:sz="8" w:space="0" w:color="92CDDC" w:themeColor="accent4"/>
          <w:right w:val="single" w:sz="8" w:space="0" w:color="92CDDC" w:themeColor="accent4"/>
        </w:tcBorders>
      </w:tcPr>
    </w:tblStylePr>
    <w:tblStylePr w:type="band1Vert">
      <w:tblPr/>
      <w:tcPr>
        <w:tcBorders>
          <w:top w:val="single" w:sz="8" w:space="0" w:color="92CDDC" w:themeColor="accent4"/>
          <w:left w:val="single" w:sz="8" w:space="0" w:color="92CDDC" w:themeColor="accent4"/>
          <w:bottom w:val="single" w:sz="8" w:space="0" w:color="92CDDC" w:themeColor="accent4"/>
          <w:right w:val="single" w:sz="8" w:space="0" w:color="92CDDC" w:themeColor="accent4"/>
        </w:tcBorders>
        <w:shd w:val="clear" w:color="auto" w:fill="E4F2F6" w:themeFill="accent4" w:themeFillTint="3F"/>
      </w:tcPr>
    </w:tblStylePr>
    <w:tblStylePr w:type="band1Horz">
      <w:tblPr/>
      <w:tcPr>
        <w:tcBorders>
          <w:top w:val="single" w:sz="8" w:space="0" w:color="92CDDC" w:themeColor="accent4"/>
          <w:left w:val="single" w:sz="8" w:space="0" w:color="92CDDC" w:themeColor="accent4"/>
          <w:bottom w:val="single" w:sz="8" w:space="0" w:color="92CDDC" w:themeColor="accent4"/>
          <w:right w:val="single" w:sz="8" w:space="0" w:color="92CDDC" w:themeColor="accent4"/>
          <w:insideV w:val="single" w:sz="8" w:space="0" w:color="92CDDC" w:themeColor="accent4"/>
        </w:tcBorders>
        <w:shd w:val="clear" w:color="auto" w:fill="E4F2F6" w:themeFill="accent4" w:themeFillTint="3F"/>
      </w:tcPr>
    </w:tblStylePr>
    <w:tblStylePr w:type="band2Horz">
      <w:tblPr/>
      <w:tcPr>
        <w:tcBorders>
          <w:top w:val="single" w:sz="8" w:space="0" w:color="92CDDC" w:themeColor="accent4"/>
          <w:left w:val="single" w:sz="8" w:space="0" w:color="92CDDC" w:themeColor="accent4"/>
          <w:bottom w:val="single" w:sz="8" w:space="0" w:color="92CDDC" w:themeColor="accent4"/>
          <w:right w:val="single" w:sz="8" w:space="0" w:color="92CDDC" w:themeColor="accent4"/>
          <w:insideV w:val="single" w:sz="8" w:space="0" w:color="92CDDC" w:themeColor="accent4"/>
        </w:tcBorders>
      </w:tcPr>
    </w:tblStylePr>
  </w:style>
  <w:style w:type="table" w:styleId="LightGrid-Accent5">
    <w:name w:val="Light Grid Accent 5"/>
    <w:basedOn w:val="TableNormal"/>
    <w:uiPriority w:val="99"/>
    <w:semiHidden/>
    <w:rsid w:val="00361DEB"/>
    <w:pPr>
      <w:spacing w:after="0"/>
    </w:pPr>
    <w:tblPr>
      <w:tblStyleRowBandSize w:val="1"/>
      <w:tblStyleColBandSize w:val="1"/>
      <w:tblBorders>
        <w:top w:val="single" w:sz="8" w:space="0" w:color="31859B" w:themeColor="accent5"/>
        <w:left w:val="single" w:sz="8" w:space="0" w:color="31859B" w:themeColor="accent5"/>
        <w:bottom w:val="single" w:sz="8" w:space="0" w:color="31859B" w:themeColor="accent5"/>
        <w:right w:val="single" w:sz="8" w:space="0" w:color="31859B" w:themeColor="accent5"/>
        <w:insideH w:val="single" w:sz="8" w:space="0" w:color="31859B" w:themeColor="accent5"/>
        <w:insideV w:val="single" w:sz="8" w:space="0" w:color="31859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1859B" w:themeColor="accent5"/>
          <w:left w:val="single" w:sz="8" w:space="0" w:color="31859B" w:themeColor="accent5"/>
          <w:bottom w:val="single" w:sz="18" w:space="0" w:color="31859B" w:themeColor="accent5"/>
          <w:right w:val="single" w:sz="8" w:space="0" w:color="31859B" w:themeColor="accent5"/>
          <w:insideH w:val="nil"/>
          <w:insideV w:val="single" w:sz="8" w:space="0" w:color="31859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1859B" w:themeColor="accent5"/>
          <w:left w:val="single" w:sz="8" w:space="0" w:color="31859B" w:themeColor="accent5"/>
          <w:bottom w:val="single" w:sz="8" w:space="0" w:color="31859B" w:themeColor="accent5"/>
          <w:right w:val="single" w:sz="8" w:space="0" w:color="31859B" w:themeColor="accent5"/>
          <w:insideH w:val="nil"/>
          <w:insideV w:val="single" w:sz="8" w:space="0" w:color="31859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1859B" w:themeColor="accent5"/>
          <w:left w:val="single" w:sz="8" w:space="0" w:color="31859B" w:themeColor="accent5"/>
          <w:bottom w:val="single" w:sz="8" w:space="0" w:color="31859B" w:themeColor="accent5"/>
          <w:right w:val="single" w:sz="8" w:space="0" w:color="31859B" w:themeColor="accent5"/>
        </w:tcBorders>
      </w:tcPr>
    </w:tblStylePr>
    <w:tblStylePr w:type="band1Vert">
      <w:tblPr/>
      <w:tcPr>
        <w:tcBorders>
          <w:top w:val="single" w:sz="8" w:space="0" w:color="31859B" w:themeColor="accent5"/>
          <w:left w:val="single" w:sz="8" w:space="0" w:color="31859B" w:themeColor="accent5"/>
          <w:bottom w:val="single" w:sz="8" w:space="0" w:color="31859B" w:themeColor="accent5"/>
          <w:right w:val="single" w:sz="8" w:space="0" w:color="31859B" w:themeColor="accent5"/>
        </w:tcBorders>
        <w:shd w:val="clear" w:color="auto" w:fill="C5E4EC" w:themeFill="accent5" w:themeFillTint="3F"/>
      </w:tcPr>
    </w:tblStylePr>
    <w:tblStylePr w:type="band1Horz">
      <w:tblPr/>
      <w:tcPr>
        <w:tcBorders>
          <w:top w:val="single" w:sz="8" w:space="0" w:color="31859B" w:themeColor="accent5"/>
          <w:left w:val="single" w:sz="8" w:space="0" w:color="31859B" w:themeColor="accent5"/>
          <w:bottom w:val="single" w:sz="8" w:space="0" w:color="31859B" w:themeColor="accent5"/>
          <w:right w:val="single" w:sz="8" w:space="0" w:color="31859B" w:themeColor="accent5"/>
          <w:insideV w:val="single" w:sz="8" w:space="0" w:color="31859B" w:themeColor="accent5"/>
        </w:tcBorders>
        <w:shd w:val="clear" w:color="auto" w:fill="C5E4EC" w:themeFill="accent5" w:themeFillTint="3F"/>
      </w:tcPr>
    </w:tblStylePr>
    <w:tblStylePr w:type="band2Horz">
      <w:tblPr/>
      <w:tcPr>
        <w:tcBorders>
          <w:top w:val="single" w:sz="8" w:space="0" w:color="31859B" w:themeColor="accent5"/>
          <w:left w:val="single" w:sz="8" w:space="0" w:color="31859B" w:themeColor="accent5"/>
          <w:bottom w:val="single" w:sz="8" w:space="0" w:color="31859B" w:themeColor="accent5"/>
          <w:right w:val="single" w:sz="8" w:space="0" w:color="31859B" w:themeColor="accent5"/>
          <w:insideV w:val="single" w:sz="8" w:space="0" w:color="31859B" w:themeColor="accent5"/>
        </w:tcBorders>
      </w:tcPr>
    </w:tblStylePr>
  </w:style>
  <w:style w:type="table" w:styleId="LightGrid-Accent6">
    <w:name w:val="Light Grid Accent 6"/>
    <w:basedOn w:val="TableNormal"/>
    <w:uiPriority w:val="99"/>
    <w:semiHidden/>
    <w:rsid w:val="00361DEB"/>
    <w:pPr>
      <w:spacing w:after="0"/>
    </w:pPr>
    <w:tblPr>
      <w:tblStyleRowBandSize w:val="1"/>
      <w:tblStyleColBandSize w:val="1"/>
      <w:tblBorders>
        <w:top w:val="single" w:sz="8" w:space="0" w:color="64B8CE" w:themeColor="accent6"/>
        <w:left w:val="single" w:sz="8" w:space="0" w:color="64B8CE" w:themeColor="accent6"/>
        <w:bottom w:val="single" w:sz="8" w:space="0" w:color="64B8CE" w:themeColor="accent6"/>
        <w:right w:val="single" w:sz="8" w:space="0" w:color="64B8CE" w:themeColor="accent6"/>
        <w:insideH w:val="single" w:sz="8" w:space="0" w:color="64B8CE" w:themeColor="accent6"/>
        <w:insideV w:val="single" w:sz="8" w:space="0" w:color="64B8C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4B8CE" w:themeColor="accent6"/>
          <w:left w:val="single" w:sz="8" w:space="0" w:color="64B8CE" w:themeColor="accent6"/>
          <w:bottom w:val="single" w:sz="18" w:space="0" w:color="64B8CE" w:themeColor="accent6"/>
          <w:right w:val="single" w:sz="8" w:space="0" w:color="64B8CE" w:themeColor="accent6"/>
          <w:insideH w:val="nil"/>
          <w:insideV w:val="single" w:sz="8" w:space="0" w:color="64B8C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4B8CE" w:themeColor="accent6"/>
          <w:left w:val="single" w:sz="8" w:space="0" w:color="64B8CE" w:themeColor="accent6"/>
          <w:bottom w:val="single" w:sz="8" w:space="0" w:color="64B8CE" w:themeColor="accent6"/>
          <w:right w:val="single" w:sz="8" w:space="0" w:color="64B8CE" w:themeColor="accent6"/>
          <w:insideH w:val="nil"/>
          <w:insideV w:val="single" w:sz="8" w:space="0" w:color="64B8C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B8CE" w:themeColor="accent6"/>
          <w:left w:val="single" w:sz="8" w:space="0" w:color="64B8CE" w:themeColor="accent6"/>
          <w:bottom w:val="single" w:sz="8" w:space="0" w:color="64B8CE" w:themeColor="accent6"/>
          <w:right w:val="single" w:sz="8" w:space="0" w:color="64B8CE" w:themeColor="accent6"/>
        </w:tcBorders>
      </w:tcPr>
    </w:tblStylePr>
    <w:tblStylePr w:type="band1Vert">
      <w:tblPr/>
      <w:tcPr>
        <w:tcBorders>
          <w:top w:val="single" w:sz="8" w:space="0" w:color="64B8CE" w:themeColor="accent6"/>
          <w:left w:val="single" w:sz="8" w:space="0" w:color="64B8CE" w:themeColor="accent6"/>
          <w:bottom w:val="single" w:sz="8" w:space="0" w:color="64B8CE" w:themeColor="accent6"/>
          <w:right w:val="single" w:sz="8" w:space="0" w:color="64B8CE" w:themeColor="accent6"/>
        </w:tcBorders>
        <w:shd w:val="clear" w:color="auto" w:fill="D8EDF2" w:themeFill="accent6" w:themeFillTint="3F"/>
      </w:tcPr>
    </w:tblStylePr>
    <w:tblStylePr w:type="band1Horz">
      <w:tblPr/>
      <w:tcPr>
        <w:tcBorders>
          <w:top w:val="single" w:sz="8" w:space="0" w:color="64B8CE" w:themeColor="accent6"/>
          <w:left w:val="single" w:sz="8" w:space="0" w:color="64B8CE" w:themeColor="accent6"/>
          <w:bottom w:val="single" w:sz="8" w:space="0" w:color="64B8CE" w:themeColor="accent6"/>
          <w:right w:val="single" w:sz="8" w:space="0" w:color="64B8CE" w:themeColor="accent6"/>
          <w:insideV w:val="single" w:sz="8" w:space="0" w:color="64B8CE" w:themeColor="accent6"/>
        </w:tcBorders>
        <w:shd w:val="clear" w:color="auto" w:fill="D8EDF2" w:themeFill="accent6" w:themeFillTint="3F"/>
      </w:tcPr>
    </w:tblStylePr>
    <w:tblStylePr w:type="band2Horz">
      <w:tblPr/>
      <w:tcPr>
        <w:tcBorders>
          <w:top w:val="single" w:sz="8" w:space="0" w:color="64B8CE" w:themeColor="accent6"/>
          <w:left w:val="single" w:sz="8" w:space="0" w:color="64B8CE" w:themeColor="accent6"/>
          <w:bottom w:val="single" w:sz="8" w:space="0" w:color="64B8CE" w:themeColor="accent6"/>
          <w:right w:val="single" w:sz="8" w:space="0" w:color="64B8CE" w:themeColor="accent6"/>
          <w:insideV w:val="single" w:sz="8" w:space="0" w:color="64B8CE" w:themeColor="accent6"/>
        </w:tcBorders>
      </w:tcPr>
    </w:tblStylePr>
  </w:style>
  <w:style w:type="table" w:customStyle="1" w:styleId="LightList1">
    <w:name w:val="Light List1"/>
    <w:basedOn w:val="TableNormal"/>
    <w:uiPriority w:val="99"/>
    <w:semiHidden/>
    <w:rsid w:val="00361DEB"/>
    <w:pPr>
      <w:spacing w:after="0"/>
    </w:pPr>
    <w:tblPr>
      <w:tblStyleRowBandSize w:val="1"/>
      <w:tblStyleColBandSize w:val="1"/>
      <w:tblBorders>
        <w:top w:val="single" w:sz="8" w:space="0" w:color="00728F" w:themeColor="text1"/>
        <w:left w:val="single" w:sz="8" w:space="0" w:color="00728F" w:themeColor="text1"/>
        <w:bottom w:val="single" w:sz="8" w:space="0" w:color="00728F" w:themeColor="text1"/>
        <w:right w:val="single" w:sz="8" w:space="0" w:color="00728F" w:themeColor="text1"/>
      </w:tblBorders>
    </w:tblPr>
    <w:tblStylePr w:type="firstRow">
      <w:pPr>
        <w:spacing w:before="0" w:after="0" w:line="240" w:lineRule="auto"/>
      </w:pPr>
      <w:rPr>
        <w:b/>
        <w:bCs/>
        <w:color w:val="FFFFFF" w:themeColor="background1"/>
      </w:rPr>
      <w:tblPr/>
      <w:tcPr>
        <w:shd w:val="clear" w:color="auto" w:fill="00728F" w:themeFill="text1"/>
      </w:tcPr>
    </w:tblStylePr>
    <w:tblStylePr w:type="lastRow">
      <w:pPr>
        <w:spacing w:before="0" w:after="0" w:line="240" w:lineRule="auto"/>
      </w:pPr>
      <w:rPr>
        <w:b/>
        <w:bCs/>
      </w:rPr>
      <w:tblPr/>
      <w:tcPr>
        <w:tcBorders>
          <w:top w:val="double" w:sz="6" w:space="0" w:color="00728F" w:themeColor="text1"/>
          <w:left w:val="single" w:sz="8" w:space="0" w:color="00728F" w:themeColor="text1"/>
          <w:bottom w:val="single" w:sz="8" w:space="0" w:color="00728F" w:themeColor="text1"/>
          <w:right w:val="single" w:sz="8" w:space="0" w:color="00728F" w:themeColor="text1"/>
        </w:tcBorders>
      </w:tcPr>
    </w:tblStylePr>
    <w:tblStylePr w:type="firstCol">
      <w:rPr>
        <w:b/>
        <w:bCs/>
      </w:rPr>
    </w:tblStylePr>
    <w:tblStylePr w:type="lastCol">
      <w:rPr>
        <w:b/>
        <w:bCs/>
      </w:rPr>
    </w:tblStylePr>
    <w:tblStylePr w:type="band1Vert">
      <w:tblPr/>
      <w:tcPr>
        <w:tcBorders>
          <w:top w:val="single" w:sz="8" w:space="0" w:color="00728F" w:themeColor="text1"/>
          <w:left w:val="single" w:sz="8" w:space="0" w:color="00728F" w:themeColor="text1"/>
          <w:bottom w:val="single" w:sz="8" w:space="0" w:color="00728F" w:themeColor="text1"/>
          <w:right w:val="single" w:sz="8" w:space="0" w:color="00728F" w:themeColor="text1"/>
        </w:tcBorders>
      </w:tcPr>
    </w:tblStylePr>
    <w:tblStylePr w:type="band1Horz">
      <w:tblPr/>
      <w:tcPr>
        <w:tcBorders>
          <w:top w:val="single" w:sz="8" w:space="0" w:color="00728F" w:themeColor="text1"/>
          <w:left w:val="single" w:sz="8" w:space="0" w:color="00728F" w:themeColor="text1"/>
          <w:bottom w:val="single" w:sz="8" w:space="0" w:color="00728F" w:themeColor="text1"/>
          <w:right w:val="single" w:sz="8" w:space="0" w:color="00728F" w:themeColor="text1"/>
        </w:tcBorders>
      </w:tcPr>
    </w:tblStylePr>
  </w:style>
  <w:style w:type="table" w:customStyle="1" w:styleId="LightList-Accent11">
    <w:name w:val="Light List - Accent 11"/>
    <w:basedOn w:val="TableNormal"/>
    <w:uiPriority w:val="99"/>
    <w:semiHidden/>
    <w:rsid w:val="00361DEB"/>
    <w:pPr>
      <w:spacing w:after="0"/>
    </w:pPr>
    <w:tblPr>
      <w:tblStyleRowBandSize w:val="1"/>
      <w:tblStyleColBandSize w:val="1"/>
      <w:tblBorders>
        <w:top w:val="single" w:sz="8" w:space="0" w:color="00728F" w:themeColor="accent1"/>
        <w:left w:val="single" w:sz="8" w:space="0" w:color="00728F" w:themeColor="accent1"/>
        <w:bottom w:val="single" w:sz="8" w:space="0" w:color="00728F" w:themeColor="accent1"/>
        <w:right w:val="single" w:sz="8" w:space="0" w:color="00728F" w:themeColor="accent1"/>
      </w:tblBorders>
    </w:tblPr>
    <w:tblStylePr w:type="firstRow">
      <w:pPr>
        <w:spacing w:before="0" w:after="0" w:line="240" w:lineRule="auto"/>
      </w:pPr>
      <w:rPr>
        <w:b/>
        <w:bCs/>
        <w:color w:val="FFFFFF" w:themeColor="background1"/>
      </w:rPr>
      <w:tblPr/>
      <w:tcPr>
        <w:shd w:val="clear" w:color="auto" w:fill="00728F" w:themeFill="accent1"/>
      </w:tcPr>
    </w:tblStylePr>
    <w:tblStylePr w:type="lastRow">
      <w:pPr>
        <w:spacing w:before="0" w:after="0" w:line="240" w:lineRule="auto"/>
      </w:pPr>
      <w:rPr>
        <w:b/>
        <w:bCs/>
      </w:rPr>
      <w:tblPr/>
      <w:tcPr>
        <w:tcBorders>
          <w:top w:val="double" w:sz="6" w:space="0" w:color="00728F" w:themeColor="accent1"/>
          <w:left w:val="single" w:sz="8" w:space="0" w:color="00728F" w:themeColor="accent1"/>
          <w:bottom w:val="single" w:sz="8" w:space="0" w:color="00728F" w:themeColor="accent1"/>
          <w:right w:val="single" w:sz="8" w:space="0" w:color="00728F" w:themeColor="accent1"/>
        </w:tcBorders>
      </w:tcPr>
    </w:tblStylePr>
    <w:tblStylePr w:type="firstCol">
      <w:rPr>
        <w:b/>
        <w:bCs/>
      </w:rPr>
    </w:tblStylePr>
    <w:tblStylePr w:type="lastCol">
      <w:rPr>
        <w:b/>
        <w:bCs/>
      </w:rPr>
    </w:tblStylePr>
    <w:tblStylePr w:type="band1Vert">
      <w:tblPr/>
      <w:tcPr>
        <w:tcBorders>
          <w:top w:val="single" w:sz="8" w:space="0" w:color="00728F" w:themeColor="accent1"/>
          <w:left w:val="single" w:sz="8" w:space="0" w:color="00728F" w:themeColor="accent1"/>
          <w:bottom w:val="single" w:sz="8" w:space="0" w:color="00728F" w:themeColor="accent1"/>
          <w:right w:val="single" w:sz="8" w:space="0" w:color="00728F" w:themeColor="accent1"/>
        </w:tcBorders>
      </w:tcPr>
    </w:tblStylePr>
    <w:tblStylePr w:type="band1Horz">
      <w:tblPr/>
      <w:tcPr>
        <w:tcBorders>
          <w:top w:val="single" w:sz="8" w:space="0" w:color="00728F" w:themeColor="accent1"/>
          <w:left w:val="single" w:sz="8" w:space="0" w:color="00728F" w:themeColor="accent1"/>
          <w:bottom w:val="single" w:sz="8" w:space="0" w:color="00728F" w:themeColor="accent1"/>
          <w:right w:val="single" w:sz="8" w:space="0" w:color="00728F" w:themeColor="accent1"/>
        </w:tcBorders>
      </w:tcPr>
    </w:tblStylePr>
  </w:style>
  <w:style w:type="table" w:styleId="LightList-Accent2">
    <w:name w:val="Light List Accent 2"/>
    <w:basedOn w:val="TableNormal"/>
    <w:uiPriority w:val="99"/>
    <w:semiHidden/>
    <w:rsid w:val="00361DEB"/>
    <w:pPr>
      <w:spacing w:after="0"/>
    </w:pPr>
    <w:tblPr>
      <w:tblStyleRowBandSize w:val="1"/>
      <w:tblStyleColBandSize w:val="1"/>
      <w:tblBorders>
        <w:top w:val="single" w:sz="8" w:space="0" w:color="B7DDE8" w:themeColor="accent2"/>
        <w:left w:val="single" w:sz="8" w:space="0" w:color="B7DDE8" w:themeColor="accent2"/>
        <w:bottom w:val="single" w:sz="8" w:space="0" w:color="B7DDE8" w:themeColor="accent2"/>
        <w:right w:val="single" w:sz="8" w:space="0" w:color="B7DDE8" w:themeColor="accent2"/>
      </w:tblBorders>
    </w:tblPr>
    <w:tblStylePr w:type="firstRow">
      <w:pPr>
        <w:spacing w:before="0" w:after="0" w:line="240" w:lineRule="auto"/>
      </w:pPr>
      <w:rPr>
        <w:b/>
        <w:bCs/>
        <w:color w:val="FFFFFF" w:themeColor="background1"/>
      </w:rPr>
      <w:tblPr/>
      <w:tcPr>
        <w:shd w:val="clear" w:color="auto" w:fill="B7DDE8" w:themeFill="accent2"/>
      </w:tcPr>
    </w:tblStylePr>
    <w:tblStylePr w:type="lastRow">
      <w:pPr>
        <w:spacing w:before="0" w:after="0" w:line="240" w:lineRule="auto"/>
      </w:pPr>
      <w:rPr>
        <w:b/>
        <w:bCs/>
      </w:rPr>
      <w:tblPr/>
      <w:tcPr>
        <w:tcBorders>
          <w:top w:val="double" w:sz="6" w:space="0" w:color="B7DDE8" w:themeColor="accent2"/>
          <w:left w:val="single" w:sz="8" w:space="0" w:color="B7DDE8" w:themeColor="accent2"/>
          <w:bottom w:val="single" w:sz="8" w:space="0" w:color="B7DDE8" w:themeColor="accent2"/>
          <w:right w:val="single" w:sz="8" w:space="0" w:color="B7DDE8" w:themeColor="accent2"/>
        </w:tcBorders>
      </w:tcPr>
    </w:tblStylePr>
    <w:tblStylePr w:type="firstCol">
      <w:rPr>
        <w:b/>
        <w:bCs/>
      </w:rPr>
    </w:tblStylePr>
    <w:tblStylePr w:type="lastCol">
      <w:rPr>
        <w:b/>
        <w:bCs/>
      </w:rPr>
    </w:tblStylePr>
    <w:tblStylePr w:type="band1Vert">
      <w:tblPr/>
      <w:tcPr>
        <w:tcBorders>
          <w:top w:val="single" w:sz="8" w:space="0" w:color="B7DDE8" w:themeColor="accent2"/>
          <w:left w:val="single" w:sz="8" w:space="0" w:color="B7DDE8" w:themeColor="accent2"/>
          <w:bottom w:val="single" w:sz="8" w:space="0" w:color="B7DDE8" w:themeColor="accent2"/>
          <w:right w:val="single" w:sz="8" w:space="0" w:color="B7DDE8" w:themeColor="accent2"/>
        </w:tcBorders>
      </w:tcPr>
    </w:tblStylePr>
    <w:tblStylePr w:type="band1Horz">
      <w:tblPr/>
      <w:tcPr>
        <w:tcBorders>
          <w:top w:val="single" w:sz="8" w:space="0" w:color="B7DDE8" w:themeColor="accent2"/>
          <w:left w:val="single" w:sz="8" w:space="0" w:color="B7DDE8" w:themeColor="accent2"/>
          <w:bottom w:val="single" w:sz="8" w:space="0" w:color="B7DDE8" w:themeColor="accent2"/>
          <w:right w:val="single" w:sz="8" w:space="0" w:color="B7DDE8" w:themeColor="accent2"/>
        </w:tcBorders>
      </w:tcPr>
    </w:tblStylePr>
  </w:style>
  <w:style w:type="table" w:styleId="LightList-Accent3">
    <w:name w:val="Light List Accent 3"/>
    <w:basedOn w:val="TableNormal"/>
    <w:uiPriority w:val="99"/>
    <w:semiHidden/>
    <w:rsid w:val="00361DEB"/>
    <w:pPr>
      <w:spacing w:after="0"/>
    </w:pPr>
    <w:tblPr>
      <w:tblStyleRowBandSize w:val="1"/>
      <w:tblStyleColBandSize w:val="1"/>
      <w:tblBorders>
        <w:top w:val="single" w:sz="8" w:space="0" w:color="DBEEF3" w:themeColor="accent3"/>
        <w:left w:val="single" w:sz="8" w:space="0" w:color="DBEEF3" w:themeColor="accent3"/>
        <w:bottom w:val="single" w:sz="8" w:space="0" w:color="DBEEF3" w:themeColor="accent3"/>
        <w:right w:val="single" w:sz="8" w:space="0" w:color="DBEEF3" w:themeColor="accent3"/>
      </w:tblBorders>
    </w:tblPr>
    <w:tblStylePr w:type="firstRow">
      <w:pPr>
        <w:spacing w:before="0" w:after="0" w:line="240" w:lineRule="auto"/>
      </w:pPr>
      <w:rPr>
        <w:b/>
        <w:bCs/>
        <w:color w:val="FFFFFF" w:themeColor="background1"/>
      </w:rPr>
      <w:tblPr/>
      <w:tcPr>
        <w:shd w:val="clear" w:color="auto" w:fill="DBEEF3" w:themeFill="accent3"/>
      </w:tcPr>
    </w:tblStylePr>
    <w:tblStylePr w:type="lastRow">
      <w:pPr>
        <w:spacing w:before="0" w:after="0" w:line="240" w:lineRule="auto"/>
      </w:pPr>
      <w:rPr>
        <w:b/>
        <w:bCs/>
      </w:rPr>
      <w:tblPr/>
      <w:tcPr>
        <w:tcBorders>
          <w:top w:val="double" w:sz="6" w:space="0" w:color="DBEEF3" w:themeColor="accent3"/>
          <w:left w:val="single" w:sz="8" w:space="0" w:color="DBEEF3" w:themeColor="accent3"/>
          <w:bottom w:val="single" w:sz="8" w:space="0" w:color="DBEEF3" w:themeColor="accent3"/>
          <w:right w:val="single" w:sz="8" w:space="0" w:color="DBEEF3" w:themeColor="accent3"/>
        </w:tcBorders>
      </w:tcPr>
    </w:tblStylePr>
    <w:tblStylePr w:type="firstCol">
      <w:rPr>
        <w:b/>
        <w:bCs/>
      </w:rPr>
    </w:tblStylePr>
    <w:tblStylePr w:type="lastCol">
      <w:rPr>
        <w:b/>
        <w:bCs/>
      </w:rPr>
    </w:tblStylePr>
    <w:tblStylePr w:type="band1Vert">
      <w:tblPr/>
      <w:tcPr>
        <w:tcBorders>
          <w:top w:val="single" w:sz="8" w:space="0" w:color="DBEEF3" w:themeColor="accent3"/>
          <w:left w:val="single" w:sz="8" w:space="0" w:color="DBEEF3" w:themeColor="accent3"/>
          <w:bottom w:val="single" w:sz="8" w:space="0" w:color="DBEEF3" w:themeColor="accent3"/>
          <w:right w:val="single" w:sz="8" w:space="0" w:color="DBEEF3" w:themeColor="accent3"/>
        </w:tcBorders>
      </w:tcPr>
    </w:tblStylePr>
    <w:tblStylePr w:type="band1Horz">
      <w:tblPr/>
      <w:tcPr>
        <w:tcBorders>
          <w:top w:val="single" w:sz="8" w:space="0" w:color="DBEEF3" w:themeColor="accent3"/>
          <w:left w:val="single" w:sz="8" w:space="0" w:color="DBEEF3" w:themeColor="accent3"/>
          <w:bottom w:val="single" w:sz="8" w:space="0" w:color="DBEEF3" w:themeColor="accent3"/>
          <w:right w:val="single" w:sz="8" w:space="0" w:color="DBEEF3" w:themeColor="accent3"/>
        </w:tcBorders>
      </w:tcPr>
    </w:tblStylePr>
  </w:style>
  <w:style w:type="table" w:styleId="LightList-Accent4">
    <w:name w:val="Light List Accent 4"/>
    <w:basedOn w:val="TableNormal"/>
    <w:uiPriority w:val="99"/>
    <w:semiHidden/>
    <w:rsid w:val="00361DEB"/>
    <w:pPr>
      <w:spacing w:after="0"/>
    </w:pPr>
    <w:tblPr>
      <w:tblStyleRowBandSize w:val="1"/>
      <w:tblStyleColBandSize w:val="1"/>
      <w:tblBorders>
        <w:top w:val="single" w:sz="8" w:space="0" w:color="92CDDC" w:themeColor="accent4"/>
        <w:left w:val="single" w:sz="8" w:space="0" w:color="92CDDC" w:themeColor="accent4"/>
        <w:bottom w:val="single" w:sz="8" w:space="0" w:color="92CDDC" w:themeColor="accent4"/>
        <w:right w:val="single" w:sz="8" w:space="0" w:color="92CDDC" w:themeColor="accent4"/>
      </w:tblBorders>
    </w:tblPr>
    <w:tblStylePr w:type="firstRow">
      <w:pPr>
        <w:spacing w:before="0" w:after="0" w:line="240" w:lineRule="auto"/>
      </w:pPr>
      <w:rPr>
        <w:b/>
        <w:bCs/>
        <w:color w:val="FFFFFF" w:themeColor="background1"/>
      </w:rPr>
      <w:tblPr/>
      <w:tcPr>
        <w:shd w:val="clear" w:color="auto" w:fill="92CDDC" w:themeFill="accent4"/>
      </w:tcPr>
    </w:tblStylePr>
    <w:tblStylePr w:type="lastRow">
      <w:pPr>
        <w:spacing w:before="0" w:after="0" w:line="240" w:lineRule="auto"/>
      </w:pPr>
      <w:rPr>
        <w:b/>
        <w:bCs/>
      </w:rPr>
      <w:tblPr/>
      <w:tcPr>
        <w:tcBorders>
          <w:top w:val="double" w:sz="6" w:space="0" w:color="92CDDC" w:themeColor="accent4"/>
          <w:left w:val="single" w:sz="8" w:space="0" w:color="92CDDC" w:themeColor="accent4"/>
          <w:bottom w:val="single" w:sz="8" w:space="0" w:color="92CDDC" w:themeColor="accent4"/>
          <w:right w:val="single" w:sz="8" w:space="0" w:color="92CDDC" w:themeColor="accent4"/>
        </w:tcBorders>
      </w:tcPr>
    </w:tblStylePr>
    <w:tblStylePr w:type="firstCol">
      <w:rPr>
        <w:b/>
        <w:bCs/>
      </w:rPr>
    </w:tblStylePr>
    <w:tblStylePr w:type="lastCol">
      <w:rPr>
        <w:b/>
        <w:bCs/>
      </w:rPr>
    </w:tblStylePr>
    <w:tblStylePr w:type="band1Vert">
      <w:tblPr/>
      <w:tcPr>
        <w:tcBorders>
          <w:top w:val="single" w:sz="8" w:space="0" w:color="92CDDC" w:themeColor="accent4"/>
          <w:left w:val="single" w:sz="8" w:space="0" w:color="92CDDC" w:themeColor="accent4"/>
          <w:bottom w:val="single" w:sz="8" w:space="0" w:color="92CDDC" w:themeColor="accent4"/>
          <w:right w:val="single" w:sz="8" w:space="0" w:color="92CDDC" w:themeColor="accent4"/>
        </w:tcBorders>
      </w:tcPr>
    </w:tblStylePr>
    <w:tblStylePr w:type="band1Horz">
      <w:tblPr/>
      <w:tcPr>
        <w:tcBorders>
          <w:top w:val="single" w:sz="8" w:space="0" w:color="92CDDC" w:themeColor="accent4"/>
          <w:left w:val="single" w:sz="8" w:space="0" w:color="92CDDC" w:themeColor="accent4"/>
          <w:bottom w:val="single" w:sz="8" w:space="0" w:color="92CDDC" w:themeColor="accent4"/>
          <w:right w:val="single" w:sz="8" w:space="0" w:color="92CDDC" w:themeColor="accent4"/>
        </w:tcBorders>
      </w:tcPr>
    </w:tblStylePr>
  </w:style>
  <w:style w:type="table" w:styleId="LightList-Accent5">
    <w:name w:val="Light List Accent 5"/>
    <w:basedOn w:val="TableNormal"/>
    <w:uiPriority w:val="99"/>
    <w:semiHidden/>
    <w:rsid w:val="00361DEB"/>
    <w:pPr>
      <w:spacing w:after="0"/>
    </w:pPr>
    <w:tblPr>
      <w:tblStyleRowBandSize w:val="1"/>
      <w:tblStyleColBandSize w:val="1"/>
      <w:tblBorders>
        <w:top w:val="single" w:sz="8" w:space="0" w:color="31859B" w:themeColor="accent5"/>
        <w:left w:val="single" w:sz="8" w:space="0" w:color="31859B" w:themeColor="accent5"/>
        <w:bottom w:val="single" w:sz="8" w:space="0" w:color="31859B" w:themeColor="accent5"/>
        <w:right w:val="single" w:sz="8" w:space="0" w:color="31859B" w:themeColor="accent5"/>
      </w:tblBorders>
    </w:tblPr>
    <w:tblStylePr w:type="firstRow">
      <w:pPr>
        <w:spacing w:before="0" w:after="0" w:line="240" w:lineRule="auto"/>
      </w:pPr>
      <w:rPr>
        <w:b/>
        <w:bCs/>
        <w:color w:val="FFFFFF" w:themeColor="background1"/>
      </w:rPr>
      <w:tblPr/>
      <w:tcPr>
        <w:shd w:val="clear" w:color="auto" w:fill="31859B" w:themeFill="accent5"/>
      </w:tcPr>
    </w:tblStylePr>
    <w:tblStylePr w:type="lastRow">
      <w:pPr>
        <w:spacing w:before="0" w:after="0" w:line="240" w:lineRule="auto"/>
      </w:pPr>
      <w:rPr>
        <w:b/>
        <w:bCs/>
      </w:rPr>
      <w:tblPr/>
      <w:tcPr>
        <w:tcBorders>
          <w:top w:val="double" w:sz="6" w:space="0" w:color="31859B" w:themeColor="accent5"/>
          <w:left w:val="single" w:sz="8" w:space="0" w:color="31859B" w:themeColor="accent5"/>
          <w:bottom w:val="single" w:sz="8" w:space="0" w:color="31859B" w:themeColor="accent5"/>
          <w:right w:val="single" w:sz="8" w:space="0" w:color="31859B" w:themeColor="accent5"/>
        </w:tcBorders>
      </w:tcPr>
    </w:tblStylePr>
    <w:tblStylePr w:type="firstCol">
      <w:rPr>
        <w:b/>
        <w:bCs/>
      </w:rPr>
    </w:tblStylePr>
    <w:tblStylePr w:type="lastCol">
      <w:rPr>
        <w:b/>
        <w:bCs/>
      </w:rPr>
    </w:tblStylePr>
    <w:tblStylePr w:type="band1Vert">
      <w:tblPr/>
      <w:tcPr>
        <w:tcBorders>
          <w:top w:val="single" w:sz="8" w:space="0" w:color="31859B" w:themeColor="accent5"/>
          <w:left w:val="single" w:sz="8" w:space="0" w:color="31859B" w:themeColor="accent5"/>
          <w:bottom w:val="single" w:sz="8" w:space="0" w:color="31859B" w:themeColor="accent5"/>
          <w:right w:val="single" w:sz="8" w:space="0" w:color="31859B" w:themeColor="accent5"/>
        </w:tcBorders>
      </w:tcPr>
    </w:tblStylePr>
    <w:tblStylePr w:type="band1Horz">
      <w:tblPr/>
      <w:tcPr>
        <w:tcBorders>
          <w:top w:val="single" w:sz="8" w:space="0" w:color="31859B" w:themeColor="accent5"/>
          <w:left w:val="single" w:sz="8" w:space="0" w:color="31859B" w:themeColor="accent5"/>
          <w:bottom w:val="single" w:sz="8" w:space="0" w:color="31859B" w:themeColor="accent5"/>
          <w:right w:val="single" w:sz="8" w:space="0" w:color="31859B" w:themeColor="accent5"/>
        </w:tcBorders>
      </w:tcPr>
    </w:tblStylePr>
  </w:style>
  <w:style w:type="table" w:styleId="LightList-Accent6">
    <w:name w:val="Light List Accent 6"/>
    <w:basedOn w:val="TableNormal"/>
    <w:uiPriority w:val="99"/>
    <w:semiHidden/>
    <w:rsid w:val="00361DEB"/>
    <w:pPr>
      <w:spacing w:after="0"/>
    </w:pPr>
    <w:tblPr>
      <w:tblStyleRowBandSize w:val="1"/>
      <w:tblStyleColBandSize w:val="1"/>
      <w:tblBorders>
        <w:top w:val="single" w:sz="8" w:space="0" w:color="64B8CE" w:themeColor="accent6"/>
        <w:left w:val="single" w:sz="8" w:space="0" w:color="64B8CE" w:themeColor="accent6"/>
        <w:bottom w:val="single" w:sz="8" w:space="0" w:color="64B8CE" w:themeColor="accent6"/>
        <w:right w:val="single" w:sz="8" w:space="0" w:color="64B8CE" w:themeColor="accent6"/>
      </w:tblBorders>
    </w:tblPr>
    <w:tblStylePr w:type="firstRow">
      <w:pPr>
        <w:spacing w:before="0" w:after="0" w:line="240" w:lineRule="auto"/>
      </w:pPr>
      <w:rPr>
        <w:b/>
        <w:bCs/>
        <w:color w:val="FFFFFF" w:themeColor="background1"/>
      </w:rPr>
      <w:tblPr/>
      <w:tcPr>
        <w:shd w:val="clear" w:color="auto" w:fill="64B8CE" w:themeFill="accent6"/>
      </w:tcPr>
    </w:tblStylePr>
    <w:tblStylePr w:type="lastRow">
      <w:pPr>
        <w:spacing w:before="0" w:after="0" w:line="240" w:lineRule="auto"/>
      </w:pPr>
      <w:rPr>
        <w:b/>
        <w:bCs/>
      </w:rPr>
      <w:tblPr/>
      <w:tcPr>
        <w:tcBorders>
          <w:top w:val="double" w:sz="6" w:space="0" w:color="64B8CE" w:themeColor="accent6"/>
          <w:left w:val="single" w:sz="8" w:space="0" w:color="64B8CE" w:themeColor="accent6"/>
          <w:bottom w:val="single" w:sz="8" w:space="0" w:color="64B8CE" w:themeColor="accent6"/>
          <w:right w:val="single" w:sz="8" w:space="0" w:color="64B8CE" w:themeColor="accent6"/>
        </w:tcBorders>
      </w:tcPr>
    </w:tblStylePr>
    <w:tblStylePr w:type="firstCol">
      <w:rPr>
        <w:b/>
        <w:bCs/>
      </w:rPr>
    </w:tblStylePr>
    <w:tblStylePr w:type="lastCol">
      <w:rPr>
        <w:b/>
        <w:bCs/>
      </w:rPr>
    </w:tblStylePr>
    <w:tblStylePr w:type="band1Vert">
      <w:tblPr/>
      <w:tcPr>
        <w:tcBorders>
          <w:top w:val="single" w:sz="8" w:space="0" w:color="64B8CE" w:themeColor="accent6"/>
          <w:left w:val="single" w:sz="8" w:space="0" w:color="64B8CE" w:themeColor="accent6"/>
          <w:bottom w:val="single" w:sz="8" w:space="0" w:color="64B8CE" w:themeColor="accent6"/>
          <w:right w:val="single" w:sz="8" w:space="0" w:color="64B8CE" w:themeColor="accent6"/>
        </w:tcBorders>
      </w:tcPr>
    </w:tblStylePr>
    <w:tblStylePr w:type="band1Horz">
      <w:tblPr/>
      <w:tcPr>
        <w:tcBorders>
          <w:top w:val="single" w:sz="8" w:space="0" w:color="64B8CE" w:themeColor="accent6"/>
          <w:left w:val="single" w:sz="8" w:space="0" w:color="64B8CE" w:themeColor="accent6"/>
          <w:bottom w:val="single" w:sz="8" w:space="0" w:color="64B8CE" w:themeColor="accent6"/>
          <w:right w:val="single" w:sz="8" w:space="0" w:color="64B8CE" w:themeColor="accent6"/>
        </w:tcBorders>
      </w:tcPr>
    </w:tblStylePr>
  </w:style>
  <w:style w:type="table" w:customStyle="1" w:styleId="LightShading1">
    <w:name w:val="Light Shading1"/>
    <w:basedOn w:val="TableNormal"/>
    <w:uiPriority w:val="99"/>
    <w:semiHidden/>
    <w:rsid w:val="00361DEB"/>
    <w:pPr>
      <w:spacing w:after="0"/>
    </w:pPr>
    <w:rPr>
      <w:color w:val="00556B" w:themeColor="text1" w:themeShade="BF"/>
    </w:rPr>
    <w:tblPr>
      <w:tblStyleRowBandSize w:val="1"/>
      <w:tblStyleColBandSize w:val="1"/>
      <w:tblBorders>
        <w:top w:val="single" w:sz="8" w:space="0" w:color="00728F" w:themeColor="text1"/>
        <w:bottom w:val="single" w:sz="8" w:space="0" w:color="00728F" w:themeColor="text1"/>
      </w:tblBorders>
    </w:tblPr>
    <w:tblStylePr w:type="firstRow">
      <w:pPr>
        <w:spacing w:before="0" w:after="0" w:line="240" w:lineRule="auto"/>
      </w:pPr>
      <w:rPr>
        <w:b/>
        <w:bCs/>
      </w:rPr>
      <w:tblPr/>
      <w:tcPr>
        <w:tcBorders>
          <w:top w:val="single" w:sz="8" w:space="0" w:color="00728F" w:themeColor="text1"/>
          <w:left w:val="nil"/>
          <w:bottom w:val="single" w:sz="8" w:space="0" w:color="00728F" w:themeColor="text1"/>
          <w:right w:val="nil"/>
          <w:insideH w:val="nil"/>
          <w:insideV w:val="nil"/>
        </w:tcBorders>
      </w:tcPr>
    </w:tblStylePr>
    <w:tblStylePr w:type="lastRow">
      <w:pPr>
        <w:spacing w:before="0" w:after="0" w:line="240" w:lineRule="auto"/>
      </w:pPr>
      <w:rPr>
        <w:b/>
        <w:bCs/>
      </w:rPr>
      <w:tblPr/>
      <w:tcPr>
        <w:tcBorders>
          <w:top w:val="single" w:sz="8" w:space="0" w:color="00728F" w:themeColor="text1"/>
          <w:left w:val="nil"/>
          <w:bottom w:val="single" w:sz="8" w:space="0" w:color="00728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ECFF" w:themeFill="text1" w:themeFillTint="3F"/>
      </w:tcPr>
    </w:tblStylePr>
    <w:tblStylePr w:type="band1Horz">
      <w:tblPr/>
      <w:tcPr>
        <w:tcBorders>
          <w:left w:val="nil"/>
          <w:right w:val="nil"/>
          <w:insideH w:val="nil"/>
          <w:insideV w:val="nil"/>
        </w:tcBorders>
        <w:shd w:val="clear" w:color="auto" w:fill="A4ECFF" w:themeFill="text1" w:themeFillTint="3F"/>
      </w:tcPr>
    </w:tblStylePr>
  </w:style>
  <w:style w:type="table" w:customStyle="1" w:styleId="LightShading-Accent11">
    <w:name w:val="Light Shading - Accent 11"/>
    <w:basedOn w:val="TableNormal"/>
    <w:uiPriority w:val="99"/>
    <w:semiHidden/>
    <w:rsid w:val="00361DEB"/>
    <w:pPr>
      <w:spacing w:after="0"/>
    </w:pPr>
    <w:rPr>
      <w:color w:val="00556B" w:themeColor="accent1" w:themeShade="BF"/>
    </w:rPr>
    <w:tblPr>
      <w:tblStyleRowBandSize w:val="1"/>
      <w:tblStyleColBandSize w:val="1"/>
      <w:tblBorders>
        <w:top w:val="single" w:sz="8" w:space="0" w:color="00728F" w:themeColor="accent1"/>
        <w:bottom w:val="single" w:sz="8" w:space="0" w:color="00728F" w:themeColor="accent1"/>
      </w:tblBorders>
    </w:tblPr>
    <w:tblStylePr w:type="firstRow">
      <w:pPr>
        <w:spacing w:before="0" w:after="0" w:line="240" w:lineRule="auto"/>
      </w:pPr>
      <w:rPr>
        <w:b/>
        <w:bCs/>
      </w:rPr>
      <w:tblPr/>
      <w:tcPr>
        <w:tcBorders>
          <w:top w:val="single" w:sz="8" w:space="0" w:color="00728F" w:themeColor="accent1"/>
          <w:left w:val="nil"/>
          <w:bottom w:val="single" w:sz="8" w:space="0" w:color="00728F" w:themeColor="accent1"/>
          <w:right w:val="nil"/>
          <w:insideH w:val="nil"/>
          <w:insideV w:val="nil"/>
        </w:tcBorders>
      </w:tcPr>
    </w:tblStylePr>
    <w:tblStylePr w:type="lastRow">
      <w:pPr>
        <w:spacing w:before="0" w:after="0" w:line="240" w:lineRule="auto"/>
      </w:pPr>
      <w:rPr>
        <w:b/>
        <w:bCs/>
      </w:rPr>
      <w:tblPr/>
      <w:tcPr>
        <w:tcBorders>
          <w:top w:val="single" w:sz="8" w:space="0" w:color="00728F" w:themeColor="accent1"/>
          <w:left w:val="nil"/>
          <w:bottom w:val="single" w:sz="8" w:space="0" w:color="00728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ECFF" w:themeFill="accent1" w:themeFillTint="3F"/>
      </w:tcPr>
    </w:tblStylePr>
    <w:tblStylePr w:type="band1Horz">
      <w:tblPr/>
      <w:tcPr>
        <w:tcBorders>
          <w:left w:val="nil"/>
          <w:right w:val="nil"/>
          <w:insideH w:val="nil"/>
          <w:insideV w:val="nil"/>
        </w:tcBorders>
        <w:shd w:val="clear" w:color="auto" w:fill="A4ECFF" w:themeFill="accent1" w:themeFillTint="3F"/>
      </w:tcPr>
    </w:tblStylePr>
  </w:style>
  <w:style w:type="table" w:styleId="LightShading-Accent2">
    <w:name w:val="Light Shading Accent 2"/>
    <w:basedOn w:val="TableNormal"/>
    <w:uiPriority w:val="99"/>
    <w:semiHidden/>
    <w:rsid w:val="00361DEB"/>
    <w:pPr>
      <w:spacing w:after="0"/>
    </w:pPr>
    <w:rPr>
      <w:color w:val="67B7CE" w:themeColor="accent2" w:themeShade="BF"/>
    </w:rPr>
    <w:tblPr>
      <w:tblStyleRowBandSize w:val="1"/>
      <w:tblStyleColBandSize w:val="1"/>
      <w:tblBorders>
        <w:top w:val="single" w:sz="8" w:space="0" w:color="B7DDE8" w:themeColor="accent2"/>
        <w:bottom w:val="single" w:sz="8" w:space="0" w:color="B7DDE8" w:themeColor="accent2"/>
      </w:tblBorders>
    </w:tblPr>
    <w:tblStylePr w:type="firstRow">
      <w:pPr>
        <w:spacing w:before="0" w:after="0" w:line="240" w:lineRule="auto"/>
      </w:pPr>
      <w:rPr>
        <w:b/>
        <w:bCs/>
      </w:rPr>
      <w:tblPr/>
      <w:tcPr>
        <w:tcBorders>
          <w:top w:val="single" w:sz="8" w:space="0" w:color="B7DDE8" w:themeColor="accent2"/>
          <w:left w:val="nil"/>
          <w:bottom w:val="single" w:sz="8" w:space="0" w:color="B7DDE8" w:themeColor="accent2"/>
          <w:right w:val="nil"/>
          <w:insideH w:val="nil"/>
          <w:insideV w:val="nil"/>
        </w:tcBorders>
      </w:tcPr>
    </w:tblStylePr>
    <w:tblStylePr w:type="lastRow">
      <w:pPr>
        <w:spacing w:before="0" w:after="0" w:line="240" w:lineRule="auto"/>
      </w:pPr>
      <w:rPr>
        <w:b/>
        <w:bCs/>
      </w:rPr>
      <w:tblPr/>
      <w:tcPr>
        <w:tcBorders>
          <w:top w:val="single" w:sz="8" w:space="0" w:color="B7DDE8" w:themeColor="accent2"/>
          <w:left w:val="nil"/>
          <w:bottom w:val="single" w:sz="8" w:space="0" w:color="B7DDE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6F9" w:themeFill="accent2" w:themeFillTint="3F"/>
      </w:tcPr>
    </w:tblStylePr>
    <w:tblStylePr w:type="band1Horz">
      <w:tblPr/>
      <w:tcPr>
        <w:tcBorders>
          <w:left w:val="nil"/>
          <w:right w:val="nil"/>
          <w:insideH w:val="nil"/>
          <w:insideV w:val="nil"/>
        </w:tcBorders>
        <w:shd w:val="clear" w:color="auto" w:fill="EDF6F9" w:themeFill="accent2" w:themeFillTint="3F"/>
      </w:tcPr>
    </w:tblStylePr>
  </w:style>
  <w:style w:type="table" w:styleId="LightShading-Accent3">
    <w:name w:val="Light Shading Accent 3"/>
    <w:basedOn w:val="TableNormal"/>
    <w:uiPriority w:val="99"/>
    <w:semiHidden/>
    <w:rsid w:val="00361DEB"/>
    <w:pPr>
      <w:spacing w:after="0"/>
    </w:pPr>
    <w:rPr>
      <w:color w:val="84C4D6" w:themeColor="accent3" w:themeShade="BF"/>
    </w:rPr>
    <w:tblPr>
      <w:tblStyleRowBandSize w:val="1"/>
      <w:tblStyleColBandSize w:val="1"/>
      <w:tblBorders>
        <w:top w:val="single" w:sz="8" w:space="0" w:color="DBEEF3" w:themeColor="accent3"/>
        <w:bottom w:val="single" w:sz="8" w:space="0" w:color="DBEEF3" w:themeColor="accent3"/>
      </w:tblBorders>
    </w:tblPr>
    <w:tblStylePr w:type="firstRow">
      <w:pPr>
        <w:spacing w:before="0" w:after="0" w:line="240" w:lineRule="auto"/>
      </w:pPr>
      <w:rPr>
        <w:b/>
        <w:bCs/>
      </w:rPr>
      <w:tblPr/>
      <w:tcPr>
        <w:tcBorders>
          <w:top w:val="single" w:sz="8" w:space="0" w:color="DBEEF3" w:themeColor="accent3"/>
          <w:left w:val="nil"/>
          <w:bottom w:val="single" w:sz="8" w:space="0" w:color="DBEEF3" w:themeColor="accent3"/>
          <w:right w:val="nil"/>
          <w:insideH w:val="nil"/>
          <w:insideV w:val="nil"/>
        </w:tcBorders>
      </w:tcPr>
    </w:tblStylePr>
    <w:tblStylePr w:type="lastRow">
      <w:pPr>
        <w:spacing w:before="0" w:after="0" w:line="240" w:lineRule="auto"/>
      </w:pPr>
      <w:rPr>
        <w:b/>
        <w:bCs/>
      </w:rPr>
      <w:tblPr/>
      <w:tcPr>
        <w:tcBorders>
          <w:top w:val="single" w:sz="8" w:space="0" w:color="DBEEF3" w:themeColor="accent3"/>
          <w:left w:val="nil"/>
          <w:bottom w:val="single" w:sz="8" w:space="0" w:color="DBEEF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AFC" w:themeFill="accent3" w:themeFillTint="3F"/>
      </w:tcPr>
    </w:tblStylePr>
    <w:tblStylePr w:type="band1Horz">
      <w:tblPr/>
      <w:tcPr>
        <w:tcBorders>
          <w:left w:val="nil"/>
          <w:right w:val="nil"/>
          <w:insideH w:val="nil"/>
          <w:insideV w:val="nil"/>
        </w:tcBorders>
        <w:shd w:val="clear" w:color="auto" w:fill="F6FAFC" w:themeFill="accent3" w:themeFillTint="3F"/>
      </w:tcPr>
    </w:tblStylePr>
  </w:style>
  <w:style w:type="table" w:styleId="LightShading-Accent4">
    <w:name w:val="Light Shading Accent 4"/>
    <w:basedOn w:val="TableNormal"/>
    <w:uiPriority w:val="99"/>
    <w:semiHidden/>
    <w:rsid w:val="00361DEB"/>
    <w:pPr>
      <w:spacing w:after="0"/>
    </w:pPr>
    <w:rPr>
      <w:color w:val="4CACC5" w:themeColor="accent4" w:themeShade="BF"/>
    </w:rPr>
    <w:tblPr>
      <w:tblStyleRowBandSize w:val="1"/>
      <w:tblStyleColBandSize w:val="1"/>
      <w:tblBorders>
        <w:top w:val="single" w:sz="8" w:space="0" w:color="92CDDC" w:themeColor="accent4"/>
        <w:bottom w:val="single" w:sz="8" w:space="0" w:color="92CDDC" w:themeColor="accent4"/>
      </w:tblBorders>
    </w:tblPr>
    <w:tblStylePr w:type="firstRow">
      <w:pPr>
        <w:spacing w:before="0" w:after="0" w:line="240" w:lineRule="auto"/>
      </w:pPr>
      <w:rPr>
        <w:b/>
        <w:bCs/>
      </w:rPr>
      <w:tblPr/>
      <w:tcPr>
        <w:tcBorders>
          <w:top w:val="single" w:sz="8" w:space="0" w:color="92CDDC" w:themeColor="accent4"/>
          <w:left w:val="nil"/>
          <w:bottom w:val="single" w:sz="8" w:space="0" w:color="92CDDC" w:themeColor="accent4"/>
          <w:right w:val="nil"/>
          <w:insideH w:val="nil"/>
          <w:insideV w:val="nil"/>
        </w:tcBorders>
      </w:tcPr>
    </w:tblStylePr>
    <w:tblStylePr w:type="lastRow">
      <w:pPr>
        <w:spacing w:before="0" w:after="0" w:line="240" w:lineRule="auto"/>
      </w:pPr>
      <w:rPr>
        <w:b/>
        <w:bCs/>
      </w:rPr>
      <w:tblPr/>
      <w:tcPr>
        <w:tcBorders>
          <w:top w:val="single" w:sz="8" w:space="0" w:color="92CDDC" w:themeColor="accent4"/>
          <w:left w:val="nil"/>
          <w:bottom w:val="single" w:sz="8" w:space="0" w:color="92CDD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2F6" w:themeFill="accent4" w:themeFillTint="3F"/>
      </w:tcPr>
    </w:tblStylePr>
    <w:tblStylePr w:type="band1Horz">
      <w:tblPr/>
      <w:tcPr>
        <w:tcBorders>
          <w:left w:val="nil"/>
          <w:right w:val="nil"/>
          <w:insideH w:val="nil"/>
          <w:insideV w:val="nil"/>
        </w:tcBorders>
        <w:shd w:val="clear" w:color="auto" w:fill="E4F2F6" w:themeFill="accent4" w:themeFillTint="3F"/>
      </w:tcPr>
    </w:tblStylePr>
  </w:style>
  <w:style w:type="table" w:styleId="LightShading-Accent5">
    <w:name w:val="Light Shading Accent 5"/>
    <w:basedOn w:val="TableNormal"/>
    <w:uiPriority w:val="99"/>
    <w:semiHidden/>
    <w:rsid w:val="00361DEB"/>
    <w:pPr>
      <w:spacing w:after="0"/>
    </w:pPr>
    <w:rPr>
      <w:color w:val="246373" w:themeColor="accent5" w:themeShade="BF"/>
    </w:rPr>
    <w:tblPr>
      <w:tblStyleRowBandSize w:val="1"/>
      <w:tblStyleColBandSize w:val="1"/>
      <w:tblBorders>
        <w:top w:val="single" w:sz="8" w:space="0" w:color="31859B" w:themeColor="accent5"/>
        <w:bottom w:val="single" w:sz="8" w:space="0" w:color="31859B" w:themeColor="accent5"/>
      </w:tblBorders>
    </w:tblPr>
    <w:tblStylePr w:type="firstRow">
      <w:pPr>
        <w:spacing w:before="0" w:after="0" w:line="240" w:lineRule="auto"/>
      </w:pPr>
      <w:rPr>
        <w:b/>
        <w:bCs/>
      </w:rPr>
      <w:tblPr/>
      <w:tcPr>
        <w:tcBorders>
          <w:top w:val="single" w:sz="8" w:space="0" w:color="31859B" w:themeColor="accent5"/>
          <w:left w:val="nil"/>
          <w:bottom w:val="single" w:sz="8" w:space="0" w:color="31859B" w:themeColor="accent5"/>
          <w:right w:val="nil"/>
          <w:insideH w:val="nil"/>
          <w:insideV w:val="nil"/>
        </w:tcBorders>
      </w:tcPr>
    </w:tblStylePr>
    <w:tblStylePr w:type="lastRow">
      <w:pPr>
        <w:spacing w:before="0" w:after="0" w:line="240" w:lineRule="auto"/>
      </w:pPr>
      <w:rPr>
        <w:b/>
        <w:bCs/>
      </w:rPr>
      <w:tblPr/>
      <w:tcPr>
        <w:tcBorders>
          <w:top w:val="single" w:sz="8" w:space="0" w:color="31859B" w:themeColor="accent5"/>
          <w:left w:val="nil"/>
          <w:bottom w:val="single" w:sz="8" w:space="0" w:color="31859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4EC" w:themeFill="accent5" w:themeFillTint="3F"/>
      </w:tcPr>
    </w:tblStylePr>
    <w:tblStylePr w:type="band1Horz">
      <w:tblPr/>
      <w:tcPr>
        <w:tcBorders>
          <w:left w:val="nil"/>
          <w:right w:val="nil"/>
          <w:insideH w:val="nil"/>
          <w:insideV w:val="nil"/>
        </w:tcBorders>
        <w:shd w:val="clear" w:color="auto" w:fill="C5E4EC" w:themeFill="accent5" w:themeFillTint="3F"/>
      </w:tcPr>
    </w:tblStylePr>
  </w:style>
  <w:style w:type="table" w:styleId="LightShading-Accent6">
    <w:name w:val="Light Shading Accent 6"/>
    <w:basedOn w:val="TableNormal"/>
    <w:uiPriority w:val="99"/>
    <w:semiHidden/>
    <w:rsid w:val="00361DEB"/>
    <w:pPr>
      <w:spacing w:after="0"/>
    </w:pPr>
    <w:rPr>
      <w:color w:val="3795AD" w:themeColor="accent6" w:themeShade="BF"/>
    </w:rPr>
    <w:tblPr>
      <w:tblStyleRowBandSize w:val="1"/>
      <w:tblStyleColBandSize w:val="1"/>
      <w:tblBorders>
        <w:top w:val="single" w:sz="8" w:space="0" w:color="64B8CE" w:themeColor="accent6"/>
        <w:bottom w:val="single" w:sz="8" w:space="0" w:color="64B8CE" w:themeColor="accent6"/>
      </w:tblBorders>
    </w:tblPr>
    <w:tblStylePr w:type="firstRow">
      <w:pPr>
        <w:spacing w:before="0" w:after="0" w:line="240" w:lineRule="auto"/>
      </w:pPr>
      <w:rPr>
        <w:b/>
        <w:bCs/>
      </w:rPr>
      <w:tblPr/>
      <w:tcPr>
        <w:tcBorders>
          <w:top w:val="single" w:sz="8" w:space="0" w:color="64B8CE" w:themeColor="accent6"/>
          <w:left w:val="nil"/>
          <w:bottom w:val="single" w:sz="8" w:space="0" w:color="64B8CE" w:themeColor="accent6"/>
          <w:right w:val="nil"/>
          <w:insideH w:val="nil"/>
          <w:insideV w:val="nil"/>
        </w:tcBorders>
      </w:tcPr>
    </w:tblStylePr>
    <w:tblStylePr w:type="lastRow">
      <w:pPr>
        <w:spacing w:before="0" w:after="0" w:line="240" w:lineRule="auto"/>
      </w:pPr>
      <w:rPr>
        <w:b/>
        <w:bCs/>
      </w:rPr>
      <w:tblPr/>
      <w:tcPr>
        <w:tcBorders>
          <w:top w:val="single" w:sz="8" w:space="0" w:color="64B8CE" w:themeColor="accent6"/>
          <w:left w:val="nil"/>
          <w:bottom w:val="single" w:sz="8" w:space="0" w:color="64B8C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DF2" w:themeFill="accent6" w:themeFillTint="3F"/>
      </w:tcPr>
    </w:tblStylePr>
    <w:tblStylePr w:type="band1Horz">
      <w:tblPr/>
      <w:tcPr>
        <w:tcBorders>
          <w:left w:val="nil"/>
          <w:right w:val="nil"/>
          <w:insideH w:val="nil"/>
          <w:insideV w:val="nil"/>
        </w:tcBorders>
        <w:shd w:val="clear" w:color="auto" w:fill="D8EDF2" w:themeFill="accent6" w:themeFillTint="3F"/>
      </w:tcPr>
    </w:tblStylePr>
  </w:style>
  <w:style w:type="table" w:customStyle="1" w:styleId="MediumGrid11">
    <w:name w:val="Medium Grid 11"/>
    <w:basedOn w:val="TableNormal"/>
    <w:uiPriority w:val="99"/>
    <w:semiHidden/>
    <w:rsid w:val="00361DEB"/>
    <w:pPr>
      <w:spacing w:after="0"/>
    </w:pPr>
    <w:tblPr>
      <w:tblStyleRowBandSize w:val="1"/>
      <w:tblStyleColBandSize w:val="1"/>
      <w:tblBorders>
        <w:top w:val="single" w:sz="8" w:space="0" w:color="00BBEB" w:themeColor="text1" w:themeTint="BF"/>
        <w:left w:val="single" w:sz="8" w:space="0" w:color="00BBEB" w:themeColor="text1" w:themeTint="BF"/>
        <w:bottom w:val="single" w:sz="8" w:space="0" w:color="00BBEB" w:themeColor="text1" w:themeTint="BF"/>
        <w:right w:val="single" w:sz="8" w:space="0" w:color="00BBEB" w:themeColor="text1" w:themeTint="BF"/>
        <w:insideH w:val="single" w:sz="8" w:space="0" w:color="00BBEB" w:themeColor="text1" w:themeTint="BF"/>
        <w:insideV w:val="single" w:sz="8" w:space="0" w:color="00BBEB" w:themeColor="text1" w:themeTint="BF"/>
      </w:tblBorders>
    </w:tblPr>
    <w:tcPr>
      <w:shd w:val="clear" w:color="auto" w:fill="A4ECFF" w:themeFill="text1" w:themeFillTint="3F"/>
    </w:tcPr>
    <w:tblStylePr w:type="firstRow">
      <w:rPr>
        <w:b/>
        <w:bCs/>
      </w:rPr>
    </w:tblStylePr>
    <w:tblStylePr w:type="lastRow">
      <w:rPr>
        <w:b/>
        <w:bCs/>
      </w:rPr>
      <w:tblPr/>
      <w:tcPr>
        <w:tcBorders>
          <w:top w:val="single" w:sz="18" w:space="0" w:color="00BBEB" w:themeColor="text1" w:themeTint="BF"/>
        </w:tcBorders>
      </w:tcPr>
    </w:tblStylePr>
    <w:tblStylePr w:type="firstCol">
      <w:rPr>
        <w:b/>
        <w:bCs/>
      </w:rPr>
    </w:tblStylePr>
    <w:tblStylePr w:type="lastCol">
      <w:rPr>
        <w:b/>
        <w:bCs/>
      </w:rPr>
    </w:tblStylePr>
    <w:tblStylePr w:type="band1Vert">
      <w:tblPr/>
      <w:tcPr>
        <w:shd w:val="clear" w:color="auto" w:fill="48D9FF" w:themeFill="text1" w:themeFillTint="7F"/>
      </w:tcPr>
    </w:tblStylePr>
    <w:tblStylePr w:type="band1Horz">
      <w:tblPr/>
      <w:tcPr>
        <w:shd w:val="clear" w:color="auto" w:fill="48D9FF" w:themeFill="text1" w:themeFillTint="7F"/>
      </w:tcPr>
    </w:tblStylePr>
  </w:style>
  <w:style w:type="table" w:styleId="MediumGrid1-Accent1">
    <w:name w:val="Medium Grid 1 Accent 1"/>
    <w:basedOn w:val="TableNormal"/>
    <w:uiPriority w:val="99"/>
    <w:semiHidden/>
    <w:rsid w:val="00361DEB"/>
    <w:pPr>
      <w:spacing w:after="0"/>
    </w:pPr>
    <w:tblPr>
      <w:tblStyleRowBandSize w:val="1"/>
      <w:tblStyleColBandSize w:val="1"/>
      <w:tblBorders>
        <w:top w:val="single" w:sz="8" w:space="0" w:color="00BBEB" w:themeColor="accent1" w:themeTint="BF"/>
        <w:left w:val="single" w:sz="8" w:space="0" w:color="00BBEB" w:themeColor="accent1" w:themeTint="BF"/>
        <w:bottom w:val="single" w:sz="8" w:space="0" w:color="00BBEB" w:themeColor="accent1" w:themeTint="BF"/>
        <w:right w:val="single" w:sz="8" w:space="0" w:color="00BBEB" w:themeColor="accent1" w:themeTint="BF"/>
        <w:insideH w:val="single" w:sz="8" w:space="0" w:color="00BBEB" w:themeColor="accent1" w:themeTint="BF"/>
        <w:insideV w:val="single" w:sz="8" w:space="0" w:color="00BBEB" w:themeColor="accent1" w:themeTint="BF"/>
      </w:tblBorders>
    </w:tblPr>
    <w:tcPr>
      <w:shd w:val="clear" w:color="auto" w:fill="A4ECFF" w:themeFill="accent1" w:themeFillTint="3F"/>
    </w:tcPr>
    <w:tblStylePr w:type="firstRow">
      <w:rPr>
        <w:b/>
        <w:bCs/>
      </w:rPr>
    </w:tblStylePr>
    <w:tblStylePr w:type="lastRow">
      <w:rPr>
        <w:b/>
        <w:bCs/>
      </w:rPr>
      <w:tblPr/>
      <w:tcPr>
        <w:tcBorders>
          <w:top w:val="single" w:sz="18" w:space="0" w:color="00BBEB" w:themeColor="accent1" w:themeTint="BF"/>
        </w:tcBorders>
      </w:tcPr>
    </w:tblStylePr>
    <w:tblStylePr w:type="firstCol">
      <w:rPr>
        <w:b/>
        <w:bCs/>
      </w:rPr>
    </w:tblStylePr>
    <w:tblStylePr w:type="lastCol">
      <w:rPr>
        <w:b/>
        <w:bCs/>
      </w:rPr>
    </w:tblStylePr>
    <w:tblStylePr w:type="band1Vert">
      <w:tblPr/>
      <w:tcPr>
        <w:shd w:val="clear" w:color="auto" w:fill="48D9FF" w:themeFill="accent1" w:themeFillTint="7F"/>
      </w:tcPr>
    </w:tblStylePr>
    <w:tblStylePr w:type="band1Horz">
      <w:tblPr/>
      <w:tcPr>
        <w:shd w:val="clear" w:color="auto" w:fill="48D9FF" w:themeFill="accent1" w:themeFillTint="7F"/>
      </w:tcPr>
    </w:tblStylePr>
  </w:style>
  <w:style w:type="table" w:styleId="MediumGrid1-Accent2">
    <w:name w:val="Medium Grid 1 Accent 2"/>
    <w:basedOn w:val="TableNormal"/>
    <w:uiPriority w:val="99"/>
    <w:semiHidden/>
    <w:rsid w:val="00361DEB"/>
    <w:pPr>
      <w:spacing w:after="0"/>
    </w:pPr>
    <w:tblPr>
      <w:tblStyleRowBandSize w:val="1"/>
      <w:tblStyleColBandSize w:val="1"/>
      <w:tblBorders>
        <w:top w:val="single" w:sz="8" w:space="0" w:color="C8E5ED" w:themeColor="accent2" w:themeTint="BF"/>
        <w:left w:val="single" w:sz="8" w:space="0" w:color="C8E5ED" w:themeColor="accent2" w:themeTint="BF"/>
        <w:bottom w:val="single" w:sz="8" w:space="0" w:color="C8E5ED" w:themeColor="accent2" w:themeTint="BF"/>
        <w:right w:val="single" w:sz="8" w:space="0" w:color="C8E5ED" w:themeColor="accent2" w:themeTint="BF"/>
        <w:insideH w:val="single" w:sz="8" w:space="0" w:color="C8E5ED" w:themeColor="accent2" w:themeTint="BF"/>
        <w:insideV w:val="single" w:sz="8" w:space="0" w:color="C8E5ED" w:themeColor="accent2" w:themeTint="BF"/>
      </w:tblBorders>
    </w:tblPr>
    <w:tcPr>
      <w:shd w:val="clear" w:color="auto" w:fill="EDF6F9" w:themeFill="accent2" w:themeFillTint="3F"/>
    </w:tcPr>
    <w:tblStylePr w:type="firstRow">
      <w:rPr>
        <w:b/>
        <w:bCs/>
      </w:rPr>
    </w:tblStylePr>
    <w:tblStylePr w:type="lastRow">
      <w:rPr>
        <w:b/>
        <w:bCs/>
      </w:rPr>
      <w:tblPr/>
      <w:tcPr>
        <w:tcBorders>
          <w:top w:val="single" w:sz="18" w:space="0" w:color="C8E5ED" w:themeColor="accent2" w:themeTint="BF"/>
        </w:tcBorders>
      </w:tcPr>
    </w:tblStylePr>
    <w:tblStylePr w:type="firstCol">
      <w:rPr>
        <w:b/>
        <w:bCs/>
      </w:rPr>
    </w:tblStylePr>
    <w:tblStylePr w:type="lastCol">
      <w:rPr>
        <w:b/>
        <w:bCs/>
      </w:rPr>
    </w:tblStylePr>
    <w:tblStylePr w:type="band1Vert">
      <w:tblPr/>
      <w:tcPr>
        <w:shd w:val="clear" w:color="auto" w:fill="DBEEF3" w:themeFill="accent2" w:themeFillTint="7F"/>
      </w:tcPr>
    </w:tblStylePr>
    <w:tblStylePr w:type="band1Horz">
      <w:tblPr/>
      <w:tcPr>
        <w:shd w:val="clear" w:color="auto" w:fill="DBEEF3" w:themeFill="accent2" w:themeFillTint="7F"/>
      </w:tcPr>
    </w:tblStylePr>
  </w:style>
  <w:style w:type="table" w:styleId="MediumGrid1-Accent3">
    <w:name w:val="Medium Grid 1 Accent 3"/>
    <w:basedOn w:val="TableNormal"/>
    <w:uiPriority w:val="99"/>
    <w:semiHidden/>
    <w:rsid w:val="00361DEB"/>
    <w:pPr>
      <w:spacing w:after="0"/>
    </w:pPr>
    <w:tblPr>
      <w:tblStyleRowBandSize w:val="1"/>
      <w:tblStyleColBandSize w:val="1"/>
      <w:tblBorders>
        <w:top w:val="single" w:sz="8" w:space="0" w:color="E4F2F6" w:themeColor="accent3" w:themeTint="BF"/>
        <w:left w:val="single" w:sz="8" w:space="0" w:color="E4F2F6" w:themeColor="accent3" w:themeTint="BF"/>
        <w:bottom w:val="single" w:sz="8" w:space="0" w:color="E4F2F6" w:themeColor="accent3" w:themeTint="BF"/>
        <w:right w:val="single" w:sz="8" w:space="0" w:color="E4F2F6" w:themeColor="accent3" w:themeTint="BF"/>
        <w:insideH w:val="single" w:sz="8" w:space="0" w:color="E4F2F6" w:themeColor="accent3" w:themeTint="BF"/>
        <w:insideV w:val="single" w:sz="8" w:space="0" w:color="E4F2F6" w:themeColor="accent3" w:themeTint="BF"/>
      </w:tblBorders>
    </w:tblPr>
    <w:tcPr>
      <w:shd w:val="clear" w:color="auto" w:fill="F6FAFC" w:themeFill="accent3" w:themeFillTint="3F"/>
    </w:tcPr>
    <w:tblStylePr w:type="firstRow">
      <w:rPr>
        <w:b/>
        <w:bCs/>
      </w:rPr>
    </w:tblStylePr>
    <w:tblStylePr w:type="lastRow">
      <w:rPr>
        <w:b/>
        <w:bCs/>
      </w:rPr>
      <w:tblPr/>
      <w:tcPr>
        <w:tcBorders>
          <w:top w:val="single" w:sz="18" w:space="0" w:color="E4F2F6" w:themeColor="accent3" w:themeTint="BF"/>
        </w:tcBorders>
      </w:tcPr>
    </w:tblStylePr>
    <w:tblStylePr w:type="firstCol">
      <w:rPr>
        <w:b/>
        <w:bCs/>
      </w:rPr>
    </w:tblStylePr>
    <w:tblStylePr w:type="lastCol">
      <w:rPr>
        <w:b/>
        <w:bCs/>
      </w:rPr>
    </w:tblStylePr>
    <w:tblStylePr w:type="band1Vert">
      <w:tblPr/>
      <w:tcPr>
        <w:shd w:val="clear" w:color="auto" w:fill="EDF6F9" w:themeFill="accent3" w:themeFillTint="7F"/>
      </w:tcPr>
    </w:tblStylePr>
    <w:tblStylePr w:type="band1Horz">
      <w:tblPr/>
      <w:tcPr>
        <w:shd w:val="clear" w:color="auto" w:fill="EDF6F9" w:themeFill="accent3" w:themeFillTint="7F"/>
      </w:tcPr>
    </w:tblStylePr>
  </w:style>
  <w:style w:type="table" w:styleId="MediumGrid1-Accent4">
    <w:name w:val="Medium Grid 1 Accent 4"/>
    <w:basedOn w:val="TableNormal"/>
    <w:uiPriority w:val="99"/>
    <w:semiHidden/>
    <w:rsid w:val="00361DEB"/>
    <w:pPr>
      <w:spacing w:after="0"/>
    </w:pPr>
    <w:tblPr>
      <w:tblStyleRowBandSize w:val="1"/>
      <w:tblStyleColBandSize w:val="1"/>
      <w:tblBorders>
        <w:top w:val="single" w:sz="8" w:space="0" w:color="ADD9E4" w:themeColor="accent4" w:themeTint="BF"/>
        <w:left w:val="single" w:sz="8" w:space="0" w:color="ADD9E4" w:themeColor="accent4" w:themeTint="BF"/>
        <w:bottom w:val="single" w:sz="8" w:space="0" w:color="ADD9E4" w:themeColor="accent4" w:themeTint="BF"/>
        <w:right w:val="single" w:sz="8" w:space="0" w:color="ADD9E4" w:themeColor="accent4" w:themeTint="BF"/>
        <w:insideH w:val="single" w:sz="8" w:space="0" w:color="ADD9E4" w:themeColor="accent4" w:themeTint="BF"/>
        <w:insideV w:val="single" w:sz="8" w:space="0" w:color="ADD9E4" w:themeColor="accent4" w:themeTint="BF"/>
      </w:tblBorders>
    </w:tblPr>
    <w:tcPr>
      <w:shd w:val="clear" w:color="auto" w:fill="E4F2F6" w:themeFill="accent4" w:themeFillTint="3F"/>
    </w:tcPr>
    <w:tblStylePr w:type="firstRow">
      <w:rPr>
        <w:b/>
        <w:bCs/>
      </w:rPr>
    </w:tblStylePr>
    <w:tblStylePr w:type="lastRow">
      <w:rPr>
        <w:b/>
        <w:bCs/>
      </w:rPr>
      <w:tblPr/>
      <w:tcPr>
        <w:tcBorders>
          <w:top w:val="single" w:sz="18" w:space="0" w:color="ADD9E4" w:themeColor="accent4" w:themeTint="BF"/>
        </w:tcBorders>
      </w:tcPr>
    </w:tblStylePr>
    <w:tblStylePr w:type="firstCol">
      <w:rPr>
        <w:b/>
        <w:bCs/>
      </w:rPr>
    </w:tblStylePr>
    <w:tblStylePr w:type="lastCol">
      <w:rPr>
        <w:b/>
        <w:bCs/>
      </w:rPr>
    </w:tblStylePr>
    <w:tblStylePr w:type="band1Vert">
      <w:tblPr/>
      <w:tcPr>
        <w:shd w:val="clear" w:color="auto" w:fill="C8E5ED" w:themeFill="accent4" w:themeFillTint="7F"/>
      </w:tcPr>
    </w:tblStylePr>
    <w:tblStylePr w:type="band1Horz">
      <w:tblPr/>
      <w:tcPr>
        <w:shd w:val="clear" w:color="auto" w:fill="C8E5ED" w:themeFill="accent4" w:themeFillTint="7F"/>
      </w:tcPr>
    </w:tblStylePr>
  </w:style>
  <w:style w:type="table" w:styleId="MediumGrid1-Accent5">
    <w:name w:val="Medium Grid 1 Accent 5"/>
    <w:basedOn w:val="TableNormal"/>
    <w:uiPriority w:val="99"/>
    <w:semiHidden/>
    <w:rsid w:val="00361DEB"/>
    <w:pPr>
      <w:spacing w:after="0"/>
    </w:pPr>
    <w:tblPr>
      <w:tblStyleRowBandSize w:val="1"/>
      <w:tblStyleColBandSize w:val="1"/>
      <w:tblBorders>
        <w:top w:val="single" w:sz="8" w:space="0" w:color="50AFC8" w:themeColor="accent5" w:themeTint="BF"/>
        <w:left w:val="single" w:sz="8" w:space="0" w:color="50AFC8" w:themeColor="accent5" w:themeTint="BF"/>
        <w:bottom w:val="single" w:sz="8" w:space="0" w:color="50AFC8" w:themeColor="accent5" w:themeTint="BF"/>
        <w:right w:val="single" w:sz="8" w:space="0" w:color="50AFC8" w:themeColor="accent5" w:themeTint="BF"/>
        <w:insideH w:val="single" w:sz="8" w:space="0" w:color="50AFC8" w:themeColor="accent5" w:themeTint="BF"/>
        <w:insideV w:val="single" w:sz="8" w:space="0" w:color="50AFC8" w:themeColor="accent5" w:themeTint="BF"/>
      </w:tblBorders>
    </w:tblPr>
    <w:tcPr>
      <w:shd w:val="clear" w:color="auto" w:fill="C5E4EC" w:themeFill="accent5" w:themeFillTint="3F"/>
    </w:tcPr>
    <w:tblStylePr w:type="firstRow">
      <w:rPr>
        <w:b/>
        <w:bCs/>
      </w:rPr>
    </w:tblStylePr>
    <w:tblStylePr w:type="lastRow">
      <w:rPr>
        <w:b/>
        <w:bCs/>
      </w:rPr>
      <w:tblPr/>
      <w:tcPr>
        <w:tcBorders>
          <w:top w:val="single" w:sz="18" w:space="0" w:color="50AFC8" w:themeColor="accent5" w:themeTint="BF"/>
        </w:tcBorders>
      </w:tcPr>
    </w:tblStylePr>
    <w:tblStylePr w:type="firstCol">
      <w:rPr>
        <w:b/>
        <w:bCs/>
      </w:rPr>
    </w:tblStylePr>
    <w:tblStylePr w:type="lastCol">
      <w:rPr>
        <w:b/>
        <w:bCs/>
      </w:rPr>
    </w:tblStylePr>
    <w:tblStylePr w:type="band1Vert">
      <w:tblPr/>
      <w:tcPr>
        <w:shd w:val="clear" w:color="auto" w:fill="8BC9DA" w:themeFill="accent5" w:themeFillTint="7F"/>
      </w:tcPr>
    </w:tblStylePr>
    <w:tblStylePr w:type="band1Horz">
      <w:tblPr/>
      <w:tcPr>
        <w:shd w:val="clear" w:color="auto" w:fill="8BC9DA" w:themeFill="accent5" w:themeFillTint="7F"/>
      </w:tcPr>
    </w:tblStylePr>
  </w:style>
  <w:style w:type="table" w:styleId="MediumGrid1-Accent6">
    <w:name w:val="Medium Grid 1 Accent 6"/>
    <w:basedOn w:val="TableNormal"/>
    <w:uiPriority w:val="99"/>
    <w:semiHidden/>
    <w:rsid w:val="00361DEB"/>
    <w:pPr>
      <w:spacing w:after="0"/>
    </w:pPr>
    <w:tblPr>
      <w:tblStyleRowBandSize w:val="1"/>
      <w:tblStyleColBandSize w:val="1"/>
      <w:tblBorders>
        <w:top w:val="single" w:sz="8" w:space="0" w:color="8AC9DA" w:themeColor="accent6" w:themeTint="BF"/>
        <w:left w:val="single" w:sz="8" w:space="0" w:color="8AC9DA" w:themeColor="accent6" w:themeTint="BF"/>
        <w:bottom w:val="single" w:sz="8" w:space="0" w:color="8AC9DA" w:themeColor="accent6" w:themeTint="BF"/>
        <w:right w:val="single" w:sz="8" w:space="0" w:color="8AC9DA" w:themeColor="accent6" w:themeTint="BF"/>
        <w:insideH w:val="single" w:sz="8" w:space="0" w:color="8AC9DA" w:themeColor="accent6" w:themeTint="BF"/>
        <w:insideV w:val="single" w:sz="8" w:space="0" w:color="8AC9DA" w:themeColor="accent6" w:themeTint="BF"/>
      </w:tblBorders>
    </w:tblPr>
    <w:tcPr>
      <w:shd w:val="clear" w:color="auto" w:fill="D8EDF2" w:themeFill="accent6" w:themeFillTint="3F"/>
    </w:tcPr>
    <w:tblStylePr w:type="firstRow">
      <w:rPr>
        <w:b/>
        <w:bCs/>
      </w:rPr>
    </w:tblStylePr>
    <w:tblStylePr w:type="lastRow">
      <w:rPr>
        <w:b/>
        <w:bCs/>
      </w:rPr>
      <w:tblPr/>
      <w:tcPr>
        <w:tcBorders>
          <w:top w:val="single" w:sz="18" w:space="0" w:color="8AC9DA" w:themeColor="accent6" w:themeTint="BF"/>
        </w:tcBorders>
      </w:tcPr>
    </w:tblStylePr>
    <w:tblStylePr w:type="firstCol">
      <w:rPr>
        <w:b/>
        <w:bCs/>
      </w:rPr>
    </w:tblStylePr>
    <w:tblStylePr w:type="lastCol">
      <w:rPr>
        <w:b/>
        <w:bCs/>
      </w:rPr>
    </w:tblStylePr>
    <w:tblStylePr w:type="band1Vert">
      <w:tblPr/>
      <w:tcPr>
        <w:shd w:val="clear" w:color="auto" w:fill="B1DBE6" w:themeFill="accent6" w:themeFillTint="7F"/>
      </w:tcPr>
    </w:tblStylePr>
    <w:tblStylePr w:type="band1Horz">
      <w:tblPr/>
      <w:tcPr>
        <w:shd w:val="clear" w:color="auto" w:fill="B1DBE6" w:themeFill="accent6" w:themeFillTint="7F"/>
      </w:tcPr>
    </w:tblStylePr>
  </w:style>
  <w:style w:type="table" w:customStyle="1" w:styleId="MediumGrid21">
    <w:name w:val="Medium Grid 21"/>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00728F" w:themeColor="text1"/>
        <w:left w:val="single" w:sz="8" w:space="0" w:color="00728F" w:themeColor="text1"/>
        <w:bottom w:val="single" w:sz="8" w:space="0" w:color="00728F" w:themeColor="text1"/>
        <w:right w:val="single" w:sz="8" w:space="0" w:color="00728F" w:themeColor="text1"/>
        <w:insideH w:val="single" w:sz="8" w:space="0" w:color="00728F" w:themeColor="text1"/>
        <w:insideV w:val="single" w:sz="8" w:space="0" w:color="00728F" w:themeColor="text1"/>
      </w:tblBorders>
    </w:tblPr>
    <w:tcPr>
      <w:shd w:val="clear" w:color="auto" w:fill="A4ECFF" w:themeFill="text1" w:themeFillTint="3F"/>
    </w:tcPr>
    <w:tblStylePr w:type="firstRow">
      <w:rPr>
        <w:b/>
        <w:bCs/>
        <w:color w:val="00728F" w:themeColor="text1"/>
      </w:rPr>
      <w:tblPr/>
      <w:tcPr>
        <w:shd w:val="clear" w:color="auto" w:fill="DBF7FF" w:themeFill="text1"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B5EFFF" w:themeFill="text1" w:themeFillTint="33"/>
      </w:tcPr>
    </w:tblStylePr>
    <w:tblStylePr w:type="band1Vert">
      <w:tblPr/>
      <w:tcPr>
        <w:shd w:val="clear" w:color="auto" w:fill="48D9FF" w:themeFill="text1" w:themeFillTint="7F"/>
      </w:tcPr>
    </w:tblStylePr>
    <w:tblStylePr w:type="band1Horz">
      <w:tblPr/>
      <w:tcPr>
        <w:tcBorders>
          <w:insideH w:val="single" w:sz="6" w:space="0" w:color="00728F" w:themeColor="text1"/>
          <w:insideV w:val="single" w:sz="6" w:space="0" w:color="00728F" w:themeColor="text1"/>
        </w:tcBorders>
        <w:shd w:val="clear" w:color="auto" w:fill="48D9F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00728F" w:themeColor="accent1"/>
        <w:left w:val="single" w:sz="8" w:space="0" w:color="00728F" w:themeColor="accent1"/>
        <w:bottom w:val="single" w:sz="8" w:space="0" w:color="00728F" w:themeColor="accent1"/>
        <w:right w:val="single" w:sz="8" w:space="0" w:color="00728F" w:themeColor="accent1"/>
        <w:insideH w:val="single" w:sz="8" w:space="0" w:color="00728F" w:themeColor="accent1"/>
        <w:insideV w:val="single" w:sz="8" w:space="0" w:color="00728F" w:themeColor="accent1"/>
      </w:tblBorders>
    </w:tblPr>
    <w:tcPr>
      <w:shd w:val="clear" w:color="auto" w:fill="A4ECFF" w:themeFill="accent1" w:themeFillTint="3F"/>
    </w:tcPr>
    <w:tblStylePr w:type="firstRow">
      <w:rPr>
        <w:b/>
        <w:bCs/>
        <w:color w:val="00728F" w:themeColor="text1"/>
      </w:rPr>
      <w:tblPr/>
      <w:tcPr>
        <w:shd w:val="clear" w:color="auto" w:fill="DBF7FF" w:themeFill="accent1"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B5EFFF" w:themeFill="accent1" w:themeFillTint="33"/>
      </w:tcPr>
    </w:tblStylePr>
    <w:tblStylePr w:type="band1Vert">
      <w:tblPr/>
      <w:tcPr>
        <w:shd w:val="clear" w:color="auto" w:fill="48D9FF" w:themeFill="accent1" w:themeFillTint="7F"/>
      </w:tcPr>
    </w:tblStylePr>
    <w:tblStylePr w:type="band1Horz">
      <w:tblPr/>
      <w:tcPr>
        <w:tcBorders>
          <w:insideH w:val="single" w:sz="6" w:space="0" w:color="00728F" w:themeColor="accent1"/>
          <w:insideV w:val="single" w:sz="6" w:space="0" w:color="00728F" w:themeColor="accent1"/>
        </w:tcBorders>
        <w:shd w:val="clear" w:color="auto" w:fill="48D9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B7DDE8" w:themeColor="accent2"/>
        <w:left w:val="single" w:sz="8" w:space="0" w:color="B7DDE8" w:themeColor="accent2"/>
        <w:bottom w:val="single" w:sz="8" w:space="0" w:color="B7DDE8" w:themeColor="accent2"/>
        <w:right w:val="single" w:sz="8" w:space="0" w:color="B7DDE8" w:themeColor="accent2"/>
        <w:insideH w:val="single" w:sz="8" w:space="0" w:color="B7DDE8" w:themeColor="accent2"/>
        <w:insideV w:val="single" w:sz="8" w:space="0" w:color="B7DDE8" w:themeColor="accent2"/>
      </w:tblBorders>
    </w:tblPr>
    <w:tcPr>
      <w:shd w:val="clear" w:color="auto" w:fill="EDF6F9" w:themeFill="accent2" w:themeFillTint="3F"/>
    </w:tcPr>
    <w:tblStylePr w:type="firstRow">
      <w:rPr>
        <w:b/>
        <w:bCs/>
        <w:color w:val="00728F" w:themeColor="text1"/>
      </w:rPr>
      <w:tblPr/>
      <w:tcPr>
        <w:shd w:val="clear" w:color="auto" w:fill="F7FBFC" w:themeFill="accent2"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F0F8FA" w:themeFill="accent2" w:themeFillTint="33"/>
      </w:tcPr>
    </w:tblStylePr>
    <w:tblStylePr w:type="band1Vert">
      <w:tblPr/>
      <w:tcPr>
        <w:shd w:val="clear" w:color="auto" w:fill="DBEEF3" w:themeFill="accent2" w:themeFillTint="7F"/>
      </w:tcPr>
    </w:tblStylePr>
    <w:tblStylePr w:type="band1Horz">
      <w:tblPr/>
      <w:tcPr>
        <w:tcBorders>
          <w:insideH w:val="single" w:sz="6" w:space="0" w:color="B7DDE8" w:themeColor="accent2"/>
          <w:insideV w:val="single" w:sz="6" w:space="0" w:color="B7DDE8" w:themeColor="accent2"/>
        </w:tcBorders>
        <w:shd w:val="clear" w:color="auto" w:fill="DBEEF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DBEEF3" w:themeColor="accent3"/>
        <w:left w:val="single" w:sz="8" w:space="0" w:color="DBEEF3" w:themeColor="accent3"/>
        <w:bottom w:val="single" w:sz="8" w:space="0" w:color="DBEEF3" w:themeColor="accent3"/>
        <w:right w:val="single" w:sz="8" w:space="0" w:color="DBEEF3" w:themeColor="accent3"/>
        <w:insideH w:val="single" w:sz="8" w:space="0" w:color="DBEEF3" w:themeColor="accent3"/>
        <w:insideV w:val="single" w:sz="8" w:space="0" w:color="DBEEF3" w:themeColor="accent3"/>
      </w:tblBorders>
    </w:tblPr>
    <w:tcPr>
      <w:shd w:val="clear" w:color="auto" w:fill="F6FAFC" w:themeFill="accent3" w:themeFillTint="3F"/>
    </w:tcPr>
    <w:tblStylePr w:type="firstRow">
      <w:rPr>
        <w:b/>
        <w:bCs/>
        <w:color w:val="00728F" w:themeColor="text1"/>
      </w:rPr>
      <w:tblPr/>
      <w:tcPr>
        <w:shd w:val="clear" w:color="auto" w:fill="FBFDFD" w:themeFill="accent3"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F7FBFC" w:themeFill="accent3" w:themeFillTint="33"/>
      </w:tcPr>
    </w:tblStylePr>
    <w:tblStylePr w:type="band1Vert">
      <w:tblPr/>
      <w:tcPr>
        <w:shd w:val="clear" w:color="auto" w:fill="EDF6F9" w:themeFill="accent3" w:themeFillTint="7F"/>
      </w:tcPr>
    </w:tblStylePr>
    <w:tblStylePr w:type="band1Horz">
      <w:tblPr/>
      <w:tcPr>
        <w:tcBorders>
          <w:insideH w:val="single" w:sz="6" w:space="0" w:color="DBEEF3" w:themeColor="accent3"/>
          <w:insideV w:val="single" w:sz="6" w:space="0" w:color="DBEEF3" w:themeColor="accent3"/>
        </w:tcBorders>
        <w:shd w:val="clear" w:color="auto" w:fill="EDF6F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92CDDC" w:themeColor="accent4"/>
        <w:left w:val="single" w:sz="8" w:space="0" w:color="92CDDC" w:themeColor="accent4"/>
        <w:bottom w:val="single" w:sz="8" w:space="0" w:color="92CDDC" w:themeColor="accent4"/>
        <w:right w:val="single" w:sz="8" w:space="0" w:color="92CDDC" w:themeColor="accent4"/>
        <w:insideH w:val="single" w:sz="8" w:space="0" w:color="92CDDC" w:themeColor="accent4"/>
        <w:insideV w:val="single" w:sz="8" w:space="0" w:color="92CDDC" w:themeColor="accent4"/>
      </w:tblBorders>
    </w:tblPr>
    <w:tcPr>
      <w:shd w:val="clear" w:color="auto" w:fill="E4F2F6" w:themeFill="accent4" w:themeFillTint="3F"/>
    </w:tcPr>
    <w:tblStylePr w:type="firstRow">
      <w:rPr>
        <w:b/>
        <w:bCs/>
        <w:color w:val="00728F" w:themeColor="text1"/>
      </w:rPr>
      <w:tblPr/>
      <w:tcPr>
        <w:shd w:val="clear" w:color="auto" w:fill="F4FAFB" w:themeFill="accent4"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E9F4F8" w:themeFill="accent4" w:themeFillTint="33"/>
      </w:tcPr>
    </w:tblStylePr>
    <w:tblStylePr w:type="band1Vert">
      <w:tblPr/>
      <w:tcPr>
        <w:shd w:val="clear" w:color="auto" w:fill="C8E5ED" w:themeFill="accent4" w:themeFillTint="7F"/>
      </w:tcPr>
    </w:tblStylePr>
    <w:tblStylePr w:type="band1Horz">
      <w:tblPr/>
      <w:tcPr>
        <w:tcBorders>
          <w:insideH w:val="single" w:sz="6" w:space="0" w:color="92CDDC" w:themeColor="accent4"/>
          <w:insideV w:val="single" w:sz="6" w:space="0" w:color="92CDDC" w:themeColor="accent4"/>
        </w:tcBorders>
        <w:shd w:val="clear" w:color="auto" w:fill="C8E5E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31859B" w:themeColor="accent5"/>
        <w:left w:val="single" w:sz="8" w:space="0" w:color="31859B" w:themeColor="accent5"/>
        <w:bottom w:val="single" w:sz="8" w:space="0" w:color="31859B" w:themeColor="accent5"/>
        <w:right w:val="single" w:sz="8" w:space="0" w:color="31859B" w:themeColor="accent5"/>
        <w:insideH w:val="single" w:sz="8" w:space="0" w:color="31859B" w:themeColor="accent5"/>
        <w:insideV w:val="single" w:sz="8" w:space="0" w:color="31859B" w:themeColor="accent5"/>
      </w:tblBorders>
    </w:tblPr>
    <w:tcPr>
      <w:shd w:val="clear" w:color="auto" w:fill="C5E4EC" w:themeFill="accent5" w:themeFillTint="3F"/>
    </w:tcPr>
    <w:tblStylePr w:type="firstRow">
      <w:rPr>
        <w:b/>
        <w:bCs/>
        <w:color w:val="00728F" w:themeColor="text1"/>
      </w:rPr>
      <w:tblPr/>
      <w:tcPr>
        <w:shd w:val="clear" w:color="auto" w:fill="E8F4F7" w:themeFill="accent5"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D0E9F0" w:themeFill="accent5" w:themeFillTint="33"/>
      </w:tcPr>
    </w:tblStylePr>
    <w:tblStylePr w:type="band1Vert">
      <w:tblPr/>
      <w:tcPr>
        <w:shd w:val="clear" w:color="auto" w:fill="8BC9DA" w:themeFill="accent5" w:themeFillTint="7F"/>
      </w:tcPr>
    </w:tblStylePr>
    <w:tblStylePr w:type="band1Horz">
      <w:tblPr/>
      <w:tcPr>
        <w:tcBorders>
          <w:insideH w:val="single" w:sz="6" w:space="0" w:color="31859B" w:themeColor="accent5"/>
          <w:insideV w:val="single" w:sz="6" w:space="0" w:color="31859B" w:themeColor="accent5"/>
        </w:tcBorders>
        <w:shd w:val="clear" w:color="auto" w:fill="8BC9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64B8CE" w:themeColor="accent6"/>
        <w:left w:val="single" w:sz="8" w:space="0" w:color="64B8CE" w:themeColor="accent6"/>
        <w:bottom w:val="single" w:sz="8" w:space="0" w:color="64B8CE" w:themeColor="accent6"/>
        <w:right w:val="single" w:sz="8" w:space="0" w:color="64B8CE" w:themeColor="accent6"/>
        <w:insideH w:val="single" w:sz="8" w:space="0" w:color="64B8CE" w:themeColor="accent6"/>
        <w:insideV w:val="single" w:sz="8" w:space="0" w:color="64B8CE" w:themeColor="accent6"/>
      </w:tblBorders>
    </w:tblPr>
    <w:tcPr>
      <w:shd w:val="clear" w:color="auto" w:fill="D8EDF2" w:themeFill="accent6" w:themeFillTint="3F"/>
    </w:tcPr>
    <w:tblStylePr w:type="firstRow">
      <w:rPr>
        <w:b/>
        <w:bCs/>
        <w:color w:val="00728F" w:themeColor="text1"/>
      </w:rPr>
      <w:tblPr/>
      <w:tcPr>
        <w:shd w:val="clear" w:color="auto" w:fill="EFF8FA" w:themeFill="accent6"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DFF0F5" w:themeFill="accent6" w:themeFillTint="33"/>
      </w:tcPr>
    </w:tblStylePr>
    <w:tblStylePr w:type="band1Vert">
      <w:tblPr/>
      <w:tcPr>
        <w:shd w:val="clear" w:color="auto" w:fill="B1DBE6" w:themeFill="accent6" w:themeFillTint="7F"/>
      </w:tcPr>
    </w:tblStylePr>
    <w:tblStylePr w:type="band1Horz">
      <w:tblPr/>
      <w:tcPr>
        <w:tcBorders>
          <w:insideH w:val="single" w:sz="6" w:space="0" w:color="64B8CE" w:themeColor="accent6"/>
          <w:insideV w:val="single" w:sz="6" w:space="0" w:color="64B8CE" w:themeColor="accent6"/>
        </w:tcBorders>
        <w:shd w:val="clear" w:color="auto" w:fill="B1DBE6"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99"/>
    <w:semiHidden/>
    <w:rsid w:val="00361DE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ECF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8F"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8F"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8F"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8F"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8D9F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8D9FF" w:themeFill="text1" w:themeFillTint="7F"/>
      </w:tcPr>
    </w:tblStylePr>
  </w:style>
  <w:style w:type="table" w:styleId="MediumGrid3-Accent1">
    <w:name w:val="Medium Grid 3 Accent 1"/>
    <w:basedOn w:val="TableNormal"/>
    <w:uiPriority w:val="99"/>
    <w:semiHidden/>
    <w:rsid w:val="00361DE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E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8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8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8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8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8D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8D9FF" w:themeFill="accent1" w:themeFillTint="7F"/>
      </w:tcPr>
    </w:tblStylePr>
  </w:style>
  <w:style w:type="table" w:styleId="MediumGrid3-Accent2">
    <w:name w:val="Medium Grid 3 Accent 2"/>
    <w:basedOn w:val="TableNormal"/>
    <w:uiPriority w:val="99"/>
    <w:semiHidden/>
    <w:rsid w:val="00361DE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6F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DDE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DDE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DDE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DDE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EEF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EEF3" w:themeFill="accent2" w:themeFillTint="7F"/>
      </w:tcPr>
    </w:tblStylePr>
  </w:style>
  <w:style w:type="table" w:styleId="MediumGrid3-Accent3">
    <w:name w:val="Medium Grid 3 Accent 3"/>
    <w:basedOn w:val="TableNormal"/>
    <w:uiPriority w:val="99"/>
    <w:semiHidden/>
    <w:rsid w:val="00361DE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AF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EEF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EEF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EEF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EEF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F6F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F6F9" w:themeFill="accent3" w:themeFillTint="7F"/>
      </w:tcPr>
    </w:tblStylePr>
  </w:style>
  <w:style w:type="table" w:styleId="MediumGrid3-Accent4">
    <w:name w:val="Medium Grid 3 Accent 4"/>
    <w:basedOn w:val="TableNormal"/>
    <w:uiPriority w:val="99"/>
    <w:semiHidden/>
    <w:rsid w:val="00361DE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F2F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CDD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CDD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CDD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CDD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E5E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E5ED" w:themeFill="accent4" w:themeFillTint="7F"/>
      </w:tcPr>
    </w:tblStylePr>
  </w:style>
  <w:style w:type="table" w:styleId="MediumGrid3-Accent5">
    <w:name w:val="Medium Grid 3 Accent 5"/>
    <w:basedOn w:val="TableNormal"/>
    <w:uiPriority w:val="99"/>
    <w:semiHidden/>
    <w:rsid w:val="00361DE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4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1859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1859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1859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1859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C9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C9DA" w:themeFill="accent5" w:themeFillTint="7F"/>
      </w:tcPr>
    </w:tblStylePr>
  </w:style>
  <w:style w:type="table" w:styleId="MediumGrid3-Accent6">
    <w:name w:val="Medium Grid 3 Accent 6"/>
    <w:basedOn w:val="TableNormal"/>
    <w:uiPriority w:val="99"/>
    <w:semiHidden/>
    <w:rsid w:val="00361DE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DF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4B8C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4B8C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4B8C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4B8C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BE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BE6" w:themeFill="accent6" w:themeFillTint="7F"/>
      </w:tcPr>
    </w:tblStylePr>
  </w:style>
  <w:style w:type="table" w:customStyle="1" w:styleId="MediumList11">
    <w:name w:val="Medium List 11"/>
    <w:basedOn w:val="TableNormal"/>
    <w:uiPriority w:val="99"/>
    <w:semiHidden/>
    <w:rsid w:val="00361DEB"/>
    <w:pPr>
      <w:spacing w:after="0"/>
    </w:pPr>
    <w:rPr>
      <w:color w:val="00728F" w:themeColor="text1"/>
    </w:rPr>
    <w:tblPr>
      <w:tblStyleRowBandSize w:val="1"/>
      <w:tblStyleColBandSize w:val="1"/>
      <w:tblBorders>
        <w:top w:val="single" w:sz="8" w:space="0" w:color="00728F" w:themeColor="text1"/>
        <w:bottom w:val="single" w:sz="8" w:space="0" w:color="00728F" w:themeColor="text1"/>
      </w:tblBorders>
    </w:tblPr>
    <w:tblStylePr w:type="firstRow">
      <w:rPr>
        <w:rFonts w:asciiTheme="majorHAnsi" w:eastAsiaTheme="majorEastAsia" w:hAnsiTheme="majorHAnsi" w:cstheme="majorBidi"/>
      </w:rPr>
      <w:tblPr/>
      <w:tcPr>
        <w:tcBorders>
          <w:top w:val="nil"/>
          <w:bottom w:val="single" w:sz="8" w:space="0" w:color="00728F" w:themeColor="text1"/>
        </w:tcBorders>
      </w:tcPr>
    </w:tblStylePr>
    <w:tblStylePr w:type="lastRow">
      <w:rPr>
        <w:b/>
        <w:bCs/>
        <w:color w:val="B7DDE8" w:themeColor="text2"/>
      </w:rPr>
      <w:tblPr/>
      <w:tcPr>
        <w:tcBorders>
          <w:top w:val="single" w:sz="8" w:space="0" w:color="00728F" w:themeColor="text1"/>
          <w:bottom w:val="single" w:sz="8" w:space="0" w:color="00728F" w:themeColor="text1"/>
        </w:tcBorders>
      </w:tcPr>
    </w:tblStylePr>
    <w:tblStylePr w:type="firstCol">
      <w:rPr>
        <w:b/>
        <w:bCs/>
      </w:rPr>
    </w:tblStylePr>
    <w:tblStylePr w:type="lastCol">
      <w:rPr>
        <w:b/>
        <w:bCs/>
      </w:rPr>
      <w:tblPr/>
      <w:tcPr>
        <w:tcBorders>
          <w:top w:val="single" w:sz="8" w:space="0" w:color="00728F" w:themeColor="text1"/>
          <w:bottom w:val="single" w:sz="8" w:space="0" w:color="00728F" w:themeColor="text1"/>
        </w:tcBorders>
      </w:tcPr>
    </w:tblStylePr>
    <w:tblStylePr w:type="band1Vert">
      <w:tblPr/>
      <w:tcPr>
        <w:shd w:val="clear" w:color="auto" w:fill="A4ECFF" w:themeFill="text1" w:themeFillTint="3F"/>
      </w:tcPr>
    </w:tblStylePr>
    <w:tblStylePr w:type="band1Horz">
      <w:tblPr/>
      <w:tcPr>
        <w:shd w:val="clear" w:color="auto" w:fill="A4ECFF" w:themeFill="text1" w:themeFillTint="3F"/>
      </w:tcPr>
    </w:tblStylePr>
  </w:style>
  <w:style w:type="table" w:customStyle="1" w:styleId="MediumList1-Accent11">
    <w:name w:val="Medium List 1 - Accent 11"/>
    <w:basedOn w:val="TableNormal"/>
    <w:uiPriority w:val="99"/>
    <w:semiHidden/>
    <w:rsid w:val="00361DEB"/>
    <w:pPr>
      <w:spacing w:after="0"/>
    </w:pPr>
    <w:rPr>
      <w:color w:val="00728F" w:themeColor="text1"/>
    </w:rPr>
    <w:tblPr>
      <w:tblStyleRowBandSize w:val="1"/>
      <w:tblStyleColBandSize w:val="1"/>
      <w:tblBorders>
        <w:top w:val="single" w:sz="8" w:space="0" w:color="00728F" w:themeColor="accent1"/>
        <w:bottom w:val="single" w:sz="8" w:space="0" w:color="00728F" w:themeColor="accent1"/>
      </w:tblBorders>
    </w:tblPr>
    <w:tblStylePr w:type="firstRow">
      <w:rPr>
        <w:rFonts w:asciiTheme="majorHAnsi" w:eastAsiaTheme="majorEastAsia" w:hAnsiTheme="majorHAnsi" w:cstheme="majorBidi"/>
      </w:rPr>
      <w:tblPr/>
      <w:tcPr>
        <w:tcBorders>
          <w:top w:val="nil"/>
          <w:bottom w:val="single" w:sz="8" w:space="0" w:color="00728F" w:themeColor="accent1"/>
        </w:tcBorders>
      </w:tcPr>
    </w:tblStylePr>
    <w:tblStylePr w:type="lastRow">
      <w:rPr>
        <w:b/>
        <w:bCs/>
        <w:color w:val="B7DDE8" w:themeColor="text2"/>
      </w:rPr>
      <w:tblPr/>
      <w:tcPr>
        <w:tcBorders>
          <w:top w:val="single" w:sz="8" w:space="0" w:color="00728F" w:themeColor="accent1"/>
          <w:bottom w:val="single" w:sz="8" w:space="0" w:color="00728F" w:themeColor="accent1"/>
        </w:tcBorders>
      </w:tcPr>
    </w:tblStylePr>
    <w:tblStylePr w:type="firstCol">
      <w:rPr>
        <w:b/>
        <w:bCs/>
      </w:rPr>
    </w:tblStylePr>
    <w:tblStylePr w:type="lastCol">
      <w:rPr>
        <w:b/>
        <w:bCs/>
      </w:rPr>
      <w:tblPr/>
      <w:tcPr>
        <w:tcBorders>
          <w:top w:val="single" w:sz="8" w:space="0" w:color="00728F" w:themeColor="accent1"/>
          <w:bottom w:val="single" w:sz="8" w:space="0" w:color="00728F" w:themeColor="accent1"/>
        </w:tcBorders>
      </w:tcPr>
    </w:tblStylePr>
    <w:tblStylePr w:type="band1Vert">
      <w:tblPr/>
      <w:tcPr>
        <w:shd w:val="clear" w:color="auto" w:fill="A4ECFF" w:themeFill="accent1" w:themeFillTint="3F"/>
      </w:tcPr>
    </w:tblStylePr>
    <w:tblStylePr w:type="band1Horz">
      <w:tblPr/>
      <w:tcPr>
        <w:shd w:val="clear" w:color="auto" w:fill="A4ECFF" w:themeFill="accent1" w:themeFillTint="3F"/>
      </w:tcPr>
    </w:tblStylePr>
  </w:style>
  <w:style w:type="table" w:styleId="MediumList1-Accent2">
    <w:name w:val="Medium List 1 Accent 2"/>
    <w:basedOn w:val="TableNormal"/>
    <w:uiPriority w:val="99"/>
    <w:semiHidden/>
    <w:rsid w:val="00361DEB"/>
    <w:pPr>
      <w:spacing w:after="0"/>
    </w:pPr>
    <w:rPr>
      <w:color w:val="00728F" w:themeColor="text1"/>
    </w:rPr>
    <w:tblPr>
      <w:tblStyleRowBandSize w:val="1"/>
      <w:tblStyleColBandSize w:val="1"/>
      <w:tblBorders>
        <w:top w:val="single" w:sz="8" w:space="0" w:color="B7DDE8" w:themeColor="accent2"/>
        <w:bottom w:val="single" w:sz="8" w:space="0" w:color="B7DDE8" w:themeColor="accent2"/>
      </w:tblBorders>
    </w:tblPr>
    <w:tblStylePr w:type="firstRow">
      <w:rPr>
        <w:rFonts w:asciiTheme="majorHAnsi" w:eastAsiaTheme="majorEastAsia" w:hAnsiTheme="majorHAnsi" w:cstheme="majorBidi"/>
      </w:rPr>
      <w:tblPr/>
      <w:tcPr>
        <w:tcBorders>
          <w:top w:val="nil"/>
          <w:bottom w:val="single" w:sz="8" w:space="0" w:color="B7DDE8" w:themeColor="accent2"/>
        </w:tcBorders>
      </w:tcPr>
    </w:tblStylePr>
    <w:tblStylePr w:type="lastRow">
      <w:rPr>
        <w:b/>
        <w:bCs/>
        <w:color w:val="B7DDE8" w:themeColor="text2"/>
      </w:rPr>
      <w:tblPr/>
      <w:tcPr>
        <w:tcBorders>
          <w:top w:val="single" w:sz="8" w:space="0" w:color="B7DDE8" w:themeColor="accent2"/>
          <w:bottom w:val="single" w:sz="8" w:space="0" w:color="B7DDE8" w:themeColor="accent2"/>
        </w:tcBorders>
      </w:tcPr>
    </w:tblStylePr>
    <w:tblStylePr w:type="firstCol">
      <w:rPr>
        <w:b/>
        <w:bCs/>
      </w:rPr>
    </w:tblStylePr>
    <w:tblStylePr w:type="lastCol">
      <w:rPr>
        <w:b/>
        <w:bCs/>
      </w:rPr>
      <w:tblPr/>
      <w:tcPr>
        <w:tcBorders>
          <w:top w:val="single" w:sz="8" w:space="0" w:color="B7DDE8" w:themeColor="accent2"/>
          <w:bottom w:val="single" w:sz="8" w:space="0" w:color="B7DDE8" w:themeColor="accent2"/>
        </w:tcBorders>
      </w:tcPr>
    </w:tblStylePr>
    <w:tblStylePr w:type="band1Vert">
      <w:tblPr/>
      <w:tcPr>
        <w:shd w:val="clear" w:color="auto" w:fill="EDF6F9" w:themeFill="accent2" w:themeFillTint="3F"/>
      </w:tcPr>
    </w:tblStylePr>
    <w:tblStylePr w:type="band1Horz">
      <w:tblPr/>
      <w:tcPr>
        <w:shd w:val="clear" w:color="auto" w:fill="EDF6F9" w:themeFill="accent2" w:themeFillTint="3F"/>
      </w:tcPr>
    </w:tblStylePr>
  </w:style>
  <w:style w:type="table" w:styleId="MediumList1-Accent3">
    <w:name w:val="Medium List 1 Accent 3"/>
    <w:basedOn w:val="TableNormal"/>
    <w:uiPriority w:val="99"/>
    <w:semiHidden/>
    <w:rsid w:val="00361DEB"/>
    <w:pPr>
      <w:spacing w:after="0"/>
    </w:pPr>
    <w:rPr>
      <w:color w:val="00728F" w:themeColor="text1"/>
    </w:rPr>
    <w:tblPr>
      <w:tblStyleRowBandSize w:val="1"/>
      <w:tblStyleColBandSize w:val="1"/>
      <w:tblBorders>
        <w:top w:val="single" w:sz="8" w:space="0" w:color="DBEEF3" w:themeColor="accent3"/>
        <w:bottom w:val="single" w:sz="8" w:space="0" w:color="DBEEF3" w:themeColor="accent3"/>
      </w:tblBorders>
    </w:tblPr>
    <w:tblStylePr w:type="firstRow">
      <w:rPr>
        <w:rFonts w:asciiTheme="majorHAnsi" w:eastAsiaTheme="majorEastAsia" w:hAnsiTheme="majorHAnsi" w:cstheme="majorBidi"/>
      </w:rPr>
      <w:tblPr/>
      <w:tcPr>
        <w:tcBorders>
          <w:top w:val="nil"/>
          <w:bottom w:val="single" w:sz="8" w:space="0" w:color="DBEEF3" w:themeColor="accent3"/>
        </w:tcBorders>
      </w:tcPr>
    </w:tblStylePr>
    <w:tblStylePr w:type="lastRow">
      <w:rPr>
        <w:b/>
        <w:bCs/>
        <w:color w:val="B7DDE8" w:themeColor="text2"/>
      </w:rPr>
      <w:tblPr/>
      <w:tcPr>
        <w:tcBorders>
          <w:top w:val="single" w:sz="8" w:space="0" w:color="DBEEF3" w:themeColor="accent3"/>
          <w:bottom w:val="single" w:sz="8" w:space="0" w:color="DBEEF3" w:themeColor="accent3"/>
        </w:tcBorders>
      </w:tcPr>
    </w:tblStylePr>
    <w:tblStylePr w:type="firstCol">
      <w:rPr>
        <w:b/>
        <w:bCs/>
      </w:rPr>
    </w:tblStylePr>
    <w:tblStylePr w:type="lastCol">
      <w:rPr>
        <w:b/>
        <w:bCs/>
      </w:rPr>
      <w:tblPr/>
      <w:tcPr>
        <w:tcBorders>
          <w:top w:val="single" w:sz="8" w:space="0" w:color="DBEEF3" w:themeColor="accent3"/>
          <w:bottom w:val="single" w:sz="8" w:space="0" w:color="DBEEF3" w:themeColor="accent3"/>
        </w:tcBorders>
      </w:tcPr>
    </w:tblStylePr>
    <w:tblStylePr w:type="band1Vert">
      <w:tblPr/>
      <w:tcPr>
        <w:shd w:val="clear" w:color="auto" w:fill="F6FAFC" w:themeFill="accent3" w:themeFillTint="3F"/>
      </w:tcPr>
    </w:tblStylePr>
    <w:tblStylePr w:type="band1Horz">
      <w:tblPr/>
      <w:tcPr>
        <w:shd w:val="clear" w:color="auto" w:fill="F6FAFC" w:themeFill="accent3" w:themeFillTint="3F"/>
      </w:tcPr>
    </w:tblStylePr>
  </w:style>
  <w:style w:type="table" w:styleId="MediumList1-Accent4">
    <w:name w:val="Medium List 1 Accent 4"/>
    <w:basedOn w:val="TableNormal"/>
    <w:uiPriority w:val="99"/>
    <w:semiHidden/>
    <w:rsid w:val="00361DEB"/>
    <w:pPr>
      <w:spacing w:after="0"/>
    </w:pPr>
    <w:rPr>
      <w:color w:val="00728F" w:themeColor="text1"/>
    </w:rPr>
    <w:tblPr>
      <w:tblStyleRowBandSize w:val="1"/>
      <w:tblStyleColBandSize w:val="1"/>
      <w:tblBorders>
        <w:top w:val="single" w:sz="8" w:space="0" w:color="92CDDC" w:themeColor="accent4"/>
        <w:bottom w:val="single" w:sz="8" w:space="0" w:color="92CDDC" w:themeColor="accent4"/>
      </w:tblBorders>
    </w:tblPr>
    <w:tblStylePr w:type="firstRow">
      <w:rPr>
        <w:rFonts w:asciiTheme="majorHAnsi" w:eastAsiaTheme="majorEastAsia" w:hAnsiTheme="majorHAnsi" w:cstheme="majorBidi"/>
      </w:rPr>
      <w:tblPr/>
      <w:tcPr>
        <w:tcBorders>
          <w:top w:val="nil"/>
          <w:bottom w:val="single" w:sz="8" w:space="0" w:color="92CDDC" w:themeColor="accent4"/>
        </w:tcBorders>
      </w:tcPr>
    </w:tblStylePr>
    <w:tblStylePr w:type="lastRow">
      <w:rPr>
        <w:b/>
        <w:bCs/>
        <w:color w:val="B7DDE8" w:themeColor="text2"/>
      </w:rPr>
      <w:tblPr/>
      <w:tcPr>
        <w:tcBorders>
          <w:top w:val="single" w:sz="8" w:space="0" w:color="92CDDC" w:themeColor="accent4"/>
          <w:bottom w:val="single" w:sz="8" w:space="0" w:color="92CDDC" w:themeColor="accent4"/>
        </w:tcBorders>
      </w:tcPr>
    </w:tblStylePr>
    <w:tblStylePr w:type="firstCol">
      <w:rPr>
        <w:b/>
        <w:bCs/>
      </w:rPr>
    </w:tblStylePr>
    <w:tblStylePr w:type="lastCol">
      <w:rPr>
        <w:b/>
        <w:bCs/>
      </w:rPr>
      <w:tblPr/>
      <w:tcPr>
        <w:tcBorders>
          <w:top w:val="single" w:sz="8" w:space="0" w:color="92CDDC" w:themeColor="accent4"/>
          <w:bottom w:val="single" w:sz="8" w:space="0" w:color="92CDDC" w:themeColor="accent4"/>
        </w:tcBorders>
      </w:tcPr>
    </w:tblStylePr>
    <w:tblStylePr w:type="band1Vert">
      <w:tblPr/>
      <w:tcPr>
        <w:shd w:val="clear" w:color="auto" w:fill="E4F2F6" w:themeFill="accent4" w:themeFillTint="3F"/>
      </w:tcPr>
    </w:tblStylePr>
    <w:tblStylePr w:type="band1Horz">
      <w:tblPr/>
      <w:tcPr>
        <w:shd w:val="clear" w:color="auto" w:fill="E4F2F6" w:themeFill="accent4" w:themeFillTint="3F"/>
      </w:tcPr>
    </w:tblStylePr>
  </w:style>
  <w:style w:type="table" w:styleId="MediumList1-Accent5">
    <w:name w:val="Medium List 1 Accent 5"/>
    <w:basedOn w:val="TableNormal"/>
    <w:uiPriority w:val="99"/>
    <w:semiHidden/>
    <w:rsid w:val="00361DEB"/>
    <w:pPr>
      <w:spacing w:after="0"/>
    </w:pPr>
    <w:rPr>
      <w:color w:val="00728F" w:themeColor="text1"/>
    </w:rPr>
    <w:tblPr>
      <w:tblStyleRowBandSize w:val="1"/>
      <w:tblStyleColBandSize w:val="1"/>
      <w:tblBorders>
        <w:top w:val="single" w:sz="8" w:space="0" w:color="31859B" w:themeColor="accent5"/>
        <w:bottom w:val="single" w:sz="8" w:space="0" w:color="31859B" w:themeColor="accent5"/>
      </w:tblBorders>
    </w:tblPr>
    <w:tblStylePr w:type="firstRow">
      <w:rPr>
        <w:rFonts w:asciiTheme="majorHAnsi" w:eastAsiaTheme="majorEastAsia" w:hAnsiTheme="majorHAnsi" w:cstheme="majorBidi"/>
      </w:rPr>
      <w:tblPr/>
      <w:tcPr>
        <w:tcBorders>
          <w:top w:val="nil"/>
          <w:bottom w:val="single" w:sz="8" w:space="0" w:color="31859B" w:themeColor="accent5"/>
        </w:tcBorders>
      </w:tcPr>
    </w:tblStylePr>
    <w:tblStylePr w:type="lastRow">
      <w:rPr>
        <w:b/>
        <w:bCs/>
        <w:color w:val="B7DDE8" w:themeColor="text2"/>
      </w:rPr>
      <w:tblPr/>
      <w:tcPr>
        <w:tcBorders>
          <w:top w:val="single" w:sz="8" w:space="0" w:color="31859B" w:themeColor="accent5"/>
          <w:bottom w:val="single" w:sz="8" w:space="0" w:color="31859B" w:themeColor="accent5"/>
        </w:tcBorders>
      </w:tcPr>
    </w:tblStylePr>
    <w:tblStylePr w:type="firstCol">
      <w:rPr>
        <w:b/>
        <w:bCs/>
      </w:rPr>
    </w:tblStylePr>
    <w:tblStylePr w:type="lastCol">
      <w:rPr>
        <w:b/>
        <w:bCs/>
      </w:rPr>
      <w:tblPr/>
      <w:tcPr>
        <w:tcBorders>
          <w:top w:val="single" w:sz="8" w:space="0" w:color="31859B" w:themeColor="accent5"/>
          <w:bottom w:val="single" w:sz="8" w:space="0" w:color="31859B" w:themeColor="accent5"/>
        </w:tcBorders>
      </w:tcPr>
    </w:tblStylePr>
    <w:tblStylePr w:type="band1Vert">
      <w:tblPr/>
      <w:tcPr>
        <w:shd w:val="clear" w:color="auto" w:fill="C5E4EC" w:themeFill="accent5" w:themeFillTint="3F"/>
      </w:tcPr>
    </w:tblStylePr>
    <w:tblStylePr w:type="band1Horz">
      <w:tblPr/>
      <w:tcPr>
        <w:shd w:val="clear" w:color="auto" w:fill="C5E4EC" w:themeFill="accent5" w:themeFillTint="3F"/>
      </w:tcPr>
    </w:tblStylePr>
  </w:style>
  <w:style w:type="table" w:styleId="MediumList1-Accent6">
    <w:name w:val="Medium List 1 Accent 6"/>
    <w:basedOn w:val="TableNormal"/>
    <w:uiPriority w:val="99"/>
    <w:semiHidden/>
    <w:rsid w:val="00361DEB"/>
    <w:pPr>
      <w:spacing w:after="0"/>
    </w:pPr>
    <w:rPr>
      <w:color w:val="00728F" w:themeColor="text1"/>
    </w:rPr>
    <w:tblPr>
      <w:tblStyleRowBandSize w:val="1"/>
      <w:tblStyleColBandSize w:val="1"/>
      <w:tblBorders>
        <w:top w:val="single" w:sz="8" w:space="0" w:color="64B8CE" w:themeColor="accent6"/>
        <w:bottom w:val="single" w:sz="8" w:space="0" w:color="64B8CE" w:themeColor="accent6"/>
      </w:tblBorders>
    </w:tblPr>
    <w:tblStylePr w:type="firstRow">
      <w:rPr>
        <w:rFonts w:asciiTheme="majorHAnsi" w:eastAsiaTheme="majorEastAsia" w:hAnsiTheme="majorHAnsi" w:cstheme="majorBidi"/>
      </w:rPr>
      <w:tblPr/>
      <w:tcPr>
        <w:tcBorders>
          <w:top w:val="nil"/>
          <w:bottom w:val="single" w:sz="8" w:space="0" w:color="64B8CE" w:themeColor="accent6"/>
        </w:tcBorders>
      </w:tcPr>
    </w:tblStylePr>
    <w:tblStylePr w:type="lastRow">
      <w:rPr>
        <w:b/>
        <w:bCs/>
        <w:color w:val="B7DDE8" w:themeColor="text2"/>
      </w:rPr>
      <w:tblPr/>
      <w:tcPr>
        <w:tcBorders>
          <w:top w:val="single" w:sz="8" w:space="0" w:color="64B8CE" w:themeColor="accent6"/>
          <w:bottom w:val="single" w:sz="8" w:space="0" w:color="64B8CE" w:themeColor="accent6"/>
        </w:tcBorders>
      </w:tcPr>
    </w:tblStylePr>
    <w:tblStylePr w:type="firstCol">
      <w:rPr>
        <w:b/>
        <w:bCs/>
      </w:rPr>
    </w:tblStylePr>
    <w:tblStylePr w:type="lastCol">
      <w:rPr>
        <w:b/>
        <w:bCs/>
      </w:rPr>
      <w:tblPr/>
      <w:tcPr>
        <w:tcBorders>
          <w:top w:val="single" w:sz="8" w:space="0" w:color="64B8CE" w:themeColor="accent6"/>
          <w:bottom w:val="single" w:sz="8" w:space="0" w:color="64B8CE" w:themeColor="accent6"/>
        </w:tcBorders>
      </w:tcPr>
    </w:tblStylePr>
    <w:tblStylePr w:type="band1Vert">
      <w:tblPr/>
      <w:tcPr>
        <w:shd w:val="clear" w:color="auto" w:fill="D8EDF2" w:themeFill="accent6" w:themeFillTint="3F"/>
      </w:tcPr>
    </w:tblStylePr>
    <w:tblStylePr w:type="band1Horz">
      <w:tblPr/>
      <w:tcPr>
        <w:shd w:val="clear" w:color="auto" w:fill="D8EDF2" w:themeFill="accent6" w:themeFillTint="3F"/>
      </w:tcPr>
    </w:tblStylePr>
  </w:style>
  <w:style w:type="table" w:customStyle="1" w:styleId="MediumList21">
    <w:name w:val="Medium List 21"/>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00728F" w:themeColor="text1"/>
        <w:left w:val="single" w:sz="8" w:space="0" w:color="00728F" w:themeColor="text1"/>
        <w:bottom w:val="single" w:sz="8" w:space="0" w:color="00728F" w:themeColor="text1"/>
        <w:right w:val="single" w:sz="8" w:space="0" w:color="00728F" w:themeColor="text1"/>
      </w:tblBorders>
    </w:tblPr>
    <w:tblStylePr w:type="firstRow">
      <w:rPr>
        <w:sz w:val="24"/>
        <w:szCs w:val="24"/>
      </w:rPr>
      <w:tblPr/>
      <w:tcPr>
        <w:tcBorders>
          <w:top w:val="nil"/>
          <w:left w:val="nil"/>
          <w:bottom w:val="single" w:sz="24" w:space="0" w:color="00728F" w:themeColor="text1"/>
          <w:right w:val="nil"/>
          <w:insideH w:val="nil"/>
          <w:insideV w:val="nil"/>
        </w:tcBorders>
        <w:shd w:val="clear" w:color="auto" w:fill="FFFFFF" w:themeFill="background1"/>
      </w:tcPr>
    </w:tblStylePr>
    <w:tblStylePr w:type="lastRow">
      <w:tblPr/>
      <w:tcPr>
        <w:tcBorders>
          <w:top w:val="single" w:sz="8" w:space="0" w:color="00728F"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8F" w:themeColor="text1"/>
          <w:insideH w:val="nil"/>
          <w:insideV w:val="nil"/>
        </w:tcBorders>
        <w:shd w:val="clear" w:color="auto" w:fill="FFFFFF" w:themeFill="background1"/>
      </w:tcPr>
    </w:tblStylePr>
    <w:tblStylePr w:type="lastCol">
      <w:tblPr/>
      <w:tcPr>
        <w:tcBorders>
          <w:top w:val="nil"/>
          <w:left w:val="single" w:sz="8" w:space="0" w:color="00728F"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ECFF" w:themeFill="text1" w:themeFillTint="3F"/>
      </w:tcPr>
    </w:tblStylePr>
    <w:tblStylePr w:type="band1Horz">
      <w:tblPr/>
      <w:tcPr>
        <w:tcBorders>
          <w:top w:val="nil"/>
          <w:bottom w:val="nil"/>
          <w:insideH w:val="nil"/>
          <w:insideV w:val="nil"/>
        </w:tcBorders>
        <w:shd w:val="clear" w:color="auto" w:fill="A4ECF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00728F" w:themeColor="accent1"/>
        <w:left w:val="single" w:sz="8" w:space="0" w:color="00728F" w:themeColor="accent1"/>
        <w:bottom w:val="single" w:sz="8" w:space="0" w:color="00728F" w:themeColor="accent1"/>
        <w:right w:val="single" w:sz="8" w:space="0" w:color="00728F" w:themeColor="accent1"/>
      </w:tblBorders>
    </w:tblPr>
    <w:tblStylePr w:type="firstRow">
      <w:rPr>
        <w:sz w:val="24"/>
        <w:szCs w:val="24"/>
      </w:rPr>
      <w:tblPr/>
      <w:tcPr>
        <w:tcBorders>
          <w:top w:val="nil"/>
          <w:left w:val="nil"/>
          <w:bottom w:val="single" w:sz="24" w:space="0" w:color="00728F" w:themeColor="accent1"/>
          <w:right w:val="nil"/>
          <w:insideH w:val="nil"/>
          <w:insideV w:val="nil"/>
        </w:tcBorders>
        <w:shd w:val="clear" w:color="auto" w:fill="FFFFFF" w:themeFill="background1"/>
      </w:tcPr>
    </w:tblStylePr>
    <w:tblStylePr w:type="lastRow">
      <w:tblPr/>
      <w:tcPr>
        <w:tcBorders>
          <w:top w:val="single" w:sz="8" w:space="0" w:color="00728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8F" w:themeColor="accent1"/>
          <w:insideH w:val="nil"/>
          <w:insideV w:val="nil"/>
        </w:tcBorders>
        <w:shd w:val="clear" w:color="auto" w:fill="FFFFFF" w:themeFill="background1"/>
      </w:tcPr>
    </w:tblStylePr>
    <w:tblStylePr w:type="lastCol">
      <w:tblPr/>
      <w:tcPr>
        <w:tcBorders>
          <w:top w:val="nil"/>
          <w:left w:val="single" w:sz="8" w:space="0" w:color="00728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ECFF" w:themeFill="accent1" w:themeFillTint="3F"/>
      </w:tcPr>
    </w:tblStylePr>
    <w:tblStylePr w:type="band1Horz">
      <w:tblPr/>
      <w:tcPr>
        <w:tcBorders>
          <w:top w:val="nil"/>
          <w:bottom w:val="nil"/>
          <w:insideH w:val="nil"/>
          <w:insideV w:val="nil"/>
        </w:tcBorders>
        <w:shd w:val="clear" w:color="auto" w:fill="A4E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B7DDE8" w:themeColor="accent2"/>
        <w:left w:val="single" w:sz="8" w:space="0" w:color="B7DDE8" w:themeColor="accent2"/>
        <w:bottom w:val="single" w:sz="8" w:space="0" w:color="B7DDE8" w:themeColor="accent2"/>
        <w:right w:val="single" w:sz="8" w:space="0" w:color="B7DDE8" w:themeColor="accent2"/>
      </w:tblBorders>
    </w:tblPr>
    <w:tblStylePr w:type="firstRow">
      <w:rPr>
        <w:sz w:val="24"/>
        <w:szCs w:val="24"/>
      </w:rPr>
      <w:tblPr/>
      <w:tcPr>
        <w:tcBorders>
          <w:top w:val="nil"/>
          <w:left w:val="nil"/>
          <w:bottom w:val="single" w:sz="24" w:space="0" w:color="B7DDE8" w:themeColor="accent2"/>
          <w:right w:val="nil"/>
          <w:insideH w:val="nil"/>
          <w:insideV w:val="nil"/>
        </w:tcBorders>
        <w:shd w:val="clear" w:color="auto" w:fill="FFFFFF" w:themeFill="background1"/>
      </w:tcPr>
    </w:tblStylePr>
    <w:tblStylePr w:type="lastRow">
      <w:tblPr/>
      <w:tcPr>
        <w:tcBorders>
          <w:top w:val="single" w:sz="8" w:space="0" w:color="B7DDE8"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DDE8" w:themeColor="accent2"/>
          <w:insideH w:val="nil"/>
          <w:insideV w:val="nil"/>
        </w:tcBorders>
        <w:shd w:val="clear" w:color="auto" w:fill="FFFFFF" w:themeFill="background1"/>
      </w:tcPr>
    </w:tblStylePr>
    <w:tblStylePr w:type="lastCol">
      <w:tblPr/>
      <w:tcPr>
        <w:tcBorders>
          <w:top w:val="nil"/>
          <w:left w:val="single" w:sz="8" w:space="0" w:color="B7DDE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6F9" w:themeFill="accent2" w:themeFillTint="3F"/>
      </w:tcPr>
    </w:tblStylePr>
    <w:tblStylePr w:type="band1Horz">
      <w:tblPr/>
      <w:tcPr>
        <w:tcBorders>
          <w:top w:val="nil"/>
          <w:bottom w:val="nil"/>
          <w:insideH w:val="nil"/>
          <w:insideV w:val="nil"/>
        </w:tcBorders>
        <w:shd w:val="clear" w:color="auto" w:fill="EDF6F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DBEEF3" w:themeColor="accent3"/>
        <w:left w:val="single" w:sz="8" w:space="0" w:color="DBEEF3" w:themeColor="accent3"/>
        <w:bottom w:val="single" w:sz="8" w:space="0" w:color="DBEEF3" w:themeColor="accent3"/>
        <w:right w:val="single" w:sz="8" w:space="0" w:color="DBEEF3" w:themeColor="accent3"/>
      </w:tblBorders>
    </w:tblPr>
    <w:tblStylePr w:type="firstRow">
      <w:rPr>
        <w:sz w:val="24"/>
        <w:szCs w:val="24"/>
      </w:rPr>
      <w:tblPr/>
      <w:tcPr>
        <w:tcBorders>
          <w:top w:val="nil"/>
          <w:left w:val="nil"/>
          <w:bottom w:val="single" w:sz="24" w:space="0" w:color="DBEEF3" w:themeColor="accent3"/>
          <w:right w:val="nil"/>
          <w:insideH w:val="nil"/>
          <w:insideV w:val="nil"/>
        </w:tcBorders>
        <w:shd w:val="clear" w:color="auto" w:fill="FFFFFF" w:themeFill="background1"/>
      </w:tcPr>
    </w:tblStylePr>
    <w:tblStylePr w:type="lastRow">
      <w:tblPr/>
      <w:tcPr>
        <w:tcBorders>
          <w:top w:val="single" w:sz="8" w:space="0" w:color="DBEEF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EEF3" w:themeColor="accent3"/>
          <w:insideH w:val="nil"/>
          <w:insideV w:val="nil"/>
        </w:tcBorders>
        <w:shd w:val="clear" w:color="auto" w:fill="FFFFFF" w:themeFill="background1"/>
      </w:tcPr>
    </w:tblStylePr>
    <w:tblStylePr w:type="lastCol">
      <w:tblPr/>
      <w:tcPr>
        <w:tcBorders>
          <w:top w:val="nil"/>
          <w:left w:val="single" w:sz="8" w:space="0" w:color="DBEEF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AFC" w:themeFill="accent3" w:themeFillTint="3F"/>
      </w:tcPr>
    </w:tblStylePr>
    <w:tblStylePr w:type="band1Horz">
      <w:tblPr/>
      <w:tcPr>
        <w:tcBorders>
          <w:top w:val="nil"/>
          <w:bottom w:val="nil"/>
          <w:insideH w:val="nil"/>
          <w:insideV w:val="nil"/>
        </w:tcBorders>
        <w:shd w:val="clear" w:color="auto" w:fill="F6FAF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92CDDC" w:themeColor="accent4"/>
        <w:left w:val="single" w:sz="8" w:space="0" w:color="92CDDC" w:themeColor="accent4"/>
        <w:bottom w:val="single" w:sz="8" w:space="0" w:color="92CDDC" w:themeColor="accent4"/>
        <w:right w:val="single" w:sz="8" w:space="0" w:color="92CDDC" w:themeColor="accent4"/>
      </w:tblBorders>
    </w:tblPr>
    <w:tblStylePr w:type="firstRow">
      <w:rPr>
        <w:sz w:val="24"/>
        <w:szCs w:val="24"/>
      </w:rPr>
      <w:tblPr/>
      <w:tcPr>
        <w:tcBorders>
          <w:top w:val="nil"/>
          <w:left w:val="nil"/>
          <w:bottom w:val="single" w:sz="24" w:space="0" w:color="92CDDC" w:themeColor="accent4"/>
          <w:right w:val="nil"/>
          <w:insideH w:val="nil"/>
          <w:insideV w:val="nil"/>
        </w:tcBorders>
        <w:shd w:val="clear" w:color="auto" w:fill="FFFFFF" w:themeFill="background1"/>
      </w:tcPr>
    </w:tblStylePr>
    <w:tblStylePr w:type="lastRow">
      <w:tblPr/>
      <w:tcPr>
        <w:tcBorders>
          <w:top w:val="single" w:sz="8" w:space="0" w:color="92CDD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CDDC" w:themeColor="accent4"/>
          <w:insideH w:val="nil"/>
          <w:insideV w:val="nil"/>
        </w:tcBorders>
        <w:shd w:val="clear" w:color="auto" w:fill="FFFFFF" w:themeFill="background1"/>
      </w:tcPr>
    </w:tblStylePr>
    <w:tblStylePr w:type="lastCol">
      <w:tblPr/>
      <w:tcPr>
        <w:tcBorders>
          <w:top w:val="nil"/>
          <w:left w:val="single" w:sz="8" w:space="0" w:color="92CDD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2F6" w:themeFill="accent4" w:themeFillTint="3F"/>
      </w:tcPr>
    </w:tblStylePr>
    <w:tblStylePr w:type="band1Horz">
      <w:tblPr/>
      <w:tcPr>
        <w:tcBorders>
          <w:top w:val="nil"/>
          <w:bottom w:val="nil"/>
          <w:insideH w:val="nil"/>
          <w:insideV w:val="nil"/>
        </w:tcBorders>
        <w:shd w:val="clear" w:color="auto" w:fill="E4F2F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31859B" w:themeColor="accent5"/>
        <w:left w:val="single" w:sz="8" w:space="0" w:color="31859B" w:themeColor="accent5"/>
        <w:bottom w:val="single" w:sz="8" w:space="0" w:color="31859B" w:themeColor="accent5"/>
        <w:right w:val="single" w:sz="8" w:space="0" w:color="31859B" w:themeColor="accent5"/>
      </w:tblBorders>
    </w:tblPr>
    <w:tblStylePr w:type="firstRow">
      <w:rPr>
        <w:sz w:val="24"/>
        <w:szCs w:val="24"/>
      </w:rPr>
      <w:tblPr/>
      <w:tcPr>
        <w:tcBorders>
          <w:top w:val="nil"/>
          <w:left w:val="nil"/>
          <w:bottom w:val="single" w:sz="24" w:space="0" w:color="31859B" w:themeColor="accent5"/>
          <w:right w:val="nil"/>
          <w:insideH w:val="nil"/>
          <w:insideV w:val="nil"/>
        </w:tcBorders>
        <w:shd w:val="clear" w:color="auto" w:fill="FFFFFF" w:themeFill="background1"/>
      </w:tcPr>
    </w:tblStylePr>
    <w:tblStylePr w:type="lastRow">
      <w:tblPr/>
      <w:tcPr>
        <w:tcBorders>
          <w:top w:val="single" w:sz="8" w:space="0" w:color="31859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1859B" w:themeColor="accent5"/>
          <w:insideH w:val="nil"/>
          <w:insideV w:val="nil"/>
        </w:tcBorders>
        <w:shd w:val="clear" w:color="auto" w:fill="FFFFFF" w:themeFill="background1"/>
      </w:tcPr>
    </w:tblStylePr>
    <w:tblStylePr w:type="lastCol">
      <w:tblPr/>
      <w:tcPr>
        <w:tcBorders>
          <w:top w:val="nil"/>
          <w:left w:val="single" w:sz="8" w:space="0" w:color="31859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4EC" w:themeFill="accent5" w:themeFillTint="3F"/>
      </w:tcPr>
    </w:tblStylePr>
    <w:tblStylePr w:type="band1Horz">
      <w:tblPr/>
      <w:tcPr>
        <w:tcBorders>
          <w:top w:val="nil"/>
          <w:bottom w:val="nil"/>
          <w:insideH w:val="nil"/>
          <w:insideV w:val="nil"/>
        </w:tcBorders>
        <w:shd w:val="clear" w:color="auto" w:fill="C5E4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64B8CE" w:themeColor="accent6"/>
        <w:left w:val="single" w:sz="8" w:space="0" w:color="64B8CE" w:themeColor="accent6"/>
        <w:bottom w:val="single" w:sz="8" w:space="0" w:color="64B8CE" w:themeColor="accent6"/>
        <w:right w:val="single" w:sz="8" w:space="0" w:color="64B8CE" w:themeColor="accent6"/>
      </w:tblBorders>
    </w:tblPr>
    <w:tblStylePr w:type="firstRow">
      <w:rPr>
        <w:sz w:val="24"/>
        <w:szCs w:val="24"/>
      </w:rPr>
      <w:tblPr/>
      <w:tcPr>
        <w:tcBorders>
          <w:top w:val="nil"/>
          <w:left w:val="nil"/>
          <w:bottom w:val="single" w:sz="24" w:space="0" w:color="64B8CE" w:themeColor="accent6"/>
          <w:right w:val="nil"/>
          <w:insideH w:val="nil"/>
          <w:insideV w:val="nil"/>
        </w:tcBorders>
        <w:shd w:val="clear" w:color="auto" w:fill="FFFFFF" w:themeFill="background1"/>
      </w:tcPr>
    </w:tblStylePr>
    <w:tblStylePr w:type="lastRow">
      <w:tblPr/>
      <w:tcPr>
        <w:tcBorders>
          <w:top w:val="single" w:sz="8" w:space="0" w:color="64B8C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B8CE" w:themeColor="accent6"/>
          <w:insideH w:val="nil"/>
          <w:insideV w:val="nil"/>
        </w:tcBorders>
        <w:shd w:val="clear" w:color="auto" w:fill="FFFFFF" w:themeFill="background1"/>
      </w:tcPr>
    </w:tblStylePr>
    <w:tblStylePr w:type="lastCol">
      <w:tblPr/>
      <w:tcPr>
        <w:tcBorders>
          <w:top w:val="nil"/>
          <w:left w:val="single" w:sz="8" w:space="0" w:color="64B8C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DF2" w:themeFill="accent6" w:themeFillTint="3F"/>
      </w:tcPr>
    </w:tblStylePr>
    <w:tblStylePr w:type="band1Horz">
      <w:tblPr/>
      <w:tcPr>
        <w:tcBorders>
          <w:top w:val="nil"/>
          <w:bottom w:val="nil"/>
          <w:insideH w:val="nil"/>
          <w:insideV w:val="nil"/>
        </w:tcBorders>
        <w:shd w:val="clear" w:color="auto" w:fill="D8EDF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99"/>
    <w:semiHidden/>
    <w:rsid w:val="00361DEB"/>
    <w:pPr>
      <w:spacing w:after="0"/>
    </w:pPr>
    <w:tblPr>
      <w:tblStyleRowBandSize w:val="1"/>
      <w:tblStyleColBandSize w:val="1"/>
      <w:tblBorders>
        <w:top w:val="single" w:sz="8" w:space="0" w:color="00BBEB" w:themeColor="text1" w:themeTint="BF"/>
        <w:left w:val="single" w:sz="8" w:space="0" w:color="00BBEB" w:themeColor="text1" w:themeTint="BF"/>
        <w:bottom w:val="single" w:sz="8" w:space="0" w:color="00BBEB" w:themeColor="text1" w:themeTint="BF"/>
        <w:right w:val="single" w:sz="8" w:space="0" w:color="00BBEB" w:themeColor="text1" w:themeTint="BF"/>
        <w:insideH w:val="single" w:sz="8" w:space="0" w:color="00BBEB" w:themeColor="text1" w:themeTint="BF"/>
      </w:tblBorders>
    </w:tblPr>
    <w:tblStylePr w:type="firstRow">
      <w:pPr>
        <w:spacing w:before="0" w:after="0" w:line="240" w:lineRule="auto"/>
      </w:pPr>
      <w:rPr>
        <w:b/>
        <w:bCs/>
        <w:color w:val="FFFFFF" w:themeColor="background1"/>
      </w:rPr>
      <w:tblPr/>
      <w:tcPr>
        <w:tcBorders>
          <w:top w:val="single" w:sz="8" w:space="0" w:color="00BBEB" w:themeColor="text1" w:themeTint="BF"/>
          <w:left w:val="single" w:sz="8" w:space="0" w:color="00BBEB" w:themeColor="text1" w:themeTint="BF"/>
          <w:bottom w:val="single" w:sz="8" w:space="0" w:color="00BBEB" w:themeColor="text1" w:themeTint="BF"/>
          <w:right w:val="single" w:sz="8" w:space="0" w:color="00BBEB" w:themeColor="text1" w:themeTint="BF"/>
          <w:insideH w:val="nil"/>
          <w:insideV w:val="nil"/>
        </w:tcBorders>
        <w:shd w:val="clear" w:color="auto" w:fill="00728F" w:themeFill="text1"/>
      </w:tcPr>
    </w:tblStylePr>
    <w:tblStylePr w:type="lastRow">
      <w:pPr>
        <w:spacing w:before="0" w:after="0" w:line="240" w:lineRule="auto"/>
      </w:pPr>
      <w:rPr>
        <w:b/>
        <w:bCs/>
      </w:rPr>
      <w:tblPr/>
      <w:tcPr>
        <w:tcBorders>
          <w:top w:val="double" w:sz="6" w:space="0" w:color="00BBEB" w:themeColor="text1" w:themeTint="BF"/>
          <w:left w:val="single" w:sz="8" w:space="0" w:color="00BBEB" w:themeColor="text1" w:themeTint="BF"/>
          <w:bottom w:val="single" w:sz="8" w:space="0" w:color="00BBEB" w:themeColor="text1" w:themeTint="BF"/>
          <w:right w:val="single" w:sz="8" w:space="0" w:color="00BBEB" w:themeColor="text1" w:themeTint="BF"/>
          <w:insideH w:val="nil"/>
          <w:insideV w:val="nil"/>
        </w:tcBorders>
      </w:tcPr>
    </w:tblStylePr>
    <w:tblStylePr w:type="firstCol">
      <w:rPr>
        <w:b/>
        <w:bCs/>
      </w:rPr>
    </w:tblStylePr>
    <w:tblStylePr w:type="lastCol">
      <w:rPr>
        <w:b/>
        <w:bCs/>
      </w:rPr>
    </w:tblStylePr>
    <w:tblStylePr w:type="band1Vert">
      <w:tblPr/>
      <w:tcPr>
        <w:shd w:val="clear" w:color="auto" w:fill="A4ECFF" w:themeFill="text1" w:themeFillTint="3F"/>
      </w:tcPr>
    </w:tblStylePr>
    <w:tblStylePr w:type="band1Horz">
      <w:tblPr/>
      <w:tcPr>
        <w:tcBorders>
          <w:insideH w:val="nil"/>
          <w:insideV w:val="nil"/>
        </w:tcBorders>
        <w:shd w:val="clear" w:color="auto" w:fill="A4ECFF"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99"/>
    <w:semiHidden/>
    <w:rsid w:val="00361DEB"/>
    <w:pPr>
      <w:spacing w:after="0"/>
    </w:pPr>
    <w:tblPr>
      <w:tblStyleRowBandSize w:val="1"/>
      <w:tblStyleColBandSize w:val="1"/>
      <w:tblBorders>
        <w:top w:val="single" w:sz="8" w:space="0" w:color="00BBEB" w:themeColor="accent1" w:themeTint="BF"/>
        <w:left w:val="single" w:sz="8" w:space="0" w:color="00BBEB" w:themeColor="accent1" w:themeTint="BF"/>
        <w:bottom w:val="single" w:sz="8" w:space="0" w:color="00BBEB" w:themeColor="accent1" w:themeTint="BF"/>
        <w:right w:val="single" w:sz="8" w:space="0" w:color="00BBEB" w:themeColor="accent1" w:themeTint="BF"/>
        <w:insideH w:val="single" w:sz="8" w:space="0" w:color="00BBEB" w:themeColor="accent1" w:themeTint="BF"/>
      </w:tblBorders>
    </w:tblPr>
    <w:tblStylePr w:type="firstRow">
      <w:pPr>
        <w:spacing w:before="0" w:after="0" w:line="240" w:lineRule="auto"/>
      </w:pPr>
      <w:rPr>
        <w:b/>
        <w:bCs/>
        <w:color w:val="FFFFFF" w:themeColor="background1"/>
      </w:rPr>
      <w:tblPr/>
      <w:tcPr>
        <w:tcBorders>
          <w:top w:val="single" w:sz="8" w:space="0" w:color="00BBEB" w:themeColor="accent1" w:themeTint="BF"/>
          <w:left w:val="single" w:sz="8" w:space="0" w:color="00BBEB" w:themeColor="accent1" w:themeTint="BF"/>
          <w:bottom w:val="single" w:sz="8" w:space="0" w:color="00BBEB" w:themeColor="accent1" w:themeTint="BF"/>
          <w:right w:val="single" w:sz="8" w:space="0" w:color="00BBEB" w:themeColor="accent1" w:themeTint="BF"/>
          <w:insideH w:val="nil"/>
          <w:insideV w:val="nil"/>
        </w:tcBorders>
        <w:shd w:val="clear" w:color="auto" w:fill="00728F" w:themeFill="accent1"/>
      </w:tcPr>
    </w:tblStylePr>
    <w:tblStylePr w:type="lastRow">
      <w:pPr>
        <w:spacing w:before="0" w:after="0" w:line="240" w:lineRule="auto"/>
      </w:pPr>
      <w:rPr>
        <w:b/>
        <w:bCs/>
      </w:rPr>
      <w:tblPr/>
      <w:tcPr>
        <w:tcBorders>
          <w:top w:val="double" w:sz="6" w:space="0" w:color="00BBEB" w:themeColor="accent1" w:themeTint="BF"/>
          <w:left w:val="single" w:sz="8" w:space="0" w:color="00BBEB" w:themeColor="accent1" w:themeTint="BF"/>
          <w:bottom w:val="single" w:sz="8" w:space="0" w:color="00BBEB" w:themeColor="accent1" w:themeTint="BF"/>
          <w:right w:val="single" w:sz="8" w:space="0" w:color="00BBEB" w:themeColor="accent1" w:themeTint="BF"/>
          <w:insideH w:val="nil"/>
          <w:insideV w:val="nil"/>
        </w:tcBorders>
      </w:tcPr>
    </w:tblStylePr>
    <w:tblStylePr w:type="firstCol">
      <w:rPr>
        <w:b/>
        <w:bCs/>
      </w:rPr>
    </w:tblStylePr>
    <w:tblStylePr w:type="lastCol">
      <w:rPr>
        <w:b/>
        <w:bCs/>
      </w:rPr>
    </w:tblStylePr>
    <w:tblStylePr w:type="band1Vert">
      <w:tblPr/>
      <w:tcPr>
        <w:shd w:val="clear" w:color="auto" w:fill="A4ECFF" w:themeFill="accent1" w:themeFillTint="3F"/>
      </w:tcPr>
    </w:tblStylePr>
    <w:tblStylePr w:type="band1Horz">
      <w:tblPr/>
      <w:tcPr>
        <w:tcBorders>
          <w:insideH w:val="nil"/>
          <w:insideV w:val="nil"/>
        </w:tcBorders>
        <w:shd w:val="clear" w:color="auto" w:fill="A4E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361DEB"/>
    <w:pPr>
      <w:spacing w:after="0"/>
    </w:pPr>
    <w:tblPr>
      <w:tblStyleRowBandSize w:val="1"/>
      <w:tblStyleColBandSize w:val="1"/>
      <w:tblBorders>
        <w:top w:val="single" w:sz="8" w:space="0" w:color="C8E5ED" w:themeColor="accent2" w:themeTint="BF"/>
        <w:left w:val="single" w:sz="8" w:space="0" w:color="C8E5ED" w:themeColor="accent2" w:themeTint="BF"/>
        <w:bottom w:val="single" w:sz="8" w:space="0" w:color="C8E5ED" w:themeColor="accent2" w:themeTint="BF"/>
        <w:right w:val="single" w:sz="8" w:space="0" w:color="C8E5ED" w:themeColor="accent2" w:themeTint="BF"/>
        <w:insideH w:val="single" w:sz="8" w:space="0" w:color="C8E5ED" w:themeColor="accent2" w:themeTint="BF"/>
      </w:tblBorders>
    </w:tblPr>
    <w:tblStylePr w:type="firstRow">
      <w:pPr>
        <w:spacing w:before="0" w:after="0" w:line="240" w:lineRule="auto"/>
      </w:pPr>
      <w:rPr>
        <w:b/>
        <w:bCs/>
        <w:color w:val="FFFFFF" w:themeColor="background1"/>
      </w:rPr>
      <w:tblPr/>
      <w:tcPr>
        <w:tcBorders>
          <w:top w:val="single" w:sz="8" w:space="0" w:color="C8E5ED" w:themeColor="accent2" w:themeTint="BF"/>
          <w:left w:val="single" w:sz="8" w:space="0" w:color="C8E5ED" w:themeColor="accent2" w:themeTint="BF"/>
          <w:bottom w:val="single" w:sz="8" w:space="0" w:color="C8E5ED" w:themeColor="accent2" w:themeTint="BF"/>
          <w:right w:val="single" w:sz="8" w:space="0" w:color="C8E5ED" w:themeColor="accent2" w:themeTint="BF"/>
          <w:insideH w:val="nil"/>
          <w:insideV w:val="nil"/>
        </w:tcBorders>
        <w:shd w:val="clear" w:color="auto" w:fill="B7DDE8" w:themeFill="accent2"/>
      </w:tcPr>
    </w:tblStylePr>
    <w:tblStylePr w:type="lastRow">
      <w:pPr>
        <w:spacing w:before="0" w:after="0" w:line="240" w:lineRule="auto"/>
      </w:pPr>
      <w:rPr>
        <w:b/>
        <w:bCs/>
      </w:rPr>
      <w:tblPr/>
      <w:tcPr>
        <w:tcBorders>
          <w:top w:val="double" w:sz="6" w:space="0" w:color="C8E5ED" w:themeColor="accent2" w:themeTint="BF"/>
          <w:left w:val="single" w:sz="8" w:space="0" w:color="C8E5ED" w:themeColor="accent2" w:themeTint="BF"/>
          <w:bottom w:val="single" w:sz="8" w:space="0" w:color="C8E5ED" w:themeColor="accent2" w:themeTint="BF"/>
          <w:right w:val="single" w:sz="8" w:space="0" w:color="C8E5E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DF6F9" w:themeFill="accent2" w:themeFillTint="3F"/>
      </w:tcPr>
    </w:tblStylePr>
    <w:tblStylePr w:type="band1Horz">
      <w:tblPr/>
      <w:tcPr>
        <w:tcBorders>
          <w:insideH w:val="nil"/>
          <w:insideV w:val="nil"/>
        </w:tcBorders>
        <w:shd w:val="clear" w:color="auto" w:fill="EDF6F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361DEB"/>
    <w:pPr>
      <w:spacing w:after="0"/>
    </w:pPr>
    <w:tblPr>
      <w:tblStyleRowBandSize w:val="1"/>
      <w:tblStyleColBandSize w:val="1"/>
      <w:tblBorders>
        <w:top w:val="single" w:sz="8" w:space="0" w:color="E4F2F6" w:themeColor="accent3" w:themeTint="BF"/>
        <w:left w:val="single" w:sz="8" w:space="0" w:color="E4F2F6" w:themeColor="accent3" w:themeTint="BF"/>
        <w:bottom w:val="single" w:sz="8" w:space="0" w:color="E4F2F6" w:themeColor="accent3" w:themeTint="BF"/>
        <w:right w:val="single" w:sz="8" w:space="0" w:color="E4F2F6" w:themeColor="accent3" w:themeTint="BF"/>
        <w:insideH w:val="single" w:sz="8" w:space="0" w:color="E4F2F6" w:themeColor="accent3" w:themeTint="BF"/>
      </w:tblBorders>
    </w:tblPr>
    <w:tblStylePr w:type="firstRow">
      <w:pPr>
        <w:spacing w:before="0" w:after="0" w:line="240" w:lineRule="auto"/>
      </w:pPr>
      <w:rPr>
        <w:b/>
        <w:bCs/>
        <w:color w:val="FFFFFF" w:themeColor="background1"/>
      </w:rPr>
      <w:tblPr/>
      <w:tcPr>
        <w:tcBorders>
          <w:top w:val="single" w:sz="8" w:space="0" w:color="E4F2F6" w:themeColor="accent3" w:themeTint="BF"/>
          <w:left w:val="single" w:sz="8" w:space="0" w:color="E4F2F6" w:themeColor="accent3" w:themeTint="BF"/>
          <w:bottom w:val="single" w:sz="8" w:space="0" w:color="E4F2F6" w:themeColor="accent3" w:themeTint="BF"/>
          <w:right w:val="single" w:sz="8" w:space="0" w:color="E4F2F6" w:themeColor="accent3" w:themeTint="BF"/>
          <w:insideH w:val="nil"/>
          <w:insideV w:val="nil"/>
        </w:tcBorders>
        <w:shd w:val="clear" w:color="auto" w:fill="DBEEF3" w:themeFill="accent3"/>
      </w:tcPr>
    </w:tblStylePr>
    <w:tblStylePr w:type="lastRow">
      <w:pPr>
        <w:spacing w:before="0" w:after="0" w:line="240" w:lineRule="auto"/>
      </w:pPr>
      <w:rPr>
        <w:b/>
        <w:bCs/>
      </w:rPr>
      <w:tblPr/>
      <w:tcPr>
        <w:tcBorders>
          <w:top w:val="double" w:sz="6" w:space="0" w:color="E4F2F6" w:themeColor="accent3" w:themeTint="BF"/>
          <w:left w:val="single" w:sz="8" w:space="0" w:color="E4F2F6" w:themeColor="accent3" w:themeTint="BF"/>
          <w:bottom w:val="single" w:sz="8" w:space="0" w:color="E4F2F6" w:themeColor="accent3" w:themeTint="BF"/>
          <w:right w:val="single" w:sz="8" w:space="0" w:color="E4F2F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AFC" w:themeFill="accent3" w:themeFillTint="3F"/>
      </w:tcPr>
    </w:tblStylePr>
    <w:tblStylePr w:type="band1Horz">
      <w:tblPr/>
      <w:tcPr>
        <w:tcBorders>
          <w:insideH w:val="nil"/>
          <w:insideV w:val="nil"/>
        </w:tcBorders>
        <w:shd w:val="clear" w:color="auto" w:fill="F6FAF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361DEB"/>
    <w:pPr>
      <w:spacing w:after="0"/>
    </w:pPr>
    <w:tblPr>
      <w:tblStyleRowBandSize w:val="1"/>
      <w:tblStyleColBandSize w:val="1"/>
      <w:tblBorders>
        <w:top w:val="single" w:sz="8" w:space="0" w:color="ADD9E4" w:themeColor="accent4" w:themeTint="BF"/>
        <w:left w:val="single" w:sz="8" w:space="0" w:color="ADD9E4" w:themeColor="accent4" w:themeTint="BF"/>
        <w:bottom w:val="single" w:sz="8" w:space="0" w:color="ADD9E4" w:themeColor="accent4" w:themeTint="BF"/>
        <w:right w:val="single" w:sz="8" w:space="0" w:color="ADD9E4" w:themeColor="accent4" w:themeTint="BF"/>
        <w:insideH w:val="single" w:sz="8" w:space="0" w:color="ADD9E4" w:themeColor="accent4" w:themeTint="BF"/>
      </w:tblBorders>
    </w:tblPr>
    <w:tblStylePr w:type="firstRow">
      <w:pPr>
        <w:spacing w:before="0" w:after="0" w:line="240" w:lineRule="auto"/>
      </w:pPr>
      <w:rPr>
        <w:b/>
        <w:bCs/>
        <w:color w:val="FFFFFF" w:themeColor="background1"/>
      </w:rPr>
      <w:tblPr/>
      <w:tcPr>
        <w:tcBorders>
          <w:top w:val="single" w:sz="8" w:space="0" w:color="ADD9E4" w:themeColor="accent4" w:themeTint="BF"/>
          <w:left w:val="single" w:sz="8" w:space="0" w:color="ADD9E4" w:themeColor="accent4" w:themeTint="BF"/>
          <w:bottom w:val="single" w:sz="8" w:space="0" w:color="ADD9E4" w:themeColor="accent4" w:themeTint="BF"/>
          <w:right w:val="single" w:sz="8" w:space="0" w:color="ADD9E4" w:themeColor="accent4" w:themeTint="BF"/>
          <w:insideH w:val="nil"/>
          <w:insideV w:val="nil"/>
        </w:tcBorders>
        <w:shd w:val="clear" w:color="auto" w:fill="92CDDC" w:themeFill="accent4"/>
      </w:tcPr>
    </w:tblStylePr>
    <w:tblStylePr w:type="lastRow">
      <w:pPr>
        <w:spacing w:before="0" w:after="0" w:line="240" w:lineRule="auto"/>
      </w:pPr>
      <w:rPr>
        <w:b/>
        <w:bCs/>
      </w:rPr>
      <w:tblPr/>
      <w:tcPr>
        <w:tcBorders>
          <w:top w:val="double" w:sz="6" w:space="0" w:color="ADD9E4" w:themeColor="accent4" w:themeTint="BF"/>
          <w:left w:val="single" w:sz="8" w:space="0" w:color="ADD9E4" w:themeColor="accent4" w:themeTint="BF"/>
          <w:bottom w:val="single" w:sz="8" w:space="0" w:color="ADD9E4" w:themeColor="accent4" w:themeTint="BF"/>
          <w:right w:val="single" w:sz="8" w:space="0" w:color="ADD9E4"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F2F6" w:themeFill="accent4" w:themeFillTint="3F"/>
      </w:tcPr>
    </w:tblStylePr>
    <w:tblStylePr w:type="band1Horz">
      <w:tblPr/>
      <w:tcPr>
        <w:tcBorders>
          <w:insideH w:val="nil"/>
          <w:insideV w:val="nil"/>
        </w:tcBorders>
        <w:shd w:val="clear" w:color="auto" w:fill="E4F2F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361DEB"/>
    <w:pPr>
      <w:spacing w:after="0"/>
    </w:pPr>
    <w:tblPr>
      <w:tblStyleRowBandSize w:val="1"/>
      <w:tblStyleColBandSize w:val="1"/>
      <w:tblBorders>
        <w:top w:val="single" w:sz="8" w:space="0" w:color="50AFC8" w:themeColor="accent5" w:themeTint="BF"/>
        <w:left w:val="single" w:sz="8" w:space="0" w:color="50AFC8" w:themeColor="accent5" w:themeTint="BF"/>
        <w:bottom w:val="single" w:sz="8" w:space="0" w:color="50AFC8" w:themeColor="accent5" w:themeTint="BF"/>
        <w:right w:val="single" w:sz="8" w:space="0" w:color="50AFC8" w:themeColor="accent5" w:themeTint="BF"/>
        <w:insideH w:val="single" w:sz="8" w:space="0" w:color="50AFC8" w:themeColor="accent5" w:themeTint="BF"/>
      </w:tblBorders>
    </w:tblPr>
    <w:tblStylePr w:type="firstRow">
      <w:pPr>
        <w:spacing w:before="0" w:after="0" w:line="240" w:lineRule="auto"/>
      </w:pPr>
      <w:rPr>
        <w:b/>
        <w:bCs/>
        <w:color w:val="FFFFFF" w:themeColor="background1"/>
      </w:rPr>
      <w:tblPr/>
      <w:tcPr>
        <w:tcBorders>
          <w:top w:val="single" w:sz="8" w:space="0" w:color="50AFC8" w:themeColor="accent5" w:themeTint="BF"/>
          <w:left w:val="single" w:sz="8" w:space="0" w:color="50AFC8" w:themeColor="accent5" w:themeTint="BF"/>
          <w:bottom w:val="single" w:sz="8" w:space="0" w:color="50AFC8" w:themeColor="accent5" w:themeTint="BF"/>
          <w:right w:val="single" w:sz="8" w:space="0" w:color="50AFC8" w:themeColor="accent5" w:themeTint="BF"/>
          <w:insideH w:val="nil"/>
          <w:insideV w:val="nil"/>
        </w:tcBorders>
        <w:shd w:val="clear" w:color="auto" w:fill="31859B" w:themeFill="accent5"/>
      </w:tcPr>
    </w:tblStylePr>
    <w:tblStylePr w:type="lastRow">
      <w:pPr>
        <w:spacing w:before="0" w:after="0" w:line="240" w:lineRule="auto"/>
      </w:pPr>
      <w:rPr>
        <w:b/>
        <w:bCs/>
      </w:rPr>
      <w:tblPr/>
      <w:tcPr>
        <w:tcBorders>
          <w:top w:val="double" w:sz="6" w:space="0" w:color="50AFC8" w:themeColor="accent5" w:themeTint="BF"/>
          <w:left w:val="single" w:sz="8" w:space="0" w:color="50AFC8" w:themeColor="accent5" w:themeTint="BF"/>
          <w:bottom w:val="single" w:sz="8" w:space="0" w:color="50AFC8" w:themeColor="accent5" w:themeTint="BF"/>
          <w:right w:val="single" w:sz="8" w:space="0" w:color="50AF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C5E4EC" w:themeFill="accent5" w:themeFillTint="3F"/>
      </w:tcPr>
    </w:tblStylePr>
    <w:tblStylePr w:type="band1Horz">
      <w:tblPr/>
      <w:tcPr>
        <w:tcBorders>
          <w:insideH w:val="nil"/>
          <w:insideV w:val="nil"/>
        </w:tcBorders>
        <w:shd w:val="clear" w:color="auto" w:fill="C5E4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361DEB"/>
    <w:pPr>
      <w:spacing w:after="0"/>
    </w:pPr>
    <w:tblPr>
      <w:tblStyleRowBandSize w:val="1"/>
      <w:tblStyleColBandSize w:val="1"/>
      <w:tblBorders>
        <w:top w:val="single" w:sz="8" w:space="0" w:color="8AC9DA" w:themeColor="accent6" w:themeTint="BF"/>
        <w:left w:val="single" w:sz="8" w:space="0" w:color="8AC9DA" w:themeColor="accent6" w:themeTint="BF"/>
        <w:bottom w:val="single" w:sz="8" w:space="0" w:color="8AC9DA" w:themeColor="accent6" w:themeTint="BF"/>
        <w:right w:val="single" w:sz="8" w:space="0" w:color="8AC9DA" w:themeColor="accent6" w:themeTint="BF"/>
        <w:insideH w:val="single" w:sz="8" w:space="0" w:color="8AC9DA" w:themeColor="accent6" w:themeTint="BF"/>
      </w:tblBorders>
    </w:tblPr>
    <w:tblStylePr w:type="firstRow">
      <w:pPr>
        <w:spacing w:before="0" w:after="0" w:line="240" w:lineRule="auto"/>
      </w:pPr>
      <w:rPr>
        <w:b/>
        <w:bCs/>
        <w:color w:val="FFFFFF" w:themeColor="background1"/>
      </w:rPr>
      <w:tblPr/>
      <w:tcPr>
        <w:tcBorders>
          <w:top w:val="single" w:sz="8" w:space="0" w:color="8AC9DA" w:themeColor="accent6" w:themeTint="BF"/>
          <w:left w:val="single" w:sz="8" w:space="0" w:color="8AC9DA" w:themeColor="accent6" w:themeTint="BF"/>
          <w:bottom w:val="single" w:sz="8" w:space="0" w:color="8AC9DA" w:themeColor="accent6" w:themeTint="BF"/>
          <w:right w:val="single" w:sz="8" w:space="0" w:color="8AC9DA" w:themeColor="accent6" w:themeTint="BF"/>
          <w:insideH w:val="nil"/>
          <w:insideV w:val="nil"/>
        </w:tcBorders>
        <w:shd w:val="clear" w:color="auto" w:fill="64B8CE" w:themeFill="accent6"/>
      </w:tcPr>
    </w:tblStylePr>
    <w:tblStylePr w:type="lastRow">
      <w:pPr>
        <w:spacing w:before="0" w:after="0" w:line="240" w:lineRule="auto"/>
      </w:pPr>
      <w:rPr>
        <w:b/>
        <w:bCs/>
      </w:rPr>
      <w:tblPr/>
      <w:tcPr>
        <w:tcBorders>
          <w:top w:val="double" w:sz="6" w:space="0" w:color="8AC9DA" w:themeColor="accent6" w:themeTint="BF"/>
          <w:left w:val="single" w:sz="8" w:space="0" w:color="8AC9DA" w:themeColor="accent6" w:themeTint="BF"/>
          <w:bottom w:val="single" w:sz="8" w:space="0" w:color="8AC9DA" w:themeColor="accent6" w:themeTint="BF"/>
          <w:right w:val="single" w:sz="8" w:space="0" w:color="8AC9DA" w:themeColor="accent6" w:themeTint="BF"/>
          <w:insideH w:val="nil"/>
          <w:insideV w:val="nil"/>
        </w:tcBorders>
      </w:tcPr>
    </w:tblStylePr>
    <w:tblStylePr w:type="firstCol">
      <w:rPr>
        <w:b/>
        <w:bCs/>
      </w:rPr>
    </w:tblStylePr>
    <w:tblStylePr w:type="lastCol">
      <w:rPr>
        <w:b/>
        <w:bCs/>
      </w:rPr>
    </w:tblStylePr>
    <w:tblStylePr w:type="band1Vert">
      <w:tblPr/>
      <w:tcPr>
        <w:shd w:val="clear" w:color="auto" w:fill="D8EDF2" w:themeFill="accent6" w:themeFillTint="3F"/>
      </w:tcPr>
    </w:tblStylePr>
    <w:tblStylePr w:type="band1Horz">
      <w:tblPr/>
      <w:tcPr>
        <w:tcBorders>
          <w:insideH w:val="nil"/>
          <w:insideV w:val="nil"/>
        </w:tcBorders>
        <w:shd w:val="clear" w:color="auto" w:fill="D8EDF2"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99"/>
    <w:semiHidden/>
    <w:rsid w:val="00361DE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8F"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8F" w:themeFill="text1"/>
      </w:tcPr>
    </w:tblStylePr>
    <w:tblStylePr w:type="lastCol">
      <w:rPr>
        <w:b/>
        <w:bCs/>
        <w:color w:val="FFFFFF" w:themeColor="background1"/>
      </w:rPr>
      <w:tblPr/>
      <w:tcPr>
        <w:tcBorders>
          <w:left w:val="nil"/>
          <w:right w:val="nil"/>
          <w:insideH w:val="nil"/>
          <w:insideV w:val="nil"/>
        </w:tcBorders>
        <w:shd w:val="clear" w:color="auto" w:fill="00728F"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99"/>
    <w:semiHidden/>
    <w:rsid w:val="00361DE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8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8F" w:themeFill="accent1"/>
      </w:tcPr>
    </w:tblStylePr>
    <w:tblStylePr w:type="lastCol">
      <w:rPr>
        <w:b/>
        <w:bCs/>
        <w:color w:val="FFFFFF" w:themeColor="background1"/>
      </w:rPr>
      <w:tblPr/>
      <w:tcPr>
        <w:tcBorders>
          <w:left w:val="nil"/>
          <w:right w:val="nil"/>
          <w:insideH w:val="nil"/>
          <w:insideV w:val="nil"/>
        </w:tcBorders>
        <w:shd w:val="clear" w:color="auto" w:fill="0072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361DE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DDE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7DDE8" w:themeFill="accent2"/>
      </w:tcPr>
    </w:tblStylePr>
    <w:tblStylePr w:type="lastCol">
      <w:rPr>
        <w:b/>
        <w:bCs/>
        <w:color w:val="FFFFFF" w:themeColor="background1"/>
      </w:rPr>
      <w:tblPr/>
      <w:tcPr>
        <w:tcBorders>
          <w:left w:val="nil"/>
          <w:right w:val="nil"/>
          <w:insideH w:val="nil"/>
          <w:insideV w:val="nil"/>
        </w:tcBorders>
        <w:shd w:val="clear" w:color="auto" w:fill="B7DDE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361DE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BEEF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EEF3" w:themeFill="accent3"/>
      </w:tcPr>
    </w:tblStylePr>
    <w:tblStylePr w:type="lastCol">
      <w:rPr>
        <w:b/>
        <w:bCs/>
        <w:color w:val="FFFFFF" w:themeColor="background1"/>
      </w:rPr>
      <w:tblPr/>
      <w:tcPr>
        <w:tcBorders>
          <w:left w:val="nil"/>
          <w:right w:val="nil"/>
          <w:insideH w:val="nil"/>
          <w:insideV w:val="nil"/>
        </w:tcBorders>
        <w:shd w:val="clear" w:color="auto" w:fill="DBEEF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361DE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CDD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2CDDC" w:themeFill="accent4"/>
      </w:tcPr>
    </w:tblStylePr>
    <w:tblStylePr w:type="lastCol">
      <w:rPr>
        <w:b/>
        <w:bCs/>
        <w:color w:val="FFFFFF" w:themeColor="background1"/>
      </w:rPr>
      <w:tblPr/>
      <w:tcPr>
        <w:tcBorders>
          <w:left w:val="nil"/>
          <w:right w:val="nil"/>
          <w:insideH w:val="nil"/>
          <w:insideV w:val="nil"/>
        </w:tcBorders>
        <w:shd w:val="clear" w:color="auto" w:fill="92CDD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361DE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1859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1859B" w:themeFill="accent5"/>
      </w:tcPr>
    </w:tblStylePr>
    <w:tblStylePr w:type="lastCol">
      <w:rPr>
        <w:b/>
        <w:bCs/>
        <w:color w:val="FFFFFF" w:themeColor="background1"/>
      </w:rPr>
      <w:tblPr/>
      <w:tcPr>
        <w:tcBorders>
          <w:left w:val="nil"/>
          <w:right w:val="nil"/>
          <w:insideH w:val="nil"/>
          <w:insideV w:val="nil"/>
        </w:tcBorders>
        <w:shd w:val="clear" w:color="auto" w:fill="31859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361DE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B8C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4B8CE" w:themeFill="accent6"/>
      </w:tcPr>
    </w:tblStylePr>
    <w:tblStylePr w:type="lastCol">
      <w:rPr>
        <w:b/>
        <w:bCs/>
        <w:color w:val="FFFFFF" w:themeColor="background1"/>
      </w:rPr>
      <w:tblPr/>
      <w:tcPr>
        <w:tcBorders>
          <w:left w:val="nil"/>
          <w:right w:val="nil"/>
          <w:insideH w:val="nil"/>
          <w:insideV w:val="nil"/>
        </w:tcBorders>
        <w:shd w:val="clear" w:color="auto" w:fill="64B8C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Colorful1">
    <w:name w:val="Table Colorful 1"/>
    <w:basedOn w:val="TableNormal"/>
    <w:uiPriority w:val="99"/>
    <w:semiHidden/>
    <w:rsid w:val="00361DEB"/>
    <w:pPr>
      <w:spacing w:after="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361DEB"/>
    <w:pPr>
      <w:spacing w:after="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361DEB"/>
    <w:pPr>
      <w:spacing w:after="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99"/>
    <w:semiHidden/>
    <w:rsid w:val="00361DE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361DEB"/>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361DEB"/>
    <w:pPr>
      <w:spacing w:after="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361DEB"/>
    <w:pPr>
      <w:spacing w:after="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361DEB"/>
    <w:pPr>
      <w:spacing w:after="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361DEB"/>
    <w:pPr>
      <w:spacing w:after="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361DEB"/>
    <w:pPr>
      <w:spacing w:after="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361DEB"/>
    <w:pPr>
      <w:spacing w:after="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361DEB"/>
    <w:pPr>
      <w:spacing w:after="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5"/>
    <w:semiHidden/>
    <w:qFormat/>
    <w:rsid w:val="00361DEB"/>
    <w:pPr>
      <w:pBdr>
        <w:bottom w:val="single" w:sz="8" w:space="4" w:color="00728F" w:themeColor="accent1"/>
      </w:pBdr>
      <w:spacing w:after="300"/>
      <w:contextualSpacing/>
    </w:pPr>
    <w:rPr>
      <w:rFonts w:asciiTheme="majorHAnsi" w:eastAsiaTheme="majorEastAsia" w:hAnsiTheme="majorHAnsi" w:cstheme="majorBidi"/>
      <w:color w:val="67B7CE" w:themeColor="text2" w:themeShade="BF"/>
      <w:spacing w:val="5"/>
      <w:kern w:val="28"/>
      <w:sz w:val="52"/>
      <w:szCs w:val="52"/>
    </w:rPr>
  </w:style>
  <w:style w:type="character" w:customStyle="1" w:styleId="TitleChar">
    <w:name w:val="Title Char"/>
    <w:basedOn w:val="DefaultParagraphFont"/>
    <w:link w:val="Title"/>
    <w:uiPriority w:val="15"/>
    <w:semiHidden/>
    <w:rsid w:val="00361DEB"/>
    <w:rPr>
      <w:rFonts w:asciiTheme="majorHAnsi" w:eastAsiaTheme="majorEastAsia" w:hAnsiTheme="majorHAnsi" w:cstheme="majorBidi"/>
      <w:color w:val="67B7CE" w:themeColor="text2" w:themeShade="BF"/>
      <w:spacing w:val="5"/>
      <w:kern w:val="28"/>
      <w:sz w:val="52"/>
      <w:szCs w:val="52"/>
    </w:rPr>
  </w:style>
  <w:style w:type="character" w:customStyle="1" w:styleId="FigurecaptionCharChar">
    <w:name w:val="Figure caption Char Char"/>
    <w:basedOn w:val="DefaultParagraphFont"/>
    <w:link w:val="Figurecaption"/>
    <w:uiPriority w:val="10"/>
    <w:locked/>
    <w:rsid w:val="00FC3687"/>
    <w:rPr>
      <w:rFonts w:ascii="Calibri" w:hAnsi="Calibri"/>
      <w:b/>
      <w:bCs/>
      <w:color w:val="0072B9"/>
      <w:sz w:val="18"/>
      <w:szCs w:val="18"/>
    </w:rPr>
  </w:style>
  <w:style w:type="paragraph" w:customStyle="1" w:styleId="Reference">
    <w:name w:val="Reference"/>
    <w:basedOn w:val="BodyText"/>
    <w:uiPriority w:val="20"/>
    <w:qFormat/>
    <w:rsid w:val="00D24D34"/>
    <w:pPr>
      <w:spacing w:before="360" w:after="360"/>
    </w:pPr>
    <w:rPr>
      <w:noProof/>
    </w:rPr>
  </w:style>
  <w:style w:type="character" w:customStyle="1" w:styleId="BodyTextChar">
    <w:name w:val="Body Text Char"/>
    <w:basedOn w:val="DefaultParagraphFont"/>
    <w:link w:val="BodyText"/>
    <w:rsid w:val="00BA5622"/>
    <w:rPr>
      <w:rFonts w:ascii="Calibri" w:hAnsi="Calibri"/>
    </w:rPr>
  </w:style>
  <w:style w:type="paragraph" w:customStyle="1" w:styleId="Bodytext-Quote">
    <w:name w:val="Body text - Quote"/>
    <w:basedOn w:val="BodyText"/>
    <w:next w:val="BodyText"/>
    <w:qFormat/>
    <w:rsid w:val="00DF7C5F"/>
    <w:pPr>
      <w:ind w:left="567" w:right="567"/>
    </w:pPr>
  </w:style>
  <w:style w:type="paragraph" w:customStyle="1" w:styleId="FigureImagewithoutrule">
    <w:name w:val="Figure/Image without rule"/>
    <w:basedOn w:val="BodyText"/>
    <w:next w:val="BodyText"/>
    <w:uiPriority w:val="10"/>
    <w:qFormat/>
    <w:rsid w:val="002A69C4"/>
    <w:pPr>
      <w:spacing w:after="360"/>
    </w:pPr>
    <w:rPr>
      <w:noProof/>
      <w:lang w:eastAsia="en-AU"/>
    </w:rPr>
  </w:style>
  <w:style w:type="paragraph" w:customStyle="1" w:styleId="DBCDElogo">
    <w:name w:val="DBCDE logo"/>
    <w:basedOn w:val="Normal"/>
    <w:next w:val="BodyText"/>
    <w:semiHidden/>
    <w:qFormat/>
    <w:rsid w:val="00665016"/>
    <w:pPr>
      <w:jc w:val="center"/>
    </w:pPr>
    <w:rPr>
      <w:noProof/>
      <w:lang w:eastAsia="en-AU"/>
    </w:rPr>
  </w:style>
  <w:style w:type="character" w:customStyle="1" w:styleId="Instructionaltext">
    <w:name w:val="Instructional text"/>
    <w:basedOn w:val="DefaultParagraphFont"/>
    <w:uiPriority w:val="59"/>
    <w:qFormat/>
    <w:rsid w:val="003600D8"/>
    <w:rPr>
      <w:i/>
      <w:color w:val="0066FF"/>
    </w:rPr>
  </w:style>
  <w:style w:type="paragraph" w:customStyle="1" w:styleId="Instructionaltext-Numberedlist">
    <w:name w:val="Instructional text - Numbered list"/>
    <w:basedOn w:val="Normal"/>
    <w:uiPriority w:val="59"/>
    <w:qFormat/>
    <w:rsid w:val="003C6FB6"/>
    <w:pPr>
      <w:numPr>
        <w:numId w:val="20"/>
      </w:numPr>
      <w:spacing w:after="240"/>
    </w:pPr>
    <w:rPr>
      <w:i/>
      <w:color w:val="0066FF"/>
    </w:rPr>
  </w:style>
  <w:style w:type="character" w:customStyle="1" w:styleId="Exampletext">
    <w:name w:val="Example text"/>
    <w:basedOn w:val="DefaultParagraphFont"/>
    <w:uiPriority w:val="60"/>
    <w:qFormat/>
    <w:rsid w:val="00135456"/>
    <w:rPr>
      <w:color w:val="CC0000"/>
    </w:rPr>
  </w:style>
  <w:style w:type="character" w:customStyle="1" w:styleId="Heading2Char">
    <w:name w:val="Heading 2 Char"/>
    <w:basedOn w:val="DefaultParagraphFont"/>
    <w:link w:val="Heading2"/>
    <w:uiPriority w:val="9"/>
    <w:rsid w:val="00FC3687"/>
    <w:rPr>
      <w:rFonts w:ascii="Cambria" w:eastAsiaTheme="majorEastAsia" w:hAnsi="Cambria" w:cstheme="majorBidi"/>
      <w:bCs/>
      <w:color w:val="0072B9"/>
      <w:sz w:val="26"/>
      <w:szCs w:val="26"/>
    </w:rPr>
  </w:style>
  <w:style w:type="character" w:customStyle="1" w:styleId="FooterChar">
    <w:name w:val="Footer Char"/>
    <w:basedOn w:val="DefaultParagraphFont"/>
    <w:link w:val="Footer"/>
    <w:uiPriority w:val="99"/>
    <w:rsid w:val="00FC3687"/>
    <w:rPr>
      <w:rFonts w:ascii="Calibri" w:hAnsi="Calibri"/>
      <w:color w:val="FFFFFF" w:themeColor="background1"/>
      <w:sz w:val="20"/>
    </w:rPr>
  </w:style>
  <w:style w:type="paragraph" w:customStyle="1" w:styleId="Documenttype">
    <w:name w:val="Document type"/>
    <w:basedOn w:val="Normal"/>
    <w:uiPriority w:val="17"/>
    <w:qFormat/>
    <w:rsid w:val="008E0426"/>
    <w:pPr>
      <w:spacing w:before="120"/>
      <w:jc w:val="right"/>
    </w:pPr>
    <w:rPr>
      <w:rFonts w:ascii="Cambria" w:eastAsia="Times New Roman" w:hAnsi="Cambria" w:cs="Times New Roman"/>
      <w:b/>
      <w:color w:val="00728F"/>
      <w:kern w:val="28"/>
      <w:sz w:val="24"/>
      <w:szCs w:val="52"/>
    </w:rPr>
  </w:style>
  <w:style w:type="character" w:customStyle="1" w:styleId="HeaderChar">
    <w:name w:val="Header Char"/>
    <w:basedOn w:val="DefaultParagraphFont"/>
    <w:link w:val="Header"/>
    <w:rsid w:val="00FC3687"/>
    <w:rPr>
      <w:rFonts w:ascii="Calibri" w:hAnsi="Calibri"/>
      <w:color w:val="0072C3"/>
      <w:sz w:val="20"/>
    </w:rPr>
  </w:style>
  <w:style w:type="paragraph" w:customStyle="1" w:styleId="DotPoint2">
    <w:name w:val="Dot Point 2"/>
    <w:basedOn w:val="ListParagraph"/>
    <w:link w:val="DotPoint2Char"/>
    <w:qFormat/>
    <w:rsid w:val="00C1340F"/>
    <w:pPr>
      <w:spacing w:before="0" w:after="120"/>
      <w:ind w:left="1080" w:hanging="360"/>
      <w:contextualSpacing w:val="0"/>
    </w:pPr>
  </w:style>
  <w:style w:type="paragraph" w:customStyle="1" w:styleId="DotPoint3">
    <w:name w:val="Dot Point 3"/>
    <w:basedOn w:val="ListParagraph"/>
    <w:qFormat/>
    <w:rsid w:val="00C1340F"/>
    <w:pPr>
      <w:tabs>
        <w:tab w:val="num" w:pos="360"/>
      </w:tabs>
      <w:spacing w:after="120"/>
      <w:ind w:left="1800" w:hanging="180"/>
      <w:contextualSpacing w:val="0"/>
    </w:pPr>
    <w:rPr>
      <w:rFonts w:asciiTheme="minorHAnsi" w:eastAsia="Times New Roman" w:hAnsiTheme="minorHAnsi" w:cstheme="minorHAnsi"/>
    </w:rPr>
  </w:style>
  <w:style w:type="character" w:customStyle="1" w:styleId="ListParagraphChar">
    <w:name w:val="List Paragraph Char"/>
    <w:aliases w:val="List Paragraph1 Char,Recommendation Char,FooterText Char,Bullet List Char,numbered Char,Paragraphe de liste1 Char,Bulletr List Paragraph Char,列出段落 Char,列出段落1 Char,List Paragraph2 Char,List Paragraph21 Char,Listeafsnit1 Char"/>
    <w:basedOn w:val="DefaultParagraphFont"/>
    <w:link w:val="ListParagraph"/>
    <w:uiPriority w:val="34"/>
    <w:rsid w:val="00C1340F"/>
    <w:rPr>
      <w:rFonts w:ascii="Calibri" w:hAnsi="Calibri"/>
    </w:rPr>
  </w:style>
  <w:style w:type="character" w:customStyle="1" w:styleId="DotPoint2Char">
    <w:name w:val="Dot Point 2 Char"/>
    <w:basedOn w:val="ListParagraphChar"/>
    <w:link w:val="DotPoint2"/>
    <w:rsid w:val="00C1340F"/>
    <w:rPr>
      <w:rFonts w:ascii="Calibri" w:hAnsi="Calibri"/>
    </w:rPr>
  </w:style>
  <w:style w:type="character" w:customStyle="1" w:styleId="CommentTextChar">
    <w:name w:val="Comment Text Char"/>
    <w:basedOn w:val="DefaultParagraphFont"/>
    <w:link w:val="CommentText"/>
    <w:uiPriority w:val="99"/>
    <w:semiHidden/>
    <w:rsid w:val="00B50A1B"/>
    <w:rPr>
      <w:rFonts w:ascii="Calibri" w:hAnsi="Calibri"/>
      <w:sz w:val="20"/>
      <w:szCs w:val="20"/>
    </w:rPr>
  </w:style>
  <w:style w:type="character" w:customStyle="1" w:styleId="FootnoteTextChar">
    <w:name w:val="Footnote Text Char"/>
    <w:basedOn w:val="DefaultParagraphFont"/>
    <w:link w:val="FootnoteText"/>
    <w:uiPriority w:val="99"/>
    <w:rsid w:val="00790268"/>
    <w:rPr>
      <w:rFonts w:ascii="Calibri" w:hAnsi="Calibri"/>
      <w:sz w:val="20"/>
      <w:szCs w:val="20"/>
    </w:rPr>
  </w:style>
  <w:style w:type="paragraph" w:styleId="Revision">
    <w:name w:val="Revision"/>
    <w:hidden/>
    <w:uiPriority w:val="99"/>
    <w:semiHidden/>
    <w:rsid w:val="002424AB"/>
    <w:pPr>
      <w:spacing w:before="0" w:after="0"/>
      <w:ind w:left="0" w:firstLine="0"/>
    </w:pPr>
    <w:rPr>
      <w:rFonts w:ascii="Calibri" w:hAnsi="Calibri"/>
    </w:rPr>
  </w:style>
  <w:style w:type="paragraph" w:customStyle="1" w:styleId="copyrighttextStyles">
    <w:name w:val="copyright text (Styles)"/>
    <w:basedOn w:val="Normal"/>
    <w:next w:val="Normal"/>
    <w:uiPriority w:val="99"/>
    <w:rsid w:val="008A135A"/>
    <w:pPr>
      <w:widowControl w:val="0"/>
      <w:suppressAutoHyphens/>
      <w:autoSpaceDE w:val="0"/>
      <w:autoSpaceDN w:val="0"/>
      <w:adjustRightInd w:val="0"/>
      <w:spacing w:before="170" w:line="270" w:lineRule="atLeast"/>
      <w:textAlignment w:val="center"/>
    </w:pPr>
    <w:rPr>
      <w:rFonts w:ascii="Arial" w:eastAsia="Times New Roman" w:hAnsi="Arial" w:cs="TradeGothicLTStd-Light"/>
      <w:color w:val="000000"/>
      <w:sz w:val="16"/>
      <w:szCs w:val="16"/>
    </w:rPr>
  </w:style>
  <w:style w:type="paragraph" w:customStyle="1" w:styleId="copyrightHeading2Styles">
    <w:name w:val="copyrightHeading 2 (Styles)"/>
    <w:basedOn w:val="Normal"/>
    <w:next w:val="Normal"/>
    <w:uiPriority w:val="99"/>
    <w:rsid w:val="00FC3687"/>
    <w:pPr>
      <w:keepNext/>
      <w:widowControl w:val="0"/>
      <w:suppressAutoHyphens/>
      <w:autoSpaceDE w:val="0"/>
      <w:autoSpaceDN w:val="0"/>
      <w:adjustRightInd w:val="0"/>
      <w:spacing w:before="454" w:line="320" w:lineRule="atLeast"/>
      <w:textAlignment w:val="center"/>
    </w:pPr>
    <w:rPr>
      <w:rFonts w:ascii="Arial" w:eastAsia="Times New Roman" w:hAnsi="Arial" w:cs="Geogrotesque-Light"/>
      <w:color w:val="0072B9"/>
      <w:sz w:val="33"/>
      <w:szCs w:val="33"/>
    </w:rPr>
  </w:style>
  <w:style w:type="character" w:customStyle="1" w:styleId="Heading4Char">
    <w:name w:val="Heading 4 Char"/>
    <w:basedOn w:val="DefaultParagraphFont"/>
    <w:link w:val="Heading4"/>
    <w:uiPriority w:val="9"/>
    <w:rsid w:val="00010C91"/>
    <w:rPr>
      <w:rFonts w:ascii="Cambria" w:eastAsiaTheme="majorEastAsia" w:hAnsi="Cambria" w:cstheme="majorBidi"/>
      <w:b/>
      <w:bCs/>
      <w:iCs/>
    </w:rPr>
  </w:style>
  <w:style w:type="paragraph" w:customStyle="1" w:styleId="Boxsub-headingQUESTION">
    <w:name w:val="Box sub-heading QUESTION"/>
    <w:basedOn w:val="Boxsub-heading"/>
    <w:next w:val="BoxtextQUESTION"/>
    <w:qFormat/>
    <w:rsid w:val="00DC2BD3"/>
    <w:pPr>
      <w:pBdr>
        <w:top w:val="single" w:sz="4" w:space="8" w:color="005491"/>
        <w:left w:val="single" w:sz="4" w:space="8" w:color="005491"/>
        <w:bottom w:val="single" w:sz="4" w:space="8" w:color="005491"/>
        <w:right w:val="single" w:sz="4" w:space="0" w:color="005491"/>
      </w:pBdr>
      <w:shd w:val="clear" w:color="auto" w:fill="005491"/>
      <w:spacing w:before="0" w:after="0"/>
    </w:pPr>
    <w:rPr>
      <w:color w:val="FFFFFF" w:themeColor="background1"/>
    </w:rPr>
  </w:style>
  <w:style w:type="paragraph" w:customStyle="1" w:styleId="BoxtextQUESTION">
    <w:name w:val="Box text QUESTION"/>
    <w:basedOn w:val="Boxtext"/>
    <w:qFormat/>
    <w:rsid w:val="00DC2BD3"/>
    <w:pPr>
      <w:pBdr>
        <w:top w:val="single" w:sz="4" w:space="8" w:color="808080" w:themeColor="background1" w:themeShade="80"/>
        <w:left w:val="single" w:sz="4" w:space="8" w:color="808080" w:themeColor="background1" w:themeShade="80"/>
        <w:bottom w:val="single" w:sz="4" w:space="8" w:color="808080" w:themeColor="background1" w:themeShade="80"/>
        <w:right w:val="single" w:sz="4" w:space="0" w:color="808080" w:themeColor="background1" w:themeShade="80"/>
      </w:pBdr>
      <w:shd w:val="clear" w:color="auto" w:fill="F3F5F4"/>
      <w:spacing w:before="0"/>
    </w:pPr>
  </w:style>
  <w:style w:type="paragraph" w:customStyle="1" w:styleId="BoxtextQUESTIONITALICS">
    <w:name w:val="Box text QUESTION ITALICS"/>
    <w:basedOn w:val="BoxtextQUESTION"/>
    <w:qFormat/>
    <w:rsid w:val="00DC2BD3"/>
    <w:rPr>
      <w:b/>
      <w:i/>
    </w:rPr>
  </w:style>
  <w:style w:type="paragraph" w:customStyle="1" w:styleId="Default">
    <w:name w:val="Default"/>
    <w:rsid w:val="00B11D29"/>
    <w:pPr>
      <w:autoSpaceDE w:val="0"/>
      <w:autoSpaceDN w:val="0"/>
      <w:adjustRightInd w:val="0"/>
      <w:spacing w:before="0" w:after="0"/>
      <w:ind w:left="0" w:firstLine="0"/>
    </w:pPr>
    <w:rPr>
      <w:rFonts w:ascii="Calibri" w:eastAsiaTheme="minorEastAsia" w:hAnsi="Calibri" w:cs="Calibri"/>
      <w:color w:val="000000"/>
      <w:sz w:val="24"/>
      <w:szCs w:val="24"/>
      <w:lang w:eastAsia="ja-JP"/>
    </w:rPr>
  </w:style>
  <w:style w:type="character" w:customStyle="1" w:styleId="Heading1Char">
    <w:name w:val="Heading 1 Char"/>
    <w:basedOn w:val="DefaultParagraphFont"/>
    <w:link w:val="Heading1"/>
    <w:uiPriority w:val="9"/>
    <w:rsid w:val="001235DF"/>
    <w:rPr>
      <w:rFonts w:ascii="Cambria" w:eastAsiaTheme="majorEastAsia" w:hAnsi="Cambria" w:cstheme="majorBidi"/>
      <w:bCs/>
      <w:color w:val="0072B9"/>
      <w:sz w:val="36"/>
      <w:szCs w:val="28"/>
    </w:rPr>
  </w:style>
  <w:style w:type="paragraph" w:customStyle="1" w:styleId="Sch1">
    <w:name w:val="Sch 1"/>
    <w:basedOn w:val="Heading1"/>
    <w:next w:val="BodyText"/>
    <w:qFormat/>
    <w:rsid w:val="000C3E3C"/>
    <w:pPr>
      <w:keepLines w:val="0"/>
      <w:numPr>
        <w:numId w:val="0"/>
      </w:numPr>
      <w:pBdr>
        <w:top w:val="single" w:sz="4" w:space="6" w:color="auto"/>
      </w:pBdr>
      <w:tabs>
        <w:tab w:val="num" w:pos="567"/>
      </w:tabs>
      <w:spacing w:before="0" w:after="240" w:line="240" w:lineRule="atLeast"/>
      <w:ind w:left="567" w:hanging="567"/>
    </w:pPr>
    <w:rPr>
      <w:rFonts w:ascii="Arial" w:eastAsia="Times New Roman" w:hAnsi="Arial" w:cs="Times New Roman"/>
      <w:b/>
      <w:bCs w:val="0"/>
      <w:color w:val="195988"/>
      <w:kern w:val="28"/>
      <w:sz w:val="28"/>
    </w:rPr>
  </w:style>
  <w:style w:type="paragraph" w:customStyle="1" w:styleId="Sch2">
    <w:name w:val="Sch 2"/>
    <w:basedOn w:val="Heading2"/>
    <w:next w:val="BodyText"/>
    <w:qFormat/>
    <w:rsid w:val="000C3E3C"/>
    <w:pPr>
      <w:keepLines w:val="0"/>
      <w:numPr>
        <w:ilvl w:val="0"/>
        <w:numId w:val="0"/>
      </w:numPr>
      <w:tabs>
        <w:tab w:val="num" w:pos="1134"/>
      </w:tabs>
      <w:spacing w:before="0" w:after="240" w:line="240" w:lineRule="atLeast"/>
      <w:ind w:left="1134" w:hanging="567"/>
    </w:pPr>
    <w:rPr>
      <w:rFonts w:ascii="Arial" w:eastAsia="Times New Roman" w:hAnsi="Arial" w:cs="Times New Roman"/>
      <w:b/>
      <w:bCs w:val="0"/>
      <w:color w:val="000000"/>
      <w:sz w:val="20"/>
      <w:szCs w:val="20"/>
    </w:rPr>
  </w:style>
  <w:style w:type="paragraph" w:customStyle="1" w:styleId="Sch3">
    <w:name w:val="Sch 3"/>
    <w:basedOn w:val="Heading3"/>
    <w:qFormat/>
    <w:rsid w:val="000C3E3C"/>
    <w:pPr>
      <w:keepNext w:val="0"/>
      <w:keepLines w:val="0"/>
      <w:numPr>
        <w:ilvl w:val="0"/>
        <w:numId w:val="0"/>
      </w:numPr>
      <w:tabs>
        <w:tab w:val="num" w:pos="1701"/>
      </w:tabs>
      <w:spacing w:before="0" w:after="240" w:line="240" w:lineRule="atLeast"/>
      <w:ind w:left="1701" w:hanging="567"/>
    </w:pPr>
    <w:rPr>
      <w:rFonts w:ascii="Arial" w:eastAsia="Times New Roman" w:hAnsi="Arial" w:cs="Times New Roman"/>
      <w:b w:val="0"/>
      <w:bCs w:val="0"/>
      <w:color w:val="000000"/>
      <w:sz w:val="20"/>
      <w:szCs w:val="20"/>
    </w:rPr>
  </w:style>
  <w:style w:type="paragraph" w:customStyle="1" w:styleId="Sch4">
    <w:name w:val="Sch 4"/>
    <w:basedOn w:val="Heading4"/>
    <w:qFormat/>
    <w:rsid w:val="000C3E3C"/>
    <w:pPr>
      <w:keepNext w:val="0"/>
      <w:keepLines w:val="0"/>
      <w:numPr>
        <w:ilvl w:val="0"/>
        <w:numId w:val="0"/>
      </w:numPr>
      <w:tabs>
        <w:tab w:val="num" w:pos="2268"/>
      </w:tabs>
      <w:spacing w:before="0" w:after="240" w:line="240" w:lineRule="atLeast"/>
      <w:ind w:left="2268" w:hanging="567"/>
    </w:pPr>
    <w:rPr>
      <w:rFonts w:ascii="Arial" w:eastAsia="Times New Roman" w:hAnsi="Arial" w:cs="Times New Roman"/>
      <w:b w:val="0"/>
      <w:bCs w:val="0"/>
      <w:iCs w:val="0"/>
      <w:color w:val="000000"/>
      <w:sz w:val="20"/>
      <w:szCs w:val="20"/>
    </w:rPr>
  </w:style>
  <w:style w:type="paragraph" w:customStyle="1" w:styleId="Sch5">
    <w:name w:val="Sch 5"/>
    <w:basedOn w:val="Heading5"/>
    <w:qFormat/>
    <w:rsid w:val="000C3E3C"/>
    <w:pPr>
      <w:keepNext w:val="0"/>
      <w:keepLines w:val="0"/>
      <w:numPr>
        <w:ilvl w:val="0"/>
        <w:numId w:val="0"/>
      </w:numPr>
      <w:tabs>
        <w:tab w:val="num" w:pos="2835"/>
      </w:tabs>
      <w:spacing w:before="0" w:after="240" w:line="240" w:lineRule="atLeast"/>
      <w:ind w:left="2835" w:hanging="567"/>
    </w:pPr>
    <w:rPr>
      <w:rFonts w:ascii="Arial" w:eastAsia="Times New Roman" w:hAnsi="Arial" w:cs="Times New Roman"/>
      <w:color w:val="000000"/>
      <w:sz w:val="20"/>
      <w:szCs w:val="20"/>
    </w:rPr>
  </w:style>
  <w:style w:type="paragraph" w:customStyle="1" w:styleId="Heading6A">
    <w:name w:val="Heading 6A"/>
    <w:basedOn w:val="Heading1"/>
    <w:next w:val="BodyText"/>
    <w:qFormat/>
    <w:rsid w:val="000C3E3C"/>
    <w:pPr>
      <w:keepLines w:val="0"/>
      <w:numPr>
        <w:numId w:val="0"/>
      </w:numPr>
      <w:pBdr>
        <w:top w:val="single" w:sz="6" w:space="6" w:color="000000"/>
      </w:pBdr>
      <w:tabs>
        <w:tab w:val="num" w:pos="1985"/>
        <w:tab w:val="left" w:pos="2268"/>
      </w:tabs>
      <w:spacing w:before="0" w:after="240" w:line="240" w:lineRule="atLeast"/>
      <w:ind w:left="567" w:hanging="567"/>
    </w:pPr>
    <w:rPr>
      <w:rFonts w:ascii="Arial" w:eastAsia="Times New Roman" w:hAnsi="Arial" w:cs="Times New Roman"/>
      <w:b/>
      <w:bCs w:val="0"/>
      <w:color w:val="195988"/>
      <w:kern w:val="28"/>
      <w:sz w:val="28"/>
    </w:rPr>
  </w:style>
  <w:style w:type="paragraph" w:customStyle="1" w:styleId="Sch1A">
    <w:name w:val="Sch 1A"/>
    <w:basedOn w:val="Sch1"/>
    <w:qFormat/>
    <w:rsid w:val="000C3E3C"/>
  </w:style>
  <w:style w:type="paragraph" w:customStyle="1" w:styleId="Sch2A">
    <w:name w:val="Sch 2A"/>
    <w:basedOn w:val="Sch2"/>
    <w:next w:val="BodyText"/>
    <w:qFormat/>
    <w:rsid w:val="000C3E3C"/>
  </w:style>
  <w:style w:type="paragraph" w:customStyle="1" w:styleId="Table">
    <w:name w:val="Table"/>
    <w:basedOn w:val="Normal"/>
    <w:rsid w:val="000C3E3C"/>
    <w:pPr>
      <w:spacing w:before="120" w:after="120" w:line="240" w:lineRule="atLeast"/>
    </w:pPr>
    <w:rPr>
      <w:rFonts w:ascii="Arial" w:eastAsia="Times New Roman" w:hAnsi="Arial" w:cs="Times New Roman"/>
      <w:color w:val="000000"/>
      <w:sz w:val="20"/>
      <w:szCs w:val="20"/>
    </w:rPr>
  </w:style>
  <w:style w:type="character" w:customStyle="1" w:styleId="Heading3Char">
    <w:name w:val="Heading 3 Char"/>
    <w:basedOn w:val="DefaultParagraphFont"/>
    <w:link w:val="Heading3"/>
    <w:uiPriority w:val="9"/>
    <w:rsid w:val="00C77C96"/>
    <w:rPr>
      <w:rFonts w:ascii="Cambria" w:eastAsiaTheme="majorEastAsia" w:hAnsi="Cambria" w:cstheme="majorBidi"/>
      <w:b/>
      <w:bCs/>
      <w:color w:val="0072B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5590">
      <w:bodyDiv w:val="1"/>
      <w:marLeft w:val="0"/>
      <w:marRight w:val="0"/>
      <w:marTop w:val="0"/>
      <w:marBottom w:val="0"/>
      <w:divBdr>
        <w:top w:val="none" w:sz="0" w:space="0" w:color="auto"/>
        <w:left w:val="none" w:sz="0" w:space="0" w:color="auto"/>
        <w:bottom w:val="none" w:sz="0" w:space="0" w:color="auto"/>
        <w:right w:val="none" w:sz="0" w:space="0" w:color="auto"/>
      </w:divBdr>
    </w:div>
    <w:div w:id="89594517">
      <w:bodyDiv w:val="1"/>
      <w:marLeft w:val="0"/>
      <w:marRight w:val="0"/>
      <w:marTop w:val="0"/>
      <w:marBottom w:val="0"/>
      <w:divBdr>
        <w:top w:val="none" w:sz="0" w:space="0" w:color="auto"/>
        <w:left w:val="none" w:sz="0" w:space="0" w:color="auto"/>
        <w:bottom w:val="none" w:sz="0" w:space="0" w:color="auto"/>
        <w:right w:val="none" w:sz="0" w:space="0" w:color="auto"/>
      </w:divBdr>
      <w:divsChild>
        <w:div w:id="1187869197">
          <w:marLeft w:val="0"/>
          <w:marRight w:val="0"/>
          <w:marTop w:val="0"/>
          <w:marBottom w:val="0"/>
          <w:divBdr>
            <w:top w:val="none" w:sz="0" w:space="0" w:color="auto"/>
            <w:left w:val="none" w:sz="0" w:space="0" w:color="auto"/>
            <w:bottom w:val="none" w:sz="0" w:space="0" w:color="auto"/>
            <w:right w:val="none" w:sz="0" w:space="0" w:color="auto"/>
          </w:divBdr>
          <w:divsChild>
            <w:div w:id="302151897">
              <w:marLeft w:val="0"/>
              <w:marRight w:val="0"/>
              <w:marTop w:val="0"/>
              <w:marBottom w:val="0"/>
              <w:divBdr>
                <w:top w:val="none" w:sz="0" w:space="0" w:color="auto"/>
                <w:left w:val="none" w:sz="0" w:space="0" w:color="auto"/>
                <w:bottom w:val="none" w:sz="0" w:space="0" w:color="auto"/>
                <w:right w:val="none" w:sz="0" w:space="0" w:color="auto"/>
              </w:divBdr>
              <w:divsChild>
                <w:div w:id="1881475353">
                  <w:marLeft w:val="0"/>
                  <w:marRight w:val="0"/>
                  <w:marTop w:val="0"/>
                  <w:marBottom w:val="0"/>
                  <w:divBdr>
                    <w:top w:val="none" w:sz="0" w:space="0" w:color="auto"/>
                    <w:left w:val="none" w:sz="0" w:space="0" w:color="auto"/>
                    <w:bottom w:val="none" w:sz="0" w:space="0" w:color="auto"/>
                    <w:right w:val="none" w:sz="0" w:space="0" w:color="auto"/>
                  </w:divBdr>
                  <w:divsChild>
                    <w:div w:id="113498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165764">
      <w:bodyDiv w:val="1"/>
      <w:marLeft w:val="0"/>
      <w:marRight w:val="0"/>
      <w:marTop w:val="0"/>
      <w:marBottom w:val="0"/>
      <w:divBdr>
        <w:top w:val="none" w:sz="0" w:space="0" w:color="auto"/>
        <w:left w:val="none" w:sz="0" w:space="0" w:color="auto"/>
        <w:bottom w:val="none" w:sz="0" w:space="0" w:color="auto"/>
        <w:right w:val="none" w:sz="0" w:space="0" w:color="auto"/>
      </w:divBdr>
    </w:div>
    <w:div w:id="473182892">
      <w:bodyDiv w:val="1"/>
      <w:marLeft w:val="0"/>
      <w:marRight w:val="0"/>
      <w:marTop w:val="0"/>
      <w:marBottom w:val="0"/>
      <w:divBdr>
        <w:top w:val="none" w:sz="0" w:space="0" w:color="auto"/>
        <w:left w:val="none" w:sz="0" w:space="0" w:color="auto"/>
        <w:bottom w:val="none" w:sz="0" w:space="0" w:color="auto"/>
        <w:right w:val="none" w:sz="0" w:space="0" w:color="auto"/>
      </w:divBdr>
    </w:div>
    <w:div w:id="548110304">
      <w:bodyDiv w:val="1"/>
      <w:marLeft w:val="0"/>
      <w:marRight w:val="0"/>
      <w:marTop w:val="0"/>
      <w:marBottom w:val="0"/>
      <w:divBdr>
        <w:top w:val="none" w:sz="0" w:space="0" w:color="auto"/>
        <w:left w:val="none" w:sz="0" w:space="0" w:color="auto"/>
        <w:bottom w:val="none" w:sz="0" w:space="0" w:color="auto"/>
        <w:right w:val="none" w:sz="0" w:space="0" w:color="auto"/>
      </w:divBdr>
      <w:divsChild>
        <w:div w:id="14311038">
          <w:marLeft w:val="0"/>
          <w:marRight w:val="0"/>
          <w:marTop w:val="0"/>
          <w:marBottom w:val="0"/>
          <w:divBdr>
            <w:top w:val="none" w:sz="0" w:space="0" w:color="auto"/>
            <w:left w:val="none" w:sz="0" w:space="0" w:color="auto"/>
            <w:bottom w:val="none" w:sz="0" w:space="0" w:color="auto"/>
            <w:right w:val="none" w:sz="0" w:space="0" w:color="auto"/>
          </w:divBdr>
          <w:divsChild>
            <w:div w:id="1451436225">
              <w:marLeft w:val="0"/>
              <w:marRight w:val="0"/>
              <w:marTop w:val="0"/>
              <w:marBottom w:val="0"/>
              <w:divBdr>
                <w:top w:val="none" w:sz="0" w:space="0" w:color="auto"/>
                <w:left w:val="none" w:sz="0" w:space="0" w:color="auto"/>
                <w:bottom w:val="none" w:sz="0" w:space="0" w:color="auto"/>
                <w:right w:val="none" w:sz="0" w:space="0" w:color="auto"/>
              </w:divBdr>
              <w:divsChild>
                <w:div w:id="526673042">
                  <w:marLeft w:val="0"/>
                  <w:marRight w:val="0"/>
                  <w:marTop w:val="0"/>
                  <w:marBottom w:val="0"/>
                  <w:divBdr>
                    <w:top w:val="none" w:sz="0" w:space="0" w:color="auto"/>
                    <w:left w:val="none" w:sz="0" w:space="0" w:color="auto"/>
                    <w:bottom w:val="none" w:sz="0" w:space="0" w:color="auto"/>
                    <w:right w:val="none" w:sz="0" w:space="0" w:color="auto"/>
                  </w:divBdr>
                  <w:divsChild>
                    <w:div w:id="777721752">
                      <w:marLeft w:val="0"/>
                      <w:marRight w:val="0"/>
                      <w:marTop w:val="0"/>
                      <w:marBottom w:val="0"/>
                      <w:divBdr>
                        <w:top w:val="none" w:sz="0" w:space="0" w:color="auto"/>
                        <w:left w:val="none" w:sz="0" w:space="0" w:color="auto"/>
                        <w:bottom w:val="none" w:sz="0" w:space="0" w:color="auto"/>
                        <w:right w:val="none" w:sz="0" w:space="0" w:color="auto"/>
                      </w:divBdr>
                      <w:divsChild>
                        <w:div w:id="1351882228">
                          <w:marLeft w:val="0"/>
                          <w:marRight w:val="0"/>
                          <w:marTop w:val="0"/>
                          <w:marBottom w:val="0"/>
                          <w:divBdr>
                            <w:top w:val="none" w:sz="0" w:space="0" w:color="auto"/>
                            <w:left w:val="none" w:sz="0" w:space="0" w:color="auto"/>
                            <w:bottom w:val="none" w:sz="0" w:space="0" w:color="auto"/>
                            <w:right w:val="none" w:sz="0" w:space="0" w:color="auto"/>
                          </w:divBdr>
                          <w:divsChild>
                            <w:div w:id="9616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286324">
      <w:bodyDiv w:val="1"/>
      <w:marLeft w:val="0"/>
      <w:marRight w:val="0"/>
      <w:marTop w:val="0"/>
      <w:marBottom w:val="0"/>
      <w:divBdr>
        <w:top w:val="none" w:sz="0" w:space="0" w:color="auto"/>
        <w:left w:val="none" w:sz="0" w:space="0" w:color="auto"/>
        <w:bottom w:val="none" w:sz="0" w:space="0" w:color="auto"/>
        <w:right w:val="none" w:sz="0" w:space="0" w:color="auto"/>
      </w:divBdr>
    </w:div>
    <w:div w:id="679744597">
      <w:bodyDiv w:val="1"/>
      <w:marLeft w:val="0"/>
      <w:marRight w:val="0"/>
      <w:marTop w:val="0"/>
      <w:marBottom w:val="0"/>
      <w:divBdr>
        <w:top w:val="none" w:sz="0" w:space="0" w:color="auto"/>
        <w:left w:val="none" w:sz="0" w:space="0" w:color="auto"/>
        <w:bottom w:val="none" w:sz="0" w:space="0" w:color="auto"/>
        <w:right w:val="none" w:sz="0" w:space="0" w:color="auto"/>
      </w:divBdr>
    </w:div>
    <w:div w:id="699862380">
      <w:bodyDiv w:val="1"/>
      <w:marLeft w:val="0"/>
      <w:marRight w:val="0"/>
      <w:marTop w:val="0"/>
      <w:marBottom w:val="0"/>
      <w:divBdr>
        <w:top w:val="none" w:sz="0" w:space="0" w:color="auto"/>
        <w:left w:val="none" w:sz="0" w:space="0" w:color="auto"/>
        <w:bottom w:val="none" w:sz="0" w:space="0" w:color="auto"/>
        <w:right w:val="none" w:sz="0" w:space="0" w:color="auto"/>
      </w:divBdr>
      <w:divsChild>
        <w:div w:id="1141776224">
          <w:marLeft w:val="0"/>
          <w:marRight w:val="0"/>
          <w:marTop w:val="0"/>
          <w:marBottom w:val="0"/>
          <w:divBdr>
            <w:top w:val="none" w:sz="0" w:space="0" w:color="auto"/>
            <w:left w:val="none" w:sz="0" w:space="0" w:color="auto"/>
            <w:bottom w:val="none" w:sz="0" w:space="0" w:color="auto"/>
            <w:right w:val="none" w:sz="0" w:space="0" w:color="auto"/>
          </w:divBdr>
          <w:divsChild>
            <w:div w:id="213927279">
              <w:marLeft w:val="0"/>
              <w:marRight w:val="0"/>
              <w:marTop w:val="0"/>
              <w:marBottom w:val="0"/>
              <w:divBdr>
                <w:top w:val="none" w:sz="0" w:space="0" w:color="auto"/>
                <w:left w:val="none" w:sz="0" w:space="0" w:color="auto"/>
                <w:bottom w:val="none" w:sz="0" w:space="0" w:color="auto"/>
                <w:right w:val="none" w:sz="0" w:space="0" w:color="auto"/>
              </w:divBdr>
              <w:divsChild>
                <w:div w:id="11347651">
                  <w:marLeft w:val="0"/>
                  <w:marRight w:val="0"/>
                  <w:marTop w:val="0"/>
                  <w:marBottom w:val="0"/>
                  <w:divBdr>
                    <w:top w:val="none" w:sz="0" w:space="0" w:color="auto"/>
                    <w:left w:val="none" w:sz="0" w:space="0" w:color="auto"/>
                    <w:bottom w:val="none" w:sz="0" w:space="0" w:color="auto"/>
                    <w:right w:val="none" w:sz="0" w:space="0" w:color="auto"/>
                  </w:divBdr>
                  <w:divsChild>
                    <w:div w:id="1558467339">
                      <w:marLeft w:val="0"/>
                      <w:marRight w:val="0"/>
                      <w:marTop w:val="0"/>
                      <w:marBottom w:val="0"/>
                      <w:divBdr>
                        <w:top w:val="none" w:sz="0" w:space="0" w:color="auto"/>
                        <w:left w:val="none" w:sz="0" w:space="0" w:color="auto"/>
                        <w:bottom w:val="none" w:sz="0" w:space="0" w:color="auto"/>
                        <w:right w:val="none" w:sz="0" w:space="0" w:color="auto"/>
                      </w:divBdr>
                      <w:divsChild>
                        <w:div w:id="1342970264">
                          <w:marLeft w:val="0"/>
                          <w:marRight w:val="12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193724">
      <w:bodyDiv w:val="1"/>
      <w:marLeft w:val="0"/>
      <w:marRight w:val="0"/>
      <w:marTop w:val="0"/>
      <w:marBottom w:val="0"/>
      <w:divBdr>
        <w:top w:val="none" w:sz="0" w:space="0" w:color="auto"/>
        <w:left w:val="none" w:sz="0" w:space="0" w:color="auto"/>
        <w:bottom w:val="none" w:sz="0" w:space="0" w:color="auto"/>
        <w:right w:val="none" w:sz="0" w:space="0" w:color="auto"/>
      </w:divBdr>
    </w:div>
    <w:div w:id="827524107">
      <w:bodyDiv w:val="1"/>
      <w:marLeft w:val="0"/>
      <w:marRight w:val="0"/>
      <w:marTop w:val="0"/>
      <w:marBottom w:val="0"/>
      <w:divBdr>
        <w:top w:val="none" w:sz="0" w:space="0" w:color="auto"/>
        <w:left w:val="none" w:sz="0" w:space="0" w:color="auto"/>
        <w:bottom w:val="none" w:sz="0" w:space="0" w:color="auto"/>
        <w:right w:val="none" w:sz="0" w:space="0" w:color="auto"/>
      </w:divBdr>
      <w:divsChild>
        <w:div w:id="838736492">
          <w:marLeft w:val="0"/>
          <w:marRight w:val="0"/>
          <w:marTop w:val="0"/>
          <w:marBottom w:val="0"/>
          <w:divBdr>
            <w:top w:val="none" w:sz="0" w:space="0" w:color="auto"/>
            <w:left w:val="none" w:sz="0" w:space="0" w:color="auto"/>
            <w:bottom w:val="none" w:sz="0" w:space="0" w:color="auto"/>
            <w:right w:val="none" w:sz="0" w:space="0" w:color="auto"/>
          </w:divBdr>
          <w:divsChild>
            <w:div w:id="693652630">
              <w:marLeft w:val="0"/>
              <w:marRight w:val="0"/>
              <w:marTop w:val="0"/>
              <w:marBottom w:val="0"/>
              <w:divBdr>
                <w:top w:val="none" w:sz="0" w:space="0" w:color="auto"/>
                <w:left w:val="none" w:sz="0" w:space="0" w:color="auto"/>
                <w:bottom w:val="none" w:sz="0" w:space="0" w:color="auto"/>
                <w:right w:val="none" w:sz="0" w:space="0" w:color="auto"/>
              </w:divBdr>
              <w:divsChild>
                <w:div w:id="507064688">
                  <w:marLeft w:val="0"/>
                  <w:marRight w:val="0"/>
                  <w:marTop w:val="0"/>
                  <w:marBottom w:val="0"/>
                  <w:divBdr>
                    <w:top w:val="none" w:sz="0" w:space="0" w:color="auto"/>
                    <w:left w:val="none" w:sz="0" w:space="0" w:color="auto"/>
                    <w:bottom w:val="none" w:sz="0" w:space="0" w:color="auto"/>
                    <w:right w:val="none" w:sz="0" w:space="0" w:color="auto"/>
                  </w:divBdr>
                  <w:divsChild>
                    <w:div w:id="167600973">
                      <w:marLeft w:val="0"/>
                      <w:marRight w:val="0"/>
                      <w:marTop w:val="45"/>
                      <w:marBottom w:val="0"/>
                      <w:divBdr>
                        <w:top w:val="none" w:sz="0" w:space="0" w:color="auto"/>
                        <w:left w:val="none" w:sz="0" w:space="0" w:color="auto"/>
                        <w:bottom w:val="none" w:sz="0" w:space="0" w:color="auto"/>
                        <w:right w:val="none" w:sz="0" w:space="0" w:color="auto"/>
                      </w:divBdr>
                      <w:divsChild>
                        <w:div w:id="1436441587">
                          <w:marLeft w:val="0"/>
                          <w:marRight w:val="0"/>
                          <w:marTop w:val="0"/>
                          <w:marBottom w:val="0"/>
                          <w:divBdr>
                            <w:top w:val="none" w:sz="0" w:space="0" w:color="auto"/>
                            <w:left w:val="none" w:sz="0" w:space="0" w:color="auto"/>
                            <w:bottom w:val="none" w:sz="0" w:space="0" w:color="auto"/>
                            <w:right w:val="none" w:sz="0" w:space="0" w:color="auto"/>
                          </w:divBdr>
                          <w:divsChild>
                            <w:div w:id="495267385">
                              <w:marLeft w:val="2070"/>
                              <w:marRight w:val="3810"/>
                              <w:marTop w:val="0"/>
                              <w:marBottom w:val="0"/>
                              <w:divBdr>
                                <w:top w:val="none" w:sz="0" w:space="0" w:color="auto"/>
                                <w:left w:val="none" w:sz="0" w:space="0" w:color="auto"/>
                                <w:bottom w:val="none" w:sz="0" w:space="0" w:color="auto"/>
                                <w:right w:val="none" w:sz="0" w:space="0" w:color="auto"/>
                              </w:divBdr>
                              <w:divsChild>
                                <w:div w:id="1260916424">
                                  <w:marLeft w:val="0"/>
                                  <w:marRight w:val="0"/>
                                  <w:marTop w:val="0"/>
                                  <w:marBottom w:val="0"/>
                                  <w:divBdr>
                                    <w:top w:val="none" w:sz="0" w:space="0" w:color="auto"/>
                                    <w:left w:val="none" w:sz="0" w:space="0" w:color="auto"/>
                                    <w:bottom w:val="none" w:sz="0" w:space="0" w:color="auto"/>
                                    <w:right w:val="none" w:sz="0" w:space="0" w:color="auto"/>
                                  </w:divBdr>
                                  <w:divsChild>
                                    <w:div w:id="808790551">
                                      <w:marLeft w:val="0"/>
                                      <w:marRight w:val="0"/>
                                      <w:marTop w:val="0"/>
                                      <w:marBottom w:val="0"/>
                                      <w:divBdr>
                                        <w:top w:val="none" w:sz="0" w:space="0" w:color="auto"/>
                                        <w:left w:val="none" w:sz="0" w:space="0" w:color="auto"/>
                                        <w:bottom w:val="none" w:sz="0" w:space="0" w:color="auto"/>
                                        <w:right w:val="none" w:sz="0" w:space="0" w:color="auto"/>
                                      </w:divBdr>
                                      <w:divsChild>
                                        <w:div w:id="1401051070">
                                          <w:marLeft w:val="0"/>
                                          <w:marRight w:val="0"/>
                                          <w:marTop w:val="0"/>
                                          <w:marBottom w:val="0"/>
                                          <w:divBdr>
                                            <w:top w:val="none" w:sz="0" w:space="0" w:color="auto"/>
                                            <w:left w:val="none" w:sz="0" w:space="0" w:color="auto"/>
                                            <w:bottom w:val="none" w:sz="0" w:space="0" w:color="auto"/>
                                            <w:right w:val="none" w:sz="0" w:space="0" w:color="auto"/>
                                          </w:divBdr>
                                          <w:divsChild>
                                            <w:div w:id="15161285">
                                              <w:marLeft w:val="0"/>
                                              <w:marRight w:val="0"/>
                                              <w:marTop w:val="0"/>
                                              <w:marBottom w:val="0"/>
                                              <w:divBdr>
                                                <w:top w:val="none" w:sz="0" w:space="0" w:color="auto"/>
                                                <w:left w:val="none" w:sz="0" w:space="0" w:color="auto"/>
                                                <w:bottom w:val="none" w:sz="0" w:space="0" w:color="auto"/>
                                                <w:right w:val="none" w:sz="0" w:space="0" w:color="auto"/>
                                              </w:divBdr>
                                              <w:divsChild>
                                                <w:div w:id="364524701">
                                                  <w:marLeft w:val="0"/>
                                                  <w:marRight w:val="0"/>
                                                  <w:marTop w:val="0"/>
                                                  <w:marBottom w:val="0"/>
                                                  <w:divBdr>
                                                    <w:top w:val="none" w:sz="0" w:space="0" w:color="auto"/>
                                                    <w:left w:val="none" w:sz="0" w:space="0" w:color="auto"/>
                                                    <w:bottom w:val="none" w:sz="0" w:space="0" w:color="auto"/>
                                                    <w:right w:val="none" w:sz="0" w:space="0" w:color="auto"/>
                                                  </w:divBdr>
                                                  <w:divsChild>
                                                    <w:div w:id="1299070540">
                                                      <w:marLeft w:val="0"/>
                                                      <w:marRight w:val="0"/>
                                                      <w:marTop w:val="0"/>
                                                      <w:marBottom w:val="0"/>
                                                      <w:divBdr>
                                                        <w:top w:val="none" w:sz="0" w:space="0" w:color="auto"/>
                                                        <w:left w:val="none" w:sz="0" w:space="0" w:color="auto"/>
                                                        <w:bottom w:val="none" w:sz="0" w:space="0" w:color="auto"/>
                                                        <w:right w:val="none" w:sz="0" w:space="0" w:color="auto"/>
                                                      </w:divBdr>
                                                      <w:divsChild>
                                                        <w:div w:id="1895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5629134">
      <w:bodyDiv w:val="1"/>
      <w:marLeft w:val="0"/>
      <w:marRight w:val="0"/>
      <w:marTop w:val="0"/>
      <w:marBottom w:val="0"/>
      <w:divBdr>
        <w:top w:val="none" w:sz="0" w:space="0" w:color="auto"/>
        <w:left w:val="none" w:sz="0" w:space="0" w:color="auto"/>
        <w:bottom w:val="none" w:sz="0" w:space="0" w:color="auto"/>
        <w:right w:val="none" w:sz="0" w:space="0" w:color="auto"/>
      </w:divBdr>
      <w:divsChild>
        <w:div w:id="73627811">
          <w:marLeft w:val="0"/>
          <w:marRight w:val="0"/>
          <w:marTop w:val="0"/>
          <w:marBottom w:val="0"/>
          <w:divBdr>
            <w:top w:val="none" w:sz="0" w:space="0" w:color="auto"/>
            <w:left w:val="none" w:sz="0" w:space="0" w:color="auto"/>
            <w:bottom w:val="none" w:sz="0" w:space="0" w:color="auto"/>
            <w:right w:val="none" w:sz="0" w:space="0" w:color="auto"/>
          </w:divBdr>
          <w:divsChild>
            <w:div w:id="1238831155">
              <w:marLeft w:val="0"/>
              <w:marRight w:val="0"/>
              <w:marTop w:val="0"/>
              <w:marBottom w:val="0"/>
              <w:divBdr>
                <w:top w:val="none" w:sz="0" w:space="0" w:color="auto"/>
                <w:left w:val="none" w:sz="0" w:space="0" w:color="auto"/>
                <w:bottom w:val="none" w:sz="0" w:space="0" w:color="auto"/>
                <w:right w:val="none" w:sz="0" w:space="0" w:color="auto"/>
              </w:divBdr>
              <w:divsChild>
                <w:div w:id="346566488">
                  <w:marLeft w:val="0"/>
                  <w:marRight w:val="0"/>
                  <w:marTop w:val="0"/>
                  <w:marBottom w:val="0"/>
                  <w:divBdr>
                    <w:top w:val="none" w:sz="0" w:space="0" w:color="auto"/>
                    <w:left w:val="none" w:sz="0" w:space="0" w:color="auto"/>
                    <w:bottom w:val="none" w:sz="0" w:space="0" w:color="auto"/>
                    <w:right w:val="none" w:sz="0" w:space="0" w:color="auto"/>
                  </w:divBdr>
                  <w:divsChild>
                    <w:div w:id="1998418249">
                      <w:marLeft w:val="0"/>
                      <w:marRight w:val="0"/>
                      <w:marTop w:val="0"/>
                      <w:marBottom w:val="0"/>
                      <w:divBdr>
                        <w:top w:val="none" w:sz="0" w:space="0" w:color="auto"/>
                        <w:left w:val="none" w:sz="0" w:space="0" w:color="auto"/>
                        <w:bottom w:val="none" w:sz="0" w:space="0" w:color="auto"/>
                        <w:right w:val="none" w:sz="0" w:space="0" w:color="auto"/>
                      </w:divBdr>
                      <w:divsChild>
                        <w:div w:id="470514940">
                          <w:marLeft w:val="0"/>
                          <w:marRight w:val="1200"/>
                          <w:marTop w:val="300"/>
                          <w:marBottom w:val="0"/>
                          <w:divBdr>
                            <w:top w:val="none" w:sz="0" w:space="0" w:color="auto"/>
                            <w:left w:val="none" w:sz="0" w:space="0" w:color="auto"/>
                            <w:bottom w:val="none" w:sz="0" w:space="0" w:color="auto"/>
                            <w:right w:val="none" w:sz="0" w:space="0" w:color="auto"/>
                          </w:divBdr>
                          <w:divsChild>
                            <w:div w:id="126341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156500">
      <w:bodyDiv w:val="1"/>
      <w:marLeft w:val="0"/>
      <w:marRight w:val="0"/>
      <w:marTop w:val="0"/>
      <w:marBottom w:val="0"/>
      <w:divBdr>
        <w:top w:val="none" w:sz="0" w:space="0" w:color="auto"/>
        <w:left w:val="none" w:sz="0" w:space="0" w:color="auto"/>
        <w:bottom w:val="none" w:sz="0" w:space="0" w:color="auto"/>
        <w:right w:val="none" w:sz="0" w:space="0" w:color="auto"/>
      </w:divBdr>
    </w:div>
    <w:div w:id="1024404542">
      <w:bodyDiv w:val="1"/>
      <w:marLeft w:val="0"/>
      <w:marRight w:val="0"/>
      <w:marTop w:val="0"/>
      <w:marBottom w:val="0"/>
      <w:divBdr>
        <w:top w:val="none" w:sz="0" w:space="0" w:color="auto"/>
        <w:left w:val="none" w:sz="0" w:space="0" w:color="auto"/>
        <w:bottom w:val="none" w:sz="0" w:space="0" w:color="auto"/>
        <w:right w:val="none" w:sz="0" w:space="0" w:color="auto"/>
      </w:divBdr>
      <w:divsChild>
        <w:div w:id="478033158">
          <w:marLeft w:val="0"/>
          <w:marRight w:val="0"/>
          <w:marTop w:val="0"/>
          <w:marBottom w:val="0"/>
          <w:divBdr>
            <w:top w:val="none" w:sz="0" w:space="0" w:color="auto"/>
            <w:left w:val="none" w:sz="0" w:space="0" w:color="auto"/>
            <w:bottom w:val="none" w:sz="0" w:space="0" w:color="auto"/>
            <w:right w:val="none" w:sz="0" w:space="0" w:color="auto"/>
          </w:divBdr>
          <w:divsChild>
            <w:div w:id="1707633385">
              <w:marLeft w:val="0"/>
              <w:marRight w:val="0"/>
              <w:marTop w:val="0"/>
              <w:marBottom w:val="0"/>
              <w:divBdr>
                <w:top w:val="none" w:sz="0" w:space="0" w:color="auto"/>
                <w:left w:val="none" w:sz="0" w:space="0" w:color="auto"/>
                <w:bottom w:val="none" w:sz="0" w:space="0" w:color="auto"/>
                <w:right w:val="none" w:sz="0" w:space="0" w:color="auto"/>
              </w:divBdr>
              <w:divsChild>
                <w:div w:id="1583831306">
                  <w:marLeft w:val="0"/>
                  <w:marRight w:val="0"/>
                  <w:marTop w:val="0"/>
                  <w:marBottom w:val="0"/>
                  <w:divBdr>
                    <w:top w:val="none" w:sz="0" w:space="0" w:color="auto"/>
                    <w:left w:val="none" w:sz="0" w:space="0" w:color="auto"/>
                    <w:bottom w:val="none" w:sz="0" w:space="0" w:color="auto"/>
                    <w:right w:val="none" w:sz="0" w:space="0" w:color="auto"/>
                  </w:divBdr>
                  <w:divsChild>
                    <w:div w:id="1094401828">
                      <w:marLeft w:val="0"/>
                      <w:marRight w:val="0"/>
                      <w:marTop w:val="0"/>
                      <w:marBottom w:val="0"/>
                      <w:divBdr>
                        <w:top w:val="none" w:sz="0" w:space="0" w:color="auto"/>
                        <w:left w:val="none" w:sz="0" w:space="0" w:color="auto"/>
                        <w:bottom w:val="none" w:sz="0" w:space="0" w:color="auto"/>
                        <w:right w:val="none" w:sz="0" w:space="0" w:color="auto"/>
                      </w:divBdr>
                      <w:divsChild>
                        <w:div w:id="277223684">
                          <w:marLeft w:val="0"/>
                          <w:marRight w:val="12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671970">
      <w:bodyDiv w:val="1"/>
      <w:marLeft w:val="0"/>
      <w:marRight w:val="0"/>
      <w:marTop w:val="0"/>
      <w:marBottom w:val="0"/>
      <w:divBdr>
        <w:top w:val="none" w:sz="0" w:space="0" w:color="auto"/>
        <w:left w:val="none" w:sz="0" w:space="0" w:color="auto"/>
        <w:bottom w:val="none" w:sz="0" w:space="0" w:color="auto"/>
        <w:right w:val="none" w:sz="0" w:space="0" w:color="auto"/>
      </w:divBdr>
    </w:div>
    <w:div w:id="1105542875">
      <w:bodyDiv w:val="1"/>
      <w:marLeft w:val="0"/>
      <w:marRight w:val="0"/>
      <w:marTop w:val="0"/>
      <w:marBottom w:val="0"/>
      <w:divBdr>
        <w:top w:val="none" w:sz="0" w:space="0" w:color="auto"/>
        <w:left w:val="none" w:sz="0" w:space="0" w:color="auto"/>
        <w:bottom w:val="none" w:sz="0" w:space="0" w:color="auto"/>
        <w:right w:val="none" w:sz="0" w:space="0" w:color="auto"/>
      </w:divBdr>
    </w:div>
    <w:div w:id="1163164907">
      <w:bodyDiv w:val="1"/>
      <w:marLeft w:val="0"/>
      <w:marRight w:val="0"/>
      <w:marTop w:val="0"/>
      <w:marBottom w:val="0"/>
      <w:divBdr>
        <w:top w:val="none" w:sz="0" w:space="0" w:color="auto"/>
        <w:left w:val="none" w:sz="0" w:space="0" w:color="auto"/>
        <w:bottom w:val="none" w:sz="0" w:space="0" w:color="auto"/>
        <w:right w:val="none" w:sz="0" w:space="0" w:color="auto"/>
      </w:divBdr>
    </w:div>
    <w:div w:id="1165902111">
      <w:bodyDiv w:val="1"/>
      <w:marLeft w:val="0"/>
      <w:marRight w:val="0"/>
      <w:marTop w:val="0"/>
      <w:marBottom w:val="0"/>
      <w:divBdr>
        <w:top w:val="none" w:sz="0" w:space="0" w:color="auto"/>
        <w:left w:val="none" w:sz="0" w:space="0" w:color="auto"/>
        <w:bottom w:val="none" w:sz="0" w:space="0" w:color="auto"/>
        <w:right w:val="none" w:sz="0" w:space="0" w:color="auto"/>
      </w:divBdr>
    </w:div>
    <w:div w:id="1216165501">
      <w:bodyDiv w:val="1"/>
      <w:marLeft w:val="0"/>
      <w:marRight w:val="0"/>
      <w:marTop w:val="0"/>
      <w:marBottom w:val="0"/>
      <w:divBdr>
        <w:top w:val="none" w:sz="0" w:space="0" w:color="auto"/>
        <w:left w:val="none" w:sz="0" w:space="0" w:color="auto"/>
        <w:bottom w:val="none" w:sz="0" w:space="0" w:color="auto"/>
        <w:right w:val="none" w:sz="0" w:space="0" w:color="auto"/>
      </w:divBdr>
    </w:div>
    <w:div w:id="1369404929">
      <w:bodyDiv w:val="1"/>
      <w:marLeft w:val="0"/>
      <w:marRight w:val="0"/>
      <w:marTop w:val="0"/>
      <w:marBottom w:val="0"/>
      <w:divBdr>
        <w:top w:val="none" w:sz="0" w:space="0" w:color="auto"/>
        <w:left w:val="none" w:sz="0" w:space="0" w:color="auto"/>
        <w:bottom w:val="none" w:sz="0" w:space="0" w:color="auto"/>
        <w:right w:val="none" w:sz="0" w:space="0" w:color="auto"/>
      </w:divBdr>
    </w:div>
    <w:div w:id="1404335381">
      <w:bodyDiv w:val="1"/>
      <w:marLeft w:val="0"/>
      <w:marRight w:val="0"/>
      <w:marTop w:val="0"/>
      <w:marBottom w:val="0"/>
      <w:divBdr>
        <w:top w:val="none" w:sz="0" w:space="0" w:color="auto"/>
        <w:left w:val="none" w:sz="0" w:space="0" w:color="auto"/>
        <w:bottom w:val="none" w:sz="0" w:space="0" w:color="auto"/>
        <w:right w:val="none" w:sz="0" w:space="0" w:color="auto"/>
      </w:divBdr>
    </w:div>
    <w:div w:id="1583182622">
      <w:bodyDiv w:val="1"/>
      <w:marLeft w:val="0"/>
      <w:marRight w:val="0"/>
      <w:marTop w:val="0"/>
      <w:marBottom w:val="0"/>
      <w:divBdr>
        <w:top w:val="none" w:sz="0" w:space="0" w:color="auto"/>
        <w:left w:val="none" w:sz="0" w:space="0" w:color="auto"/>
        <w:bottom w:val="none" w:sz="0" w:space="0" w:color="auto"/>
        <w:right w:val="none" w:sz="0" w:space="0" w:color="auto"/>
      </w:divBdr>
    </w:div>
    <w:div w:id="1635209836">
      <w:bodyDiv w:val="1"/>
      <w:marLeft w:val="0"/>
      <w:marRight w:val="0"/>
      <w:marTop w:val="0"/>
      <w:marBottom w:val="0"/>
      <w:divBdr>
        <w:top w:val="none" w:sz="0" w:space="0" w:color="auto"/>
        <w:left w:val="none" w:sz="0" w:space="0" w:color="auto"/>
        <w:bottom w:val="none" w:sz="0" w:space="0" w:color="auto"/>
        <w:right w:val="none" w:sz="0" w:space="0" w:color="auto"/>
      </w:divBdr>
    </w:div>
    <w:div w:id="1641381816">
      <w:bodyDiv w:val="1"/>
      <w:marLeft w:val="0"/>
      <w:marRight w:val="0"/>
      <w:marTop w:val="0"/>
      <w:marBottom w:val="0"/>
      <w:divBdr>
        <w:top w:val="none" w:sz="0" w:space="0" w:color="auto"/>
        <w:left w:val="none" w:sz="0" w:space="0" w:color="auto"/>
        <w:bottom w:val="none" w:sz="0" w:space="0" w:color="auto"/>
        <w:right w:val="none" w:sz="0" w:space="0" w:color="auto"/>
      </w:divBdr>
      <w:divsChild>
        <w:div w:id="1697848811">
          <w:marLeft w:val="0"/>
          <w:marRight w:val="0"/>
          <w:marTop w:val="0"/>
          <w:marBottom w:val="0"/>
          <w:divBdr>
            <w:top w:val="none" w:sz="0" w:space="0" w:color="auto"/>
            <w:left w:val="none" w:sz="0" w:space="0" w:color="auto"/>
            <w:bottom w:val="none" w:sz="0" w:space="0" w:color="auto"/>
            <w:right w:val="none" w:sz="0" w:space="0" w:color="auto"/>
          </w:divBdr>
          <w:divsChild>
            <w:div w:id="1745031122">
              <w:marLeft w:val="0"/>
              <w:marRight w:val="0"/>
              <w:marTop w:val="0"/>
              <w:marBottom w:val="0"/>
              <w:divBdr>
                <w:top w:val="none" w:sz="0" w:space="0" w:color="auto"/>
                <w:left w:val="none" w:sz="0" w:space="0" w:color="auto"/>
                <w:bottom w:val="none" w:sz="0" w:space="0" w:color="auto"/>
                <w:right w:val="none" w:sz="0" w:space="0" w:color="auto"/>
              </w:divBdr>
              <w:divsChild>
                <w:div w:id="584070581">
                  <w:marLeft w:val="0"/>
                  <w:marRight w:val="0"/>
                  <w:marTop w:val="0"/>
                  <w:marBottom w:val="0"/>
                  <w:divBdr>
                    <w:top w:val="none" w:sz="0" w:space="0" w:color="auto"/>
                    <w:left w:val="none" w:sz="0" w:space="0" w:color="auto"/>
                    <w:bottom w:val="none" w:sz="0" w:space="0" w:color="auto"/>
                    <w:right w:val="none" w:sz="0" w:space="0" w:color="auto"/>
                  </w:divBdr>
                  <w:divsChild>
                    <w:div w:id="234246708">
                      <w:marLeft w:val="0"/>
                      <w:marRight w:val="0"/>
                      <w:marTop w:val="0"/>
                      <w:marBottom w:val="0"/>
                      <w:divBdr>
                        <w:top w:val="none" w:sz="0" w:space="0" w:color="auto"/>
                        <w:left w:val="none" w:sz="0" w:space="0" w:color="auto"/>
                        <w:bottom w:val="none" w:sz="0" w:space="0" w:color="auto"/>
                        <w:right w:val="none" w:sz="0" w:space="0" w:color="auto"/>
                      </w:divBdr>
                      <w:divsChild>
                        <w:div w:id="1959140374">
                          <w:marLeft w:val="0"/>
                          <w:marRight w:val="0"/>
                          <w:marTop w:val="0"/>
                          <w:marBottom w:val="0"/>
                          <w:divBdr>
                            <w:top w:val="none" w:sz="0" w:space="0" w:color="auto"/>
                            <w:left w:val="none" w:sz="0" w:space="0" w:color="auto"/>
                            <w:bottom w:val="none" w:sz="0" w:space="0" w:color="auto"/>
                            <w:right w:val="none" w:sz="0" w:space="0" w:color="auto"/>
                          </w:divBdr>
                          <w:divsChild>
                            <w:div w:id="69935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782218">
      <w:bodyDiv w:val="1"/>
      <w:marLeft w:val="0"/>
      <w:marRight w:val="0"/>
      <w:marTop w:val="0"/>
      <w:marBottom w:val="0"/>
      <w:divBdr>
        <w:top w:val="none" w:sz="0" w:space="0" w:color="auto"/>
        <w:left w:val="none" w:sz="0" w:space="0" w:color="auto"/>
        <w:bottom w:val="none" w:sz="0" w:space="0" w:color="auto"/>
        <w:right w:val="none" w:sz="0" w:space="0" w:color="auto"/>
      </w:divBdr>
    </w:div>
    <w:div w:id="1753550050">
      <w:bodyDiv w:val="1"/>
      <w:marLeft w:val="0"/>
      <w:marRight w:val="0"/>
      <w:marTop w:val="0"/>
      <w:marBottom w:val="0"/>
      <w:divBdr>
        <w:top w:val="none" w:sz="0" w:space="0" w:color="auto"/>
        <w:left w:val="none" w:sz="0" w:space="0" w:color="auto"/>
        <w:bottom w:val="none" w:sz="0" w:space="0" w:color="auto"/>
        <w:right w:val="none" w:sz="0" w:space="0" w:color="auto"/>
      </w:divBdr>
    </w:div>
    <w:div w:id="1768303322">
      <w:bodyDiv w:val="1"/>
      <w:marLeft w:val="0"/>
      <w:marRight w:val="0"/>
      <w:marTop w:val="0"/>
      <w:marBottom w:val="0"/>
      <w:divBdr>
        <w:top w:val="none" w:sz="0" w:space="0" w:color="auto"/>
        <w:left w:val="none" w:sz="0" w:space="0" w:color="auto"/>
        <w:bottom w:val="none" w:sz="0" w:space="0" w:color="auto"/>
        <w:right w:val="none" w:sz="0" w:space="0" w:color="auto"/>
      </w:divBdr>
    </w:div>
    <w:div w:id="1770003967">
      <w:bodyDiv w:val="1"/>
      <w:marLeft w:val="0"/>
      <w:marRight w:val="0"/>
      <w:marTop w:val="0"/>
      <w:marBottom w:val="0"/>
      <w:divBdr>
        <w:top w:val="none" w:sz="0" w:space="0" w:color="auto"/>
        <w:left w:val="none" w:sz="0" w:space="0" w:color="auto"/>
        <w:bottom w:val="none" w:sz="0" w:space="0" w:color="auto"/>
        <w:right w:val="none" w:sz="0" w:space="0" w:color="auto"/>
      </w:divBdr>
    </w:div>
    <w:div w:id="1785538831">
      <w:bodyDiv w:val="1"/>
      <w:marLeft w:val="0"/>
      <w:marRight w:val="0"/>
      <w:marTop w:val="0"/>
      <w:marBottom w:val="0"/>
      <w:divBdr>
        <w:top w:val="none" w:sz="0" w:space="0" w:color="auto"/>
        <w:left w:val="none" w:sz="0" w:space="0" w:color="auto"/>
        <w:bottom w:val="none" w:sz="0" w:space="0" w:color="auto"/>
        <w:right w:val="none" w:sz="0" w:space="0" w:color="auto"/>
      </w:divBdr>
    </w:div>
    <w:div w:id="1816488618">
      <w:bodyDiv w:val="1"/>
      <w:marLeft w:val="0"/>
      <w:marRight w:val="0"/>
      <w:marTop w:val="0"/>
      <w:marBottom w:val="0"/>
      <w:divBdr>
        <w:top w:val="none" w:sz="0" w:space="0" w:color="auto"/>
        <w:left w:val="none" w:sz="0" w:space="0" w:color="auto"/>
        <w:bottom w:val="none" w:sz="0" w:space="0" w:color="auto"/>
        <w:right w:val="none" w:sz="0" w:space="0" w:color="auto"/>
      </w:divBdr>
      <w:divsChild>
        <w:div w:id="1275287397">
          <w:marLeft w:val="0"/>
          <w:marRight w:val="0"/>
          <w:marTop w:val="0"/>
          <w:marBottom w:val="0"/>
          <w:divBdr>
            <w:top w:val="none" w:sz="0" w:space="0" w:color="auto"/>
            <w:left w:val="none" w:sz="0" w:space="0" w:color="auto"/>
            <w:bottom w:val="none" w:sz="0" w:space="0" w:color="auto"/>
            <w:right w:val="none" w:sz="0" w:space="0" w:color="auto"/>
          </w:divBdr>
          <w:divsChild>
            <w:div w:id="546529986">
              <w:marLeft w:val="0"/>
              <w:marRight w:val="0"/>
              <w:marTop w:val="0"/>
              <w:marBottom w:val="0"/>
              <w:divBdr>
                <w:top w:val="none" w:sz="0" w:space="0" w:color="auto"/>
                <w:left w:val="none" w:sz="0" w:space="0" w:color="auto"/>
                <w:bottom w:val="none" w:sz="0" w:space="0" w:color="auto"/>
                <w:right w:val="none" w:sz="0" w:space="0" w:color="auto"/>
              </w:divBdr>
              <w:divsChild>
                <w:div w:id="196743694">
                  <w:marLeft w:val="0"/>
                  <w:marRight w:val="0"/>
                  <w:marTop w:val="100"/>
                  <w:marBottom w:val="100"/>
                  <w:divBdr>
                    <w:top w:val="none" w:sz="0" w:space="0" w:color="auto"/>
                    <w:left w:val="none" w:sz="0" w:space="0" w:color="auto"/>
                    <w:bottom w:val="none" w:sz="0" w:space="0" w:color="auto"/>
                    <w:right w:val="none" w:sz="0" w:space="0" w:color="auto"/>
                  </w:divBdr>
                  <w:divsChild>
                    <w:div w:id="729116186">
                      <w:marLeft w:val="0"/>
                      <w:marRight w:val="0"/>
                      <w:marTop w:val="0"/>
                      <w:marBottom w:val="0"/>
                      <w:divBdr>
                        <w:top w:val="none" w:sz="0" w:space="0" w:color="auto"/>
                        <w:left w:val="none" w:sz="0" w:space="0" w:color="auto"/>
                        <w:bottom w:val="none" w:sz="0" w:space="0" w:color="auto"/>
                        <w:right w:val="none" w:sz="0" w:space="0" w:color="auto"/>
                      </w:divBdr>
                      <w:divsChild>
                        <w:div w:id="1633904044">
                          <w:marLeft w:val="0"/>
                          <w:marRight w:val="0"/>
                          <w:marTop w:val="0"/>
                          <w:marBottom w:val="0"/>
                          <w:divBdr>
                            <w:top w:val="none" w:sz="0" w:space="0" w:color="auto"/>
                            <w:left w:val="none" w:sz="0" w:space="0" w:color="auto"/>
                            <w:bottom w:val="none" w:sz="0" w:space="0" w:color="auto"/>
                            <w:right w:val="none" w:sz="0" w:space="0" w:color="auto"/>
                          </w:divBdr>
                          <w:divsChild>
                            <w:div w:id="292565755">
                              <w:marLeft w:val="0"/>
                              <w:marRight w:val="0"/>
                              <w:marTop w:val="0"/>
                              <w:marBottom w:val="0"/>
                              <w:divBdr>
                                <w:top w:val="none" w:sz="0" w:space="0" w:color="auto"/>
                                <w:left w:val="none" w:sz="0" w:space="0" w:color="auto"/>
                                <w:bottom w:val="none" w:sz="0" w:space="0" w:color="auto"/>
                                <w:right w:val="none" w:sz="0" w:space="0" w:color="auto"/>
                              </w:divBdr>
                              <w:divsChild>
                                <w:div w:id="203710985">
                                  <w:marLeft w:val="0"/>
                                  <w:marRight w:val="0"/>
                                  <w:marTop w:val="0"/>
                                  <w:marBottom w:val="0"/>
                                  <w:divBdr>
                                    <w:top w:val="none" w:sz="0" w:space="0" w:color="auto"/>
                                    <w:left w:val="none" w:sz="0" w:space="0" w:color="auto"/>
                                    <w:bottom w:val="none" w:sz="0" w:space="0" w:color="auto"/>
                                    <w:right w:val="none" w:sz="0" w:space="0" w:color="auto"/>
                                  </w:divBdr>
                                  <w:divsChild>
                                    <w:div w:id="2067990982">
                                      <w:marLeft w:val="0"/>
                                      <w:marRight w:val="0"/>
                                      <w:marTop w:val="0"/>
                                      <w:marBottom w:val="0"/>
                                      <w:divBdr>
                                        <w:top w:val="none" w:sz="0" w:space="0" w:color="auto"/>
                                        <w:left w:val="none" w:sz="0" w:space="0" w:color="auto"/>
                                        <w:bottom w:val="none" w:sz="0" w:space="0" w:color="auto"/>
                                        <w:right w:val="none" w:sz="0" w:space="0" w:color="auto"/>
                                      </w:divBdr>
                                      <w:divsChild>
                                        <w:div w:id="1461804338">
                                          <w:marLeft w:val="0"/>
                                          <w:marRight w:val="0"/>
                                          <w:marTop w:val="0"/>
                                          <w:marBottom w:val="360"/>
                                          <w:divBdr>
                                            <w:top w:val="none" w:sz="0" w:space="0" w:color="auto"/>
                                            <w:left w:val="none" w:sz="0" w:space="0" w:color="auto"/>
                                            <w:bottom w:val="none" w:sz="0" w:space="0" w:color="auto"/>
                                            <w:right w:val="none" w:sz="0" w:space="0" w:color="auto"/>
                                          </w:divBdr>
                                          <w:divsChild>
                                            <w:div w:id="1411123793">
                                              <w:marLeft w:val="0"/>
                                              <w:marRight w:val="0"/>
                                              <w:marTop w:val="0"/>
                                              <w:marBottom w:val="0"/>
                                              <w:divBdr>
                                                <w:top w:val="none" w:sz="0" w:space="0" w:color="auto"/>
                                                <w:left w:val="none" w:sz="0" w:space="0" w:color="auto"/>
                                                <w:bottom w:val="none" w:sz="0" w:space="0" w:color="auto"/>
                                                <w:right w:val="none" w:sz="0" w:space="0" w:color="auto"/>
                                              </w:divBdr>
                                              <w:divsChild>
                                                <w:div w:id="921720376">
                                                  <w:marLeft w:val="0"/>
                                                  <w:marRight w:val="0"/>
                                                  <w:marTop w:val="0"/>
                                                  <w:marBottom w:val="0"/>
                                                  <w:divBdr>
                                                    <w:top w:val="none" w:sz="0" w:space="0" w:color="auto"/>
                                                    <w:left w:val="none" w:sz="0" w:space="0" w:color="auto"/>
                                                    <w:bottom w:val="none" w:sz="0" w:space="0" w:color="auto"/>
                                                    <w:right w:val="none" w:sz="0" w:space="0" w:color="auto"/>
                                                  </w:divBdr>
                                                  <w:divsChild>
                                                    <w:div w:id="545487255">
                                                      <w:marLeft w:val="5370"/>
                                                      <w:marRight w:val="0"/>
                                                      <w:marTop w:val="120"/>
                                                      <w:marBottom w:val="0"/>
                                                      <w:divBdr>
                                                        <w:top w:val="none" w:sz="0" w:space="0" w:color="auto"/>
                                                        <w:left w:val="none" w:sz="0" w:space="0" w:color="auto"/>
                                                        <w:bottom w:val="none" w:sz="0" w:space="0" w:color="auto"/>
                                                        <w:right w:val="none" w:sz="0" w:space="0" w:color="auto"/>
                                                      </w:divBdr>
                                                      <w:divsChild>
                                                        <w:div w:id="35959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1061267">
      <w:bodyDiv w:val="1"/>
      <w:marLeft w:val="0"/>
      <w:marRight w:val="0"/>
      <w:marTop w:val="0"/>
      <w:marBottom w:val="0"/>
      <w:divBdr>
        <w:top w:val="none" w:sz="0" w:space="0" w:color="auto"/>
        <w:left w:val="none" w:sz="0" w:space="0" w:color="auto"/>
        <w:bottom w:val="none" w:sz="0" w:space="0" w:color="auto"/>
        <w:right w:val="none" w:sz="0" w:space="0" w:color="auto"/>
      </w:divBdr>
    </w:div>
    <w:div w:id="2003118502">
      <w:bodyDiv w:val="1"/>
      <w:marLeft w:val="0"/>
      <w:marRight w:val="0"/>
      <w:marTop w:val="0"/>
      <w:marBottom w:val="0"/>
      <w:divBdr>
        <w:top w:val="none" w:sz="0" w:space="0" w:color="auto"/>
        <w:left w:val="none" w:sz="0" w:space="0" w:color="auto"/>
        <w:bottom w:val="none" w:sz="0" w:space="0" w:color="auto"/>
        <w:right w:val="none" w:sz="0" w:space="0" w:color="auto"/>
      </w:divBdr>
    </w:div>
    <w:div w:id="2078555696">
      <w:bodyDiv w:val="1"/>
      <w:marLeft w:val="0"/>
      <w:marRight w:val="0"/>
      <w:marTop w:val="0"/>
      <w:marBottom w:val="0"/>
      <w:divBdr>
        <w:top w:val="none" w:sz="0" w:space="0" w:color="auto"/>
        <w:left w:val="none" w:sz="0" w:space="0" w:color="auto"/>
        <w:bottom w:val="none" w:sz="0" w:space="0" w:color="auto"/>
        <w:right w:val="none" w:sz="0" w:space="0" w:color="auto"/>
      </w:divBdr>
    </w:div>
    <w:div w:id="2092968168">
      <w:bodyDiv w:val="1"/>
      <w:marLeft w:val="0"/>
      <w:marRight w:val="0"/>
      <w:marTop w:val="0"/>
      <w:marBottom w:val="0"/>
      <w:divBdr>
        <w:top w:val="none" w:sz="0" w:space="0" w:color="auto"/>
        <w:left w:val="none" w:sz="0" w:space="0" w:color="auto"/>
        <w:bottom w:val="none" w:sz="0" w:space="0" w:color="auto"/>
        <w:right w:val="none" w:sz="0" w:space="0" w:color="auto"/>
      </w:divBdr>
    </w:div>
    <w:div w:id="2142730026">
      <w:bodyDiv w:val="1"/>
      <w:marLeft w:val="0"/>
      <w:marRight w:val="0"/>
      <w:marTop w:val="0"/>
      <w:marBottom w:val="0"/>
      <w:divBdr>
        <w:top w:val="none" w:sz="0" w:space="0" w:color="auto"/>
        <w:left w:val="none" w:sz="0" w:space="0" w:color="auto"/>
        <w:bottom w:val="none" w:sz="0" w:space="0" w:color="auto"/>
        <w:right w:val="none" w:sz="0" w:space="0" w:color="auto"/>
      </w:divBdr>
    </w:div>
    <w:div w:id="214368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cc.gov.au/regulated-infrastructure/communications/industry-reform/telstras-migration-plan/variation-request-submitted-multi-technology-nbn-revised-definitive-agreemen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telstrawholesale.com.au/download/document/rollout-list.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bnco.com.au/corporate-information/about-nbn-co.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elstrawholesale.com.au/nbn/exemptions/index.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nbnco.com.au/sell-nbn-services/supply-agreements/wba2.html"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bnco.com.au/sell-nbn-services/special-access-undertaking-sau.html"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DBCDE Corporate Colours">
      <a:dk1>
        <a:srgbClr val="00728F"/>
      </a:dk1>
      <a:lt1>
        <a:sysClr val="window" lastClr="FFFFFF"/>
      </a:lt1>
      <a:dk2>
        <a:srgbClr val="B7DDE8"/>
      </a:dk2>
      <a:lt2>
        <a:srgbClr val="DBEEF3"/>
      </a:lt2>
      <a:accent1>
        <a:srgbClr val="00728F"/>
      </a:accent1>
      <a:accent2>
        <a:srgbClr val="B7DDE8"/>
      </a:accent2>
      <a:accent3>
        <a:srgbClr val="DBEEF3"/>
      </a:accent3>
      <a:accent4>
        <a:srgbClr val="92CDDC"/>
      </a:accent4>
      <a:accent5>
        <a:srgbClr val="31859B"/>
      </a:accent5>
      <a:accent6>
        <a:srgbClr val="64B8CE"/>
      </a:accent6>
      <a:hlink>
        <a:srgbClr val="0000FF"/>
      </a:hlink>
      <a:folHlink>
        <a:srgbClr val="800080"/>
      </a:folHlink>
    </a:clrScheme>
    <a:fontScheme name="DBCDE Corporate Fonts">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imUDF_String_39 xmlns="4597da67-68a3-4e9d-8803-ba3e1787ab6c" xsi:nil="true"/>
    <TaxCatchAll xmlns="4597da67-68a3-4e9d-8803-ba3e1787ab6c"/>
    <me786d0e3c9949dc83d6a9826d3f7afb xmlns="4597da67-68a3-4e9d-8803-ba3e1787ab6c">
      <Terms xmlns="http://schemas.microsoft.com/office/infopath/2007/PartnerControls"/>
    </me786d0e3c9949dc83d6a9826d3f7afb>
    <e65fcc6ef396426b9c231bd6b3bc54de xmlns="4597da67-68a3-4e9d-8803-ba3e1787ab6c">
      <Terms xmlns="http://schemas.microsoft.com/office/infopath/2007/PartnerControls"/>
    </e65fcc6ef396426b9c231bd6b3bc54de>
    <trimRootDocACLCanUpdateDocument xmlns="4597da67-68a3-4e9d-8803-ba3e1787ab6c">Inherit</trimRootDocACLCanUpdateDocument>
    <TrimUDF_String_40 xmlns="4597da67-68a3-4e9d-8803-ba3e1787ab6c" xsi:nil="true"/>
    <l30152c64bc5409cb0d6af5fc7998329 xmlns="4597da67-68a3-4e9d-8803-ba3e1787ab6c">
      <Terms xmlns="http://schemas.microsoft.com/office/infopath/2007/PartnerControls"/>
    </l30152c64bc5409cb0d6af5fc7998329>
    <dd9c7627a75f4720a6ccce58a35e4d75 xmlns="4597da67-68a3-4e9d-8803-ba3e1787ab6c">
      <Terms xmlns="http://schemas.microsoft.com/office/infopath/2007/PartnerControls"/>
    </dd9c7627a75f4720a6ccce58a35e4d75>
    <hab31d4ae2264d5c8e77fd86c07e7635 xmlns="4597da67-68a3-4e9d-8803-ba3e1787ab6c">
      <Terms xmlns="http://schemas.microsoft.com/office/infopath/2007/PartnerControls"/>
    </hab31d4ae2264d5c8e77fd86c07e7635>
    <trimRootDocSecurityCaveats xmlns="4597da67-68a3-4e9d-8803-ba3e1787ab6c">
      <Value>Departmental Staff</Value>
    </trimRootDocSecurityCaveats>
    <trimRootDocACLCanModifyAccess xmlns="4597da67-68a3-4e9d-8803-ba3e1787ab6c">Inherit</trimRootDocACLCanModifyAccess>
    <l7f7762656034748af4098221ba10b64 xmlns="4597da67-68a3-4e9d-8803-ba3e1787ab6c">
      <Terms xmlns="http://schemas.microsoft.com/office/infopath/2007/PartnerControls"/>
    </l7f7762656034748af4098221ba10b64>
    <a26f7cb41fae41ebb6c8e377b7c30d71 xmlns="4597da67-68a3-4e9d-8803-ba3e1787ab6c">
      <Terms xmlns="http://schemas.microsoft.com/office/infopath/2007/PartnerControls"/>
    </a26f7cb41fae41ebb6c8e377b7c30d71>
    <e74c999a0f514bafbaad1ae53c56eac2 xmlns="4597da67-68a3-4e9d-8803-ba3e1787ab6c">
      <Terms xmlns="http://schemas.microsoft.com/office/infopath/2007/PartnerControls"/>
    </e74c999a0f514bafbaad1ae53c56eac2>
    <trimRootDocURI xmlns="4597da67-68a3-4e9d-8803-ba3e1787ab6c">4003265</trimRootDocURI>
    <trimRootDocNotes xmlns="4597da67-68a3-4e9d-8803-ba3e1787ab6c" xsi:nil="true"/>
    <TrimUDF_String_696 xmlns="4597da67-68a3-4e9d-8803-ba3e1787ab6c" xsi:nil="true"/>
    <trimRootDocACLCanContributeDocuments xmlns="4597da67-68a3-4e9d-8803-ba3e1787ab6c">Inherit</trimRootDocACLCanContributeDocuments>
    <TrimUDF_Text_698 xmlns="4597da67-68a3-4e9d-8803-ba3e1787ab6c" xsi:nil="true"/>
    <ie56bdfdc4a44ef997c05b4ed8c67594 xmlns="4597da67-68a3-4e9d-8803-ba3e1787ab6c">
      <Terms xmlns="http://schemas.microsoft.com/office/infopath/2007/PartnerControls"/>
    </ie56bdfdc4a44ef997c05b4ed8c67594>
    <trimRootDocParentURI xmlns="4597da67-68a3-4e9d-8803-ba3e1787ab6c" xsi:nil="true"/>
    <trimRootDocACLCanUpdateMetadata xmlns="4597da67-68a3-4e9d-8803-ba3e1787ab6c">Inherit</trimRootDocACLCanUpdateMetadata>
    <trimRootDocSecurityLevel xmlns="4597da67-68a3-4e9d-8803-ba3e1787ab6c">For Official Use Only</trimRootDocSecurityLevel>
    <trimRootDocACLCanViewMetadata xmlns="4597da67-68a3-4e9d-8803-ba3e1787ab6c">Inherit</trimRootDocACLCanViewMetadata>
    <TrimUDF_Text_706 xmlns="4597da67-68a3-4e9d-8803-ba3e1787ab6c" xsi:nil="true"/>
    <trimRootDocACLCanViewDocument xmlns="4597da67-68a3-4e9d-8803-ba3e1787ab6c">Inherit</trimRootDocACLCanViewDocument>
    <c1aa94c1bcce43cc9138ccb9c7bf6e69 xmlns="4597da67-68a3-4e9d-8803-ba3e1787ab6c">
      <Terms xmlns="http://schemas.microsoft.com/office/infopath/2007/PartnerControls"/>
    </c1aa94c1bcce43cc9138ccb9c7bf6e69>
  </documentManagement>
</p:properties>
</file>

<file path=customXml/item2.xml><?xml version="1.0" encoding="utf-8"?>
<ct:contentTypeSchema xmlns:ct="http://schemas.microsoft.com/office/2006/metadata/contentType" xmlns:ma="http://schemas.microsoft.com/office/2006/metadata/properties/metaAttributes" ct:_="" ma:_="" ma:contentTypeName="DEPT DOCUMENT" ma:contentTypeID="0x010100407620DDFF47524F86BCF55EDD3946430100C47CCEDD8332D346A751DCB3EAB153C7" ma:contentTypeVersion="18" ma:contentTypeDescription="106" ma:contentTypeScope="" ma:versionID="e53de1611f19f15e5eaec4b75abc104c">
  <xsd:schema xmlns:xsd="http://www.w3.org/2001/XMLSchema" xmlns:xs="http://www.w3.org/2001/XMLSchema" xmlns:p="http://schemas.microsoft.com/office/2006/metadata/properties" xmlns:ns2="4597da67-68a3-4e9d-8803-ba3e1787ab6c" targetNamespace="http://schemas.microsoft.com/office/2006/metadata/properties" ma:root="true" ma:fieldsID="7565b05217e68dd819d60f5503df44cc" ns2:_="">
    <xsd:import namespace="4597da67-68a3-4e9d-8803-ba3e1787ab6c"/>
    <xsd:element name="properties">
      <xsd:complexType>
        <xsd:sequence>
          <xsd:element name="documentManagement">
            <xsd:complexType>
              <xsd:all>
                <xsd:element ref="ns2:trimRootDocURI" minOccurs="0"/>
                <xsd:element ref="ns2:trimRootDocParentURI" minOccurs="0"/>
                <xsd:element ref="ns2:trimRootDocSecurityLevel" minOccurs="0"/>
                <xsd:element ref="ns2:trimRootDocSecurityCaveats" minOccurs="0"/>
                <xsd:element ref="ns2:trimRootDocACLCanViewDocument" minOccurs="0"/>
                <xsd:element ref="ns2:trimRootDocACLCanViewMetadata" minOccurs="0"/>
                <xsd:element ref="ns2:trimRootDocACLCanUpdateDocument" minOccurs="0"/>
                <xsd:element ref="ns2:trimRootDocACLCanUpdateMetadata" minOccurs="0"/>
                <xsd:element ref="ns2:trimRootDocACLCanModifyAccess" minOccurs="0"/>
                <xsd:element ref="ns2:trimRootDocNotes" minOccurs="0"/>
                <xsd:element ref="ns2:hab31d4ae2264d5c8e77fd86c07e7635" minOccurs="0"/>
                <xsd:element ref="ns2:c1aa94c1bcce43cc9138ccb9c7bf6e69" minOccurs="0"/>
                <xsd:element ref="ns2:e65fcc6ef396426b9c231bd6b3bc54de" minOccurs="0"/>
                <xsd:element ref="ns2:dd9c7627a75f4720a6ccce58a35e4d75" minOccurs="0"/>
                <xsd:element ref="ns2:trimRootDocACLCanContributeDocuments" minOccurs="0"/>
                <xsd:element ref="ns2:l30152c64bc5409cb0d6af5fc7998329" minOccurs="0"/>
                <xsd:element ref="ns2:TaxCatchAll" minOccurs="0"/>
                <xsd:element ref="ns2:ie56bdfdc4a44ef997c05b4ed8c67594" minOccurs="0"/>
                <xsd:element ref="ns2:TaxCatchAllLabel" minOccurs="0"/>
                <xsd:element ref="ns2:me786d0e3c9949dc83d6a9826d3f7afb" minOccurs="0"/>
                <xsd:element ref="ns2:e74c999a0f514bafbaad1ae53c56eac2" minOccurs="0"/>
                <xsd:element ref="ns2:l7f7762656034748af4098221ba10b64" minOccurs="0"/>
                <xsd:element ref="ns2:a26f7cb41fae41ebb6c8e377b7c30d71" minOccurs="0"/>
                <xsd:element ref="ns2:TrimUDF_String_39" minOccurs="0"/>
                <xsd:element ref="ns2:TrimUDF_String_40" minOccurs="0"/>
                <xsd:element ref="ns2:TrimUDF_String_696" minOccurs="0"/>
                <xsd:element ref="ns2:TrimUDF_Text_698" minOccurs="0"/>
                <xsd:element ref="ns2:TrimUDF_Text_7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7da67-68a3-4e9d-8803-ba3e1787ab6c" elementFormDefault="qualified">
    <xsd:import namespace="http://schemas.microsoft.com/office/2006/documentManagement/types"/>
    <xsd:import namespace="http://schemas.microsoft.com/office/infopath/2007/PartnerControls"/>
    <xsd:element name="trimRootDocURI" ma:index="2" nillable="true" ma:displayName="URI" ma:hidden="true" ma:internalName="trimRootDocURI" ma:readOnly="false">
      <xsd:simpleType>
        <xsd:restriction base="dms:Text">
          <xsd:maxLength value="255"/>
        </xsd:restriction>
      </xsd:simpleType>
    </xsd:element>
    <xsd:element name="trimRootDocParentURI" ma:index="3" nillable="true" ma:displayName="Parent URI" ma:internalName="trimRootDocParentURI" ma:readOnly="false">
      <xsd:simpleType>
        <xsd:restriction base="dms:Number"/>
      </xsd:simpleType>
    </xsd:element>
    <xsd:element name="trimRootDocSecurityLevel" ma:index="4" nillable="true" ma:displayName="Security Level" ma:default="For Official Use Only" ma:format="Dropdown" ma:internalName="trimRootDocSecurityLevel" ma:readOnly="false">
      <xsd:simpleType>
        <xsd:restriction base="dms:Choice">
          <xsd:enumeration value="For Official Use Only"/>
          <xsd:enumeration value="Protected"/>
          <xsd:enumeration value="Confidential"/>
          <xsd:enumeration value="Secret"/>
          <xsd:enumeration value="Top Secret"/>
        </xsd:restriction>
      </xsd:simpleType>
    </xsd:element>
    <xsd:element name="trimRootDocSecurityCaveats" ma:index="5" nillable="true" ma:displayName="Security Caveats" ma:default="Departmental Staff" ma:internalName="trimRootDocSecurityCaveats" ma:readOnly="false">
      <xsd:complexType>
        <xsd:complexContent>
          <xsd:extension base="dms:MultiChoice">
            <xsd:sequence>
              <xsd:element name="Value" maxOccurs="unbounded" minOccurs="0" nillable="true">
                <xsd:simpleType>
                  <xsd:restriction base="dms:Choice">
                    <xsd:enumeration value="Commercial"/>
                    <xsd:enumeration value="Departmental Staff"/>
                    <xsd:enumeration value="For-Official-Use-Only"/>
                    <xsd:enumeration value="For-Official-Use-Only: Commercial"/>
                    <xsd:enumeration value="For-Official-Use-Only: Legal"/>
                    <xsd:enumeration value="For-Official-Use-Only: Staff"/>
                    <xsd:enumeration value="Sensitive"/>
                    <xsd:enumeration value="Sensitive: Cabinet"/>
                    <xsd:enumeration value="Sensitive: Legal"/>
                    <xsd:enumeration value="Sensitive: Personal"/>
                    <xsd:enumeration value="Admin"/>
                  </xsd:restriction>
                </xsd:simpleType>
              </xsd:element>
            </xsd:sequence>
          </xsd:extension>
        </xsd:complexContent>
      </xsd:complexType>
    </xsd:element>
    <xsd:element name="trimRootDocACLCanViewDocument" ma:index="6" nillable="true" ma:displayName="Can View Document" ma:format="RadioButtons" ma:internalName="trimRootDocACLCanViewDocument" ma:readOnly="false">
      <xsd:simpleType>
        <xsd:restriction base="dms:Choice">
          <xsd:enumeration value="Inherit"/>
          <xsd:enumeration value="Everyone"/>
          <xsd:enumeration value="Custom"/>
        </xsd:restriction>
      </xsd:simpleType>
    </xsd:element>
    <xsd:element name="trimRootDocACLCanViewMetadata" ma:index="8" nillable="true" ma:displayName="Can View Metadata" ma:format="RadioButtons" ma:internalName="trimRootDocACLCanViewMetadata" ma:readOnly="false">
      <xsd:simpleType>
        <xsd:restriction base="dms:Choice">
          <xsd:enumeration value="Inherit"/>
          <xsd:enumeration value="Everyone"/>
          <xsd:enumeration value="Custom"/>
        </xsd:restriction>
      </xsd:simpleType>
    </xsd:element>
    <xsd:element name="trimRootDocACLCanUpdateDocument" ma:index="10" nillable="true" ma:displayName="Can Update Document" ma:format="RadioButtons" ma:internalName="trimRootDocACLCanUpdateDocument" ma:readOnly="false">
      <xsd:simpleType>
        <xsd:restriction base="dms:Choice">
          <xsd:enumeration value="Inherit"/>
          <xsd:enumeration value="Everyone"/>
          <xsd:enumeration value="Custom"/>
        </xsd:restriction>
      </xsd:simpleType>
    </xsd:element>
    <xsd:element name="trimRootDocACLCanUpdateMetadata" ma:index="12" nillable="true" ma:displayName="Can Update Metadata" ma:format="RadioButtons" ma:internalName="trimRootDocACLCanUpdateMetadata" ma:readOnly="false">
      <xsd:simpleType>
        <xsd:restriction base="dms:Choice">
          <xsd:enumeration value="Inherit"/>
          <xsd:enumeration value="Everyone"/>
          <xsd:enumeration value="Custom"/>
        </xsd:restriction>
      </xsd:simpleType>
    </xsd:element>
    <xsd:element name="trimRootDocACLCanModifyAccess" ma:index="14" nillable="true" ma:displayName="Can Modify Access" ma:format="RadioButtons" ma:internalName="trimRootDocACLCanModifyAccess" ma:readOnly="false">
      <xsd:simpleType>
        <xsd:restriction base="dms:Choice">
          <xsd:enumeration value="Inherit"/>
          <xsd:enumeration value="Everyone"/>
          <xsd:enumeration value="Custom"/>
        </xsd:restriction>
      </xsd:simpleType>
    </xsd:element>
    <xsd:element name="trimRootDocNotes" ma:index="16" nillable="true" ma:displayName="Notes" ma:internalName="trimRootDocNotes" ma:readOnly="false">
      <xsd:simpleType>
        <xsd:restriction base="dms:Note"/>
      </xsd:simpleType>
    </xsd:element>
    <xsd:element name="hab31d4ae2264d5c8e77fd86c07e7635" ma:index="18" nillable="true" ma:taxonomy="true" ma:internalName="hab31d4ae2264d5c8e77fd86c07e7635" ma:taxonomyFieldName="trimRootDocACLCanViewMetadata_List" ma:displayName="Can View Metadata List" ma:readOnly="false" ma:fieldId="{1ab31d4a-e226-4d5c-8e77-fd86c07e763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c1aa94c1bcce43cc9138ccb9c7bf6e69" ma:index="21" nillable="true" ma:taxonomy="true" ma:internalName="c1aa94c1bcce43cc9138ccb9c7bf6e69" ma:taxonomyFieldName="trimRootDocACLCanUpdateDocument_List" ma:displayName="Can Update Document List" ma:readOnly="false" ma:fieldId="{c1aa94c1-bcce-43cc-9138-ccb9c7bf6e6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65fcc6ef396426b9c231bd6b3bc54de" ma:index="24" nillable="true" ma:taxonomy="true" ma:internalName="e65fcc6ef396426b9c231bd6b3bc54de" ma:taxonomyFieldName="trimRootDocACLCanUpdateMetadata_List" ma:displayName="Can Update Metadata List" ma:readOnly="false" ma:fieldId="{e65fcc6e-f396-426b-9c23-1bd6b3bc54de}"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dd9c7627a75f4720a6ccce58a35e4d75" ma:index="25" nillable="true" ma:taxonomy="true" ma:internalName="dd9c7627a75f4720a6ccce58a35e4d75" ma:taxonomyFieldName="trimRootDocACLCanViewDocument_List" ma:displayName="Can View Document List" ma:readOnly="false" ma:fieldId="{dd9c7627-a75f-4720-a6cc-ce58a35e4d7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ContributeDocuments" ma:index="26" nillable="true" ma:displayName="Can Contribute Content" ma:format="RadioButtons" ma:hidden="true" ma:internalName="trimRootDocACLCanContributeDocuments" ma:readOnly="false">
      <xsd:simpleType>
        <xsd:restriction base="dms:Choice">
          <xsd:enumeration value="Inherit"/>
          <xsd:enumeration value="Everyone"/>
          <xsd:enumeration value="Custom"/>
        </xsd:restriction>
      </xsd:simpleType>
    </xsd:element>
    <xsd:element name="l30152c64bc5409cb0d6af5fc7998329" ma:index="27" nillable="true" ma:taxonomy="true" ma:internalName="l30152c64bc5409cb0d6af5fc7998329" ma:taxonomyFieldName="trimRootDocACLCanContributeDocuments_List" ma:displayName="Can Contribute Content List" ma:readOnly="false" ma:default="" ma:fieldId="{530152c6-4bc5-409c-b0d6-af5fc799832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 ma:index="29" nillable="true" ma:displayName="Taxonomy Catch All Column" ma:hidden="true" ma:list="{e1313e33-0c45-43da-8861-564a4ba3a667}" ma:internalName="TaxCatchAll" ma:showField="CatchAllData"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ie56bdfdc4a44ef997c05b4ed8c67594" ma:index="30" nillable="true" ma:taxonomy="true" ma:internalName="ie56bdfdc4a44ef997c05b4ed8c67594" ma:taxonomyFieldName="trimRootDocACLCanModifyAccess_List" ma:displayName="Can Modify Access List" ma:readOnly="false" ma:fieldId="{2e56bdfd-c4a4-4ef9-97c0-5b4ed8c67594}"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Label" ma:index="32" nillable="true" ma:displayName="Taxonomy Catch All Column1" ma:hidden="true" ma:list="{e1313e33-0c45-43da-8861-564a4ba3a667}" ma:internalName="TaxCatchAllLabel" ma:readOnly="true" ma:showField="CatchAllDataLabel"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me786d0e3c9949dc83d6a9826d3f7afb" ma:index="33" nillable="true" ma:taxonomy="true" ma:internalName="me786d0e3c9949dc83d6a9826d3f7afb" ma:taxonomyFieldName="trimRootDocOwnerLocation" ma:displayName="Owner" ma:readOnly="false" ma:fieldId="{6e786d0e-3c99-49dc-83d6-a9826d3f7afb}"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74c999a0f514bafbaad1ae53c56eac2" ma:index="35" nillable="true" ma:taxonomy="true" ma:internalName="e74c999a0f514bafbaad1ae53c56eac2" ma:taxonomyFieldName="trimRootDocOtherContactLocation" ma:displayName="Other Contact" ma:readOnly="false" ma:default="" ma:fieldId="{e74c999a-0f51-4baf-baad-1ae53c56eac2}"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l7f7762656034748af4098221ba10b64" ma:index="37" nillable="true" ma:taxonomy="true" ma:internalName="l7f7762656034748af4098221ba10b64" ma:taxonomyFieldName="trimRootDocAssigneeLocation" ma:displayName="Assignee" ma:readOnly="false" ma:default="" ma:fieldId="{57f77626-5603-4748-af40-98221ba10b64}"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a26f7cb41fae41ebb6c8e377b7c30d71" ma:index="39" nillable="true" ma:taxonomy="true" ma:internalName="a26f7cb41fae41ebb6c8e377b7c30d71" ma:taxonomyFieldName="trimRootDocClassification" ma:displayName="Classification" ma:readOnly="false" ma:default="" ma:fieldId="{a26f7cb4-1fae-41eb-b6c8-e377b7c30d71}" ma:sspId="2f9937d8-ded5-4646-b9c0-07a4c210d204" ma:termSetId="f9a750e0-e20a-43c2-89a6-4c381f79f1c1" ma:anchorId="00000000-0000-0000-0000-000000000000" ma:open="false" ma:isKeyword="false">
      <xsd:complexType>
        <xsd:sequence>
          <xsd:element ref="pc:Terms" minOccurs="0" maxOccurs="1"/>
        </xsd:sequence>
      </xsd:complexType>
    </xsd:element>
    <xsd:element name="TrimUDF_String_39" ma:index="41" nillable="true" ma:displayName="Document Type" ma:format="Dropdown" ma:hidden="true" ma:internalName="TrimUDF_String_39" ma:readOnly="false">
      <xsd:simpleType>
        <xsd:restriction base="dms:Choice">
          <xsd:enumeration value="COMMUNITY RELATIONS"/>
          <xsd:enumeration value="EQUIPMENT, STORES AND VECHICLES"/>
          <xsd:enumeration value="FINANCIAL MANAGEMENT"/>
          <xsd:enumeration value="GOVERNMENT AND IT &amp; T"/>
          <xsd:enumeration value="GOVERNMENT RELATIONS"/>
          <xsd:enumeration value="INDUSTRY DEVELOPMENT"/>
          <xsd:enumeration value="INFORMATION MANAGEMENT"/>
          <xsd:enumeration value="INFORMATION SYSTEMS"/>
          <xsd:enumeration value="LEGAL SERVICES"/>
          <xsd:enumeration value="PROPERTY MANAGEMENT"/>
          <xsd:enumeration value="RESEARCH AND STATISTICS"/>
          <xsd:enumeration value="STRATEGIC MANAGEMENT"/>
        </xsd:restriction>
      </xsd:simpleType>
    </xsd:element>
    <xsd:element name="TrimUDF_String_40" ma:index="42" nillable="true" ma:displayName="Classification 2" ma:format="Dropdown" ma:hidden="true" ma:internalName="TrimUDF_String_40" ma:readOnly="false">
      <xsd:simpleType>
        <xsd:restriction base="dms:Choice">
          <xsd:enumeration value="ACCESS AND EQUITY"/>
          <xsd:enumeration value="ACQUISITION AND DISPOSAL"/>
          <xsd:enumeration value="ASSET MANAGEMENT"/>
          <xsd:enumeration value="AUDITS"/>
          <xsd:enumeration value="BUDGETING"/>
          <xsd:enumeration value="BUSINESS IMPROVEMENT"/>
          <xsd:enumeration value="INTERGOVERNMENT LIAISON"/>
          <xsd:enumeration value="LEASING"/>
          <xsd:enumeration value="LEGAL ADVICE"/>
          <xsd:enumeration value="MAINTENANCE"/>
          <xsd:enumeration value="MEDIA RELATIONS"/>
          <xsd:enumeration value="PRIVACY"/>
          <xsd:enumeration value="PROJECTS"/>
          <xsd:enumeration value="PUBLIC REACTION"/>
          <xsd:enumeration value="REVIEWS"/>
          <xsd:enumeration value="RISK MANAGEMENT"/>
          <xsd:enumeration value="SECURITY"/>
          <xsd:enumeration value="STATISTICS"/>
        </xsd:restriction>
      </xsd:simpleType>
    </xsd:element>
    <xsd:element name="TrimUDF_String_696" ma:index="43" nillable="true" ma:displayName="Delete" ma:format="Dropdown" ma:hidden="true" ma:internalName="TrimUDF_String_696" ma:readOnly="false">
      <xsd:simpleType>
        <xsd:restriction base="dms:Choice">
          <xsd:enumeration value="Copy"/>
          <xsd:enumeration value="Draft"/>
          <xsd:enumeration value="Personal"/>
          <xsd:enumeration value="Published"/>
          <xsd:enumeration value="Transitory"/>
          <xsd:enumeration value="Working Paper"/>
        </xsd:restriction>
      </xsd:simpleType>
    </xsd:element>
    <xsd:element name="TrimUDF_Text_698" ma:index="44" nillable="true" ma:displayName="IMS Display" ma:hidden="true" ma:internalName="TrimUDF_Text_698" ma:readOnly="false">
      <xsd:simpleType>
        <xsd:restriction base="dms:Note"/>
      </xsd:simpleType>
    </xsd:element>
    <xsd:element name="TrimUDF_Text_706" ma:index="45" nillable="true" ma:displayName="Published" ma:hidden="true" ma:internalName="TrimUDF_Text_706"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0BCE3-4AE9-451F-AABC-9D6FFE9FDB35}">
  <ds:schemaRefs>
    <ds:schemaRef ds:uri="http://purl.org/dc/dcmitype/"/>
    <ds:schemaRef ds:uri="http://schemas.microsoft.com/office/2006/metadata/properties"/>
    <ds:schemaRef ds:uri="http://purl.org/dc/elements/1.1/"/>
    <ds:schemaRef ds:uri="http://schemas.microsoft.com/office/infopath/2007/PartnerControls"/>
    <ds:schemaRef ds:uri="http://schemas.microsoft.com/office/2006/documentManagement/types"/>
    <ds:schemaRef ds:uri="4597da67-68a3-4e9d-8803-ba3e1787ab6c"/>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59396B4-13BD-48BE-81D0-3D611705A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7da67-68a3-4e9d-8803-ba3e1787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176034-9C51-438B-A0CD-8AD32B8BE0B1}">
  <ds:schemaRefs>
    <ds:schemaRef ds:uri="http://schemas.microsoft.com/sharepoint/v3/contenttype/forms"/>
  </ds:schemaRefs>
</ds:datastoreItem>
</file>

<file path=customXml/itemProps4.xml><?xml version="1.0" encoding="utf-8"?>
<ds:datastoreItem xmlns:ds="http://schemas.openxmlformats.org/officeDocument/2006/customXml" ds:itemID="{E6DC6887-1FE4-4131-93A5-D85AFB81C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31DC565B.dotm</Template>
  <TotalTime>7</TotalTime>
  <Pages>35</Pages>
  <Words>14092</Words>
  <Characters>80330</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MAP - Part B - Framework - FINAL.docx</vt:lpstr>
    </vt:vector>
  </TitlesOfParts>
  <Company>DBCDE</Company>
  <LinksUpToDate>false</LinksUpToDate>
  <CharactersWithSpaces>94234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 - Part B - Framework - FINAL.docx</dc:title>
  <dc:subject>Triple, Zero, review, discussion, paper</dc:subject>
  <dc:creator>Matthew Holmes</dc:creator>
  <cp:lastModifiedBy>Carnovale, Nick</cp:lastModifiedBy>
  <cp:revision>3</cp:revision>
  <cp:lastPrinted>2015-07-30T02:16:00Z</cp:lastPrinted>
  <dcterms:created xsi:type="dcterms:W3CDTF">2015-07-24T01:13:00Z</dcterms:created>
  <dcterms:modified xsi:type="dcterms:W3CDTF">2015-07-30T02:22:00Z</dcterms:modified>
  <cp:category>Other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DEPT DOCUMENT</vt:lpwstr>
  </property>
  <property fmtid="{D5CDD505-2E9C-101B-9397-08002B2CF9AE}" pid="3" name="ContentTypeId">
    <vt:lpwstr>0x010100407620DDFF47524F86BCF55EDD3946430100C47CCEDD8332D346A751DCB3EAB153C7</vt:lpwstr>
  </property>
  <property fmtid="{D5CDD505-2E9C-101B-9397-08002B2CF9AE}" pid="4" name="trimRootDocClassification">
    <vt:lpwstr/>
  </property>
  <property fmtid="{D5CDD505-2E9C-101B-9397-08002B2CF9AE}" pid="5" name="trimRootDocAssigneeLocation">
    <vt:lpwstr/>
  </property>
  <property fmtid="{D5CDD505-2E9C-101B-9397-08002B2CF9AE}" pid="6" name="trimRootDocACLCanUpdateMetadata_List">
    <vt:lpwstr/>
  </property>
  <property fmtid="{D5CDD505-2E9C-101B-9397-08002B2CF9AE}" pid="7" name="trimRootDocOtherContactLocation">
    <vt:lpwstr/>
  </property>
  <property fmtid="{D5CDD505-2E9C-101B-9397-08002B2CF9AE}" pid="8" name="trimRootDocACLCanModifyAccess_List">
    <vt:lpwstr/>
  </property>
  <property fmtid="{D5CDD505-2E9C-101B-9397-08002B2CF9AE}" pid="9" name="trimRootDocACLCanUpdateDocument_List">
    <vt:lpwstr/>
  </property>
  <property fmtid="{D5CDD505-2E9C-101B-9397-08002B2CF9AE}" pid="10" name="trimRootDocACLCanViewMetadata_List">
    <vt:lpwstr/>
  </property>
  <property fmtid="{D5CDD505-2E9C-101B-9397-08002B2CF9AE}" pid="11" name="trimRootDocACLCanViewDocument_List">
    <vt:lpwstr/>
  </property>
  <property fmtid="{D5CDD505-2E9C-101B-9397-08002B2CF9AE}" pid="12" name="trimRootDocOwnerLocation">
    <vt:lpwstr/>
  </property>
  <property fmtid="{D5CDD505-2E9C-101B-9397-08002B2CF9AE}" pid="13" name="trimRootDocACLCanContributeDocuments_List">
    <vt:lpwstr/>
  </property>
  <property fmtid="{D5CDD505-2E9C-101B-9397-08002B2CF9AE}" pid="14" name="TrimRevisionNumber">
    <vt:i4>123</vt:i4>
  </property>
</Properties>
</file>