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41D5D" w14:textId="77777777" w:rsidR="00D82320" w:rsidRDefault="00D82320">
      <w:pPr>
        <w:spacing w:line="200" w:lineRule="exact"/>
        <w:rPr>
          <w:sz w:val="20"/>
          <w:szCs w:val="20"/>
        </w:rPr>
      </w:pPr>
    </w:p>
    <w:p w14:paraId="01C41D5E" w14:textId="77777777" w:rsidR="00D82320" w:rsidRDefault="00D82320">
      <w:pPr>
        <w:spacing w:line="200" w:lineRule="exact"/>
        <w:rPr>
          <w:sz w:val="20"/>
          <w:szCs w:val="20"/>
        </w:rPr>
      </w:pPr>
    </w:p>
    <w:p w14:paraId="01C41D5F" w14:textId="77777777" w:rsidR="00D82320" w:rsidRDefault="00D82320">
      <w:pPr>
        <w:spacing w:line="200" w:lineRule="exact"/>
        <w:rPr>
          <w:sz w:val="20"/>
          <w:szCs w:val="20"/>
        </w:rPr>
      </w:pPr>
    </w:p>
    <w:p w14:paraId="01C41D60" w14:textId="77777777" w:rsidR="00D82320" w:rsidRDefault="00D82320">
      <w:pPr>
        <w:spacing w:before="2" w:line="280" w:lineRule="exact"/>
        <w:rPr>
          <w:sz w:val="28"/>
          <w:szCs w:val="28"/>
        </w:rPr>
      </w:pPr>
    </w:p>
    <w:p w14:paraId="01C41D61" w14:textId="334B99BA" w:rsidR="00D82320" w:rsidRDefault="00FC4FE5">
      <w:pPr>
        <w:ind w:left="2870"/>
        <w:rPr>
          <w:rFonts w:ascii="Times New Roman" w:eastAsia="Times New Roman" w:hAnsi="Times New Roman" w:cs="Times New Roman"/>
          <w:sz w:val="20"/>
          <w:szCs w:val="20"/>
        </w:rPr>
      </w:pPr>
      <w:bookmarkStart w:id="0" w:name="_GoBack"/>
      <w:bookmarkEnd w:id="0"/>
      <w:r>
        <w:rPr>
          <w:noProof/>
          <w:lang w:val="en-AU" w:eastAsia="en-AU"/>
        </w:rPr>
        <w:drawing>
          <wp:inline distT="0" distB="0" distL="0" distR="0" wp14:anchorId="01C41DBE" wp14:editId="1F204033">
            <wp:extent cx="2457450" cy="1362075"/>
            <wp:effectExtent l="0" t="0" r="0" b="9525"/>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362075"/>
                    </a:xfrm>
                    <a:prstGeom prst="rect">
                      <a:avLst/>
                    </a:prstGeom>
                    <a:noFill/>
                    <a:ln>
                      <a:noFill/>
                    </a:ln>
                  </pic:spPr>
                </pic:pic>
              </a:graphicData>
            </a:graphic>
          </wp:inline>
        </w:drawing>
      </w:r>
    </w:p>
    <w:p w14:paraId="01C41D62" w14:textId="77777777" w:rsidR="00D82320" w:rsidRDefault="00D82320">
      <w:pPr>
        <w:spacing w:before="5" w:line="100" w:lineRule="exact"/>
        <w:rPr>
          <w:sz w:val="10"/>
          <w:szCs w:val="10"/>
        </w:rPr>
      </w:pPr>
    </w:p>
    <w:p w14:paraId="01C41D63" w14:textId="77777777" w:rsidR="00D82320" w:rsidRDefault="00D82320">
      <w:pPr>
        <w:spacing w:line="200" w:lineRule="exact"/>
        <w:rPr>
          <w:sz w:val="20"/>
          <w:szCs w:val="20"/>
        </w:rPr>
      </w:pPr>
    </w:p>
    <w:p w14:paraId="01C41D64" w14:textId="77777777" w:rsidR="00D82320" w:rsidRDefault="00045957">
      <w:pPr>
        <w:pStyle w:val="BodyText"/>
        <w:spacing w:before="60" w:line="412" w:lineRule="exact"/>
        <w:ind w:left="1994" w:right="1992"/>
        <w:jc w:val="center"/>
      </w:pPr>
      <w:r>
        <w:t>Au</w:t>
      </w:r>
      <w:r>
        <w:rPr>
          <w:spacing w:val="-2"/>
        </w:rPr>
        <w:t>s</w:t>
      </w:r>
      <w:r>
        <w:t>tr</w:t>
      </w:r>
      <w:r>
        <w:rPr>
          <w:spacing w:val="1"/>
        </w:rPr>
        <w:t>a</w:t>
      </w:r>
      <w:r>
        <w:t>l</w:t>
      </w:r>
      <w:r>
        <w:rPr>
          <w:spacing w:val="1"/>
        </w:rPr>
        <w:t>i</w:t>
      </w:r>
      <w:r>
        <w:t>an Gov</w:t>
      </w:r>
      <w:r>
        <w:rPr>
          <w:spacing w:val="-3"/>
        </w:rPr>
        <w:t>e</w:t>
      </w:r>
      <w:r>
        <w:t>rn</w:t>
      </w:r>
      <w:r>
        <w:rPr>
          <w:spacing w:val="-2"/>
        </w:rPr>
        <w:t>m</w:t>
      </w:r>
      <w:r>
        <w:t>ent</w:t>
      </w:r>
      <w:r>
        <w:rPr>
          <w:spacing w:val="3"/>
        </w:rPr>
        <w:t xml:space="preserve"> </w:t>
      </w:r>
      <w:r>
        <w:t>respon</w:t>
      </w:r>
      <w:r>
        <w:rPr>
          <w:spacing w:val="-2"/>
        </w:rPr>
        <w:t>s</w:t>
      </w:r>
      <w:r>
        <w:t>e</w:t>
      </w:r>
      <w:r>
        <w:rPr>
          <w:spacing w:val="-1"/>
        </w:rPr>
        <w:t xml:space="preserve"> </w:t>
      </w:r>
      <w:r>
        <w:t xml:space="preserve">to the </w:t>
      </w:r>
      <w:r w:rsidR="00D65CAC">
        <w:t>House of Representatives Standing Committee on Infrastructure and Communications’</w:t>
      </w:r>
      <w:r>
        <w:rPr>
          <w:spacing w:val="-1"/>
        </w:rPr>
        <w:t xml:space="preserve"> </w:t>
      </w:r>
      <w:r>
        <w:t>repor</w:t>
      </w:r>
      <w:r>
        <w:rPr>
          <w:spacing w:val="2"/>
        </w:rPr>
        <w:t>t</w:t>
      </w:r>
      <w:r>
        <w:t>:</w:t>
      </w:r>
    </w:p>
    <w:p w14:paraId="01C41D65" w14:textId="77777777" w:rsidR="00D82320" w:rsidRDefault="00D82320">
      <w:pPr>
        <w:spacing w:before="17" w:line="220" w:lineRule="exact"/>
      </w:pPr>
    </w:p>
    <w:p w14:paraId="01C41D66" w14:textId="77777777" w:rsidR="00D82320" w:rsidRPr="000B52F6" w:rsidRDefault="00D65CAC">
      <w:pPr>
        <w:pStyle w:val="BodyText"/>
        <w:jc w:val="center"/>
        <w:rPr>
          <w:i/>
        </w:rPr>
      </w:pPr>
      <w:r w:rsidRPr="000B52F6">
        <w:rPr>
          <w:i/>
        </w:rPr>
        <w:t>Balancing Freedom and Protection – Inquiry into the use of subsection 313(3) of the Telecommunications Act 1997 by government agencies to disrupt the operation of illegal online services</w:t>
      </w:r>
    </w:p>
    <w:p w14:paraId="01C41D67" w14:textId="77777777" w:rsidR="00D82320" w:rsidRDefault="00D82320">
      <w:pPr>
        <w:spacing w:before="3" w:line="120" w:lineRule="exact"/>
        <w:rPr>
          <w:sz w:val="12"/>
          <w:szCs w:val="12"/>
        </w:rPr>
      </w:pPr>
    </w:p>
    <w:p w14:paraId="01C41D68" w14:textId="77777777" w:rsidR="00D82320" w:rsidRDefault="00D82320">
      <w:pPr>
        <w:spacing w:line="200" w:lineRule="exact"/>
        <w:rPr>
          <w:sz w:val="20"/>
          <w:szCs w:val="20"/>
        </w:rPr>
      </w:pPr>
    </w:p>
    <w:p w14:paraId="01C41D69" w14:textId="77777777" w:rsidR="00D82320" w:rsidRDefault="00D82320">
      <w:pPr>
        <w:spacing w:line="200" w:lineRule="exact"/>
        <w:rPr>
          <w:sz w:val="20"/>
          <w:szCs w:val="20"/>
        </w:rPr>
      </w:pPr>
    </w:p>
    <w:p w14:paraId="01C41D6A" w14:textId="77777777" w:rsidR="00D82320" w:rsidRDefault="00D82320">
      <w:pPr>
        <w:spacing w:line="200" w:lineRule="exact"/>
        <w:rPr>
          <w:sz w:val="20"/>
          <w:szCs w:val="20"/>
        </w:rPr>
      </w:pPr>
    </w:p>
    <w:p w14:paraId="01C41D6B" w14:textId="77777777" w:rsidR="00D82320" w:rsidRDefault="00D82320">
      <w:pPr>
        <w:spacing w:line="200" w:lineRule="exact"/>
        <w:rPr>
          <w:sz w:val="20"/>
          <w:szCs w:val="20"/>
        </w:rPr>
      </w:pPr>
    </w:p>
    <w:p w14:paraId="01C41D6C" w14:textId="77777777" w:rsidR="00D82320" w:rsidRDefault="00D82320">
      <w:pPr>
        <w:spacing w:line="200" w:lineRule="exact"/>
        <w:rPr>
          <w:sz w:val="20"/>
          <w:szCs w:val="20"/>
        </w:rPr>
      </w:pPr>
    </w:p>
    <w:p w14:paraId="01C41D6D" w14:textId="77777777" w:rsidR="00D82320" w:rsidRDefault="00D82320">
      <w:pPr>
        <w:spacing w:line="200" w:lineRule="exact"/>
        <w:rPr>
          <w:sz w:val="20"/>
          <w:szCs w:val="20"/>
        </w:rPr>
      </w:pPr>
    </w:p>
    <w:p w14:paraId="01C41D6E" w14:textId="77777777" w:rsidR="00D82320" w:rsidRDefault="00D82320">
      <w:pPr>
        <w:spacing w:line="200" w:lineRule="exact"/>
        <w:rPr>
          <w:sz w:val="20"/>
          <w:szCs w:val="20"/>
        </w:rPr>
      </w:pPr>
    </w:p>
    <w:p w14:paraId="01C41D6F" w14:textId="77777777" w:rsidR="00D82320" w:rsidRDefault="00D82320">
      <w:pPr>
        <w:spacing w:line="200" w:lineRule="exact"/>
        <w:rPr>
          <w:sz w:val="20"/>
          <w:szCs w:val="20"/>
        </w:rPr>
      </w:pPr>
    </w:p>
    <w:p w14:paraId="01C41D70" w14:textId="77777777" w:rsidR="00D82320" w:rsidRDefault="00D82320">
      <w:pPr>
        <w:spacing w:line="200" w:lineRule="exact"/>
        <w:rPr>
          <w:sz w:val="20"/>
          <w:szCs w:val="20"/>
        </w:rPr>
      </w:pPr>
    </w:p>
    <w:p w14:paraId="01C41D71" w14:textId="77777777" w:rsidR="00D82320" w:rsidRDefault="00D82320">
      <w:pPr>
        <w:spacing w:line="200" w:lineRule="exact"/>
        <w:rPr>
          <w:sz w:val="20"/>
          <w:szCs w:val="20"/>
        </w:rPr>
      </w:pPr>
    </w:p>
    <w:p w14:paraId="01C41D72" w14:textId="77777777" w:rsidR="00D82320" w:rsidRDefault="00D82320">
      <w:pPr>
        <w:spacing w:line="200" w:lineRule="exact"/>
        <w:rPr>
          <w:sz w:val="20"/>
          <w:szCs w:val="20"/>
        </w:rPr>
      </w:pPr>
    </w:p>
    <w:p w14:paraId="01C41D73" w14:textId="77777777" w:rsidR="00D82320" w:rsidRDefault="00D82320">
      <w:pPr>
        <w:spacing w:line="200" w:lineRule="exact"/>
        <w:rPr>
          <w:sz w:val="20"/>
          <w:szCs w:val="20"/>
        </w:rPr>
      </w:pPr>
    </w:p>
    <w:p w14:paraId="01C41D74" w14:textId="77777777" w:rsidR="00D82320" w:rsidRDefault="00D82320">
      <w:pPr>
        <w:spacing w:line="200" w:lineRule="exact"/>
        <w:rPr>
          <w:sz w:val="20"/>
          <w:szCs w:val="20"/>
        </w:rPr>
      </w:pPr>
    </w:p>
    <w:p w14:paraId="01C41D75" w14:textId="77777777" w:rsidR="00D82320" w:rsidRDefault="00D82320">
      <w:pPr>
        <w:spacing w:line="200" w:lineRule="exact"/>
        <w:rPr>
          <w:sz w:val="20"/>
          <w:szCs w:val="20"/>
        </w:rPr>
      </w:pPr>
    </w:p>
    <w:p w14:paraId="01C41D76" w14:textId="77777777" w:rsidR="00D82320" w:rsidRDefault="00D82320">
      <w:pPr>
        <w:spacing w:line="200" w:lineRule="exact"/>
        <w:rPr>
          <w:sz w:val="20"/>
          <w:szCs w:val="20"/>
        </w:rPr>
      </w:pPr>
    </w:p>
    <w:p w14:paraId="01C41D77" w14:textId="77777777" w:rsidR="00D82320" w:rsidRDefault="00D82320">
      <w:pPr>
        <w:spacing w:line="200" w:lineRule="exact"/>
        <w:rPr>
          <w:sz w:val="20"/>
          <w:szCs w:val="20"/>
        </w:rPr>
      </w:pPr>
    </w:p>
    <w:p w14:paraId="01C41D78" w14:textId="77777777" w:rsidR="00D82320" w:rsidRDefault="00D82320">
      <w:pPr>
        <w:spacing w:line="200" w:lineRule="exact"/>
        <w:rPr>
          <w:sz w:val="20"/>
          <w:szCs w:val="20"/>
        </w:rPr>
      </w:pPr>
    </w:p>
    <w:p w14:paraId="01C41D79" w14:textId="77777777" w:rsidR="00D82320" w:rsidRDefault="00D82320">
      <w:pPr>
        <w:spacing w:line="200" w:lineRule="exact"/>
        <w:rPr>
          <w:sz w:val="20"/>
          <w:szCs w:val="20"/>
        </w:rPr>
      </w:pPr>
    </w:p>
    <w:p w14:paraId="01C41D7A" w14:textId="77777777" w:rsidR="00D82320" w:rsidRDefault="00D82320">
      <w:pPr>
        <w:spacing w:line="200" w:lineRule="exact"/>
        <w:rPr>
          <w:sz w:val="20"/>
          <w:szCs w:val="20"/>
        </w:rPr>
      </w:pPr>
    </w:p>
    <w:p w14:paraId="01C41D7B" w14:textId="77777777" w:rsidR="00D82320" w:rsidRDefault="00D82320">
      <w:pPr>
        <w:spacing w:line="200" w:lineRule="exact"/>
        <w:rPr>
          <w:sz w:val="20"/>
          <w:szCs w:val="20"/>
        </w:rPr>
      </w:pPr>
    </w:p>
    <w:p w14:paraId="01C41D7C" w14:textId="77777777" w:rsidR="00D82320" w:rsidRDefault="00D82320">
      <w:pPr>
        <w:spacing w:line="200" w:lineRule="exact"/>
        <w:rPr>
          <w:sz w:val="20"/>
          <w:szCs w:val="20"/>
        </w:rPr>
      </w:pPr>
    </w:p>
    <w:p w14:paraId="01C41D7D" w14:textId="77777777" w:rsidR="00D82320" w:rsidRDefault="00D82320">
      <w:pPr>
        <w:spacing w:line="200" w:lineRule="exact"/>
        <w:rPr>
          <w:sz w:val="20"/>
          <w:szCs w:val="20"/>
        </w:rPr>
      </w:pPr>
    </w:p>
    <w:p w14:paraId="01C41D7E" w14:textId="77777777" w:rsidR="00D82320" w:rsidRDefault="00D82320">
      <w:pPr>
        <w:spacing w:line="200" w:lineRule="exact"/>
        <w:rPr>
          <w:sz w:val="20"/>
          <w:szCs w:val="20"/>
        </w:rPr>
      </w:pPr>
    </w:p>
    <w:p w14:paraId="01C41D7F" w14:textId="77777777" w:rsidR="00D82320" w:rsidRDefault="00D82320">
      <w:pPr>
        <w:spacing w:line="200" w:lineRule="exact"/>
        <w:rPr>
          <w:sz w:val="20"/>
          <w:szCs w:val="20"/>
        </w:rPr>
      </w:pPr>
    </w:p>
    <w:p w14:paraId="01C41D80" w14:textId="77777777" w:rsidR="00D82320" w:rsidRDefault="00D82320">
      <w:pPr>
        <w:spacing w:line="200" w:lineRule="exact"/>
        <w:rPr>
          <w:sz w:val="20"/>
          <w:szCs w:val="20"/>
        </w:rPr>
      </w:pPr>
    </w:p>
    <w:p w14:paraId="01C41D81" w14:textId="77777777" w:rsidR="00D82320" w:rsidRDefault="00D82320">
      <w:pPr>
        <w:spacing w:line="200" w:lineRule="exact"/>
        <w:rPr>
          <w:sz w:val="20"/>
          <w:szCs w:val="20"/>
        </w:rPr>
      </w:pPr>
    </w:p>
    <w:p w14:paraId="01C41D82" w14:textId="77777777" w:rsidR="00D82320" w:rsidRDefault="00D82320">
      <w:pPr>
        <w:spacing w:line="200" w:lineRule="exact"/>
        <w:rPr>
          <w:sz w:val="20"/>
          <w:szCs w:val="20"/>
        </w:rPr>
      </w:pPr>
    </w:p>
    <w:p w14:paraId="01C41D83" w14:textId="77777777" w:rsidR="00D82320" w:rsidRDefault="00D82320">
      <w:pPr>
        <w:spacing w:line="200" w:lineRule="exact"/>
        <w:rPr>
          <w:sz w:val="20"/>
          <w:szCs w:val="20"/>
        </w:rPr>
      </w:pPr>
    </w:p>
    <w:p w14:paraId="01C41D84" w14:textId="77777777" w:rsidR="00D82320" w:rsidRDefault="00D82320">
      <w:pPr>
        <w:spacing w:line="200" w:lineRule="exact"/>
        <w:rPr>
          <w:sz w:val="20"/>
          <w:szCs w:val="20"/>
        </w:rPr>
      </w:pPr>
    </w:p>
    <w:p w14:paraId="01C41D85" w14:textId="77777777" w:rsidR="00D82320" w:rsidRDefault="00D82320">
      <w:pPr>
        <w:spacing w:line="200" w:lineRule="exact"/>
        <w:rPr>
          <w:sz w:val="20"/>
          <w:szCs w:val="20"/>
        </w:rPr>
      </w:pPr>
    </w:p>
    <w:p w14:paraId="01C41D86" w14:textId="77777777" w:rsidR="00D82320" w:rsidRDefault="00D82320">
      <w:pPr>
        <w:spacing w:line="200" w:lineRule="exact"/>
        <w:rPr>
          <w:sz w:val="20"/>
          <w:szCs w:val="20"/>
        </w:rPr>
      </w:pPr>
    </w:p>
    <w:p w14:paraId="01C41D87" w14:textId="77777777" w:rsidR="00D82320" w:rsidRDefault="00D82320">
      <w:pPr>
        <w:spacing w:line="200" w:lineRule="exact"/>
        <w:rPr>
          <w:sz w:val="20"/>
          <w:szCs w:val="20"/>
        </w:rPr>
      </w:pPr>
    </w:p>
    <w:p w14:paraId="01C41D88" w14:textId="77777777" w:rsidR="00D82320" w:rsidRDefault="00D82320">
      <w:pPr>
        <w:spacing w:line="200" w:lineRule="exact"/>
        <w:rPr>
          <w:sz w:val="20"/>
          <w:szCs w:val="20"/>
        </w:rPr>
      </w:pPr>
    </w:p>
    <w:p w14:paraId="01C41D89" w14:textId="77777777" w:rsidR="00D82320" w:rsidRDefault="00D82320">
      <w:pPr>
        <w:spacing w:line="200" w:lineRule="exact"/>
        <w:rPr>
          <w:sz w:val="20"/>
          <w:szCs w:val="20"/>
        </w:rPr>
      </w:pPr>
    </w:p>
    <w:p w14:paraId="01C41D8A" w14:textId="77777777" w:rsidR="00D82320" w:rsidRDefault="00D82320">
      <w:pPr>
        <w:spacing w:line="200" w:lineRule="exact"/>
        <w:rPr>
          <w:sz w:val="20"/>
          <w:szCs w:val="20"/>
        </w:rPr>
      </w:pPr>
    </w:p>
    <w:p w14:paraId="01C41D8B" w14:textId="77777777" w:rsidR="00D82320" w:rsidRDefault="00D82320">
      <w:pPr>
        <w:spacing w:line="200" w:lineRule="exact"/>
        <w:rPr>
          <w:sz w:val="20"/>
          <w:szCs w:val="20"/>
        </w:rPr>
      </w:pPr>
    </w:p>
    <w:p w14:paraId="01C41D8C" w14:textId="77777777" w:rsidR="00D82320" w:rsidRDefault="00D82320">
      <w:pPr>
        <w:spacing w:line="200" w:lineRule="exact"/>
        <w:rPr>
          <w:sz w:val="20"/>
          <w:szCs w:val="20"/>
        </w:rPr>
      </w:pPr>
    </w:p>
    <w:p w14:paraId="01C41D8D" w14:textId="77777777" w:rsidR="00D82320" w:rsidRDefault="00D82320">
      <w:pPr>
        <w:spacing w:line="200" w:lineRule="exact"/>
        <w:rPr>
          <w:sz w:val="20"/>
          <w:szCs w:val="20"/>
        </w:rPr>
      </w:pPr>
    </w:p>
    <w:p w14:paraId="01C41D8E" w14:textId="77777777" w:rsidR="00D82320" w:rsidRDefault="00D82320">
      <w:pPr>
        <w:spacing w:line="200" w:lineRule="exact"/>
        <w:rPr>
          <w:sz w:val="20"/>
          <w:szCs w:val="20"/>
        </w:rPr>
      </w:pPr>
    </w:p>
    <w:p w14:paraId="01C41D8F" w14:textId="77777777" w:rsidR="00D82320" w:rsidRDefault="00D82320">
      <w:pPr>
        <w:spacing w:line="200" w:lineRule="exact"/>
        <w:rPr>
          <w:sz w:val="20"/>
          <w:szCs w:val="20"/>
        </w:rPr>
      </w:pPr>
    </w:p>
    <w:p w14:paraId="01C41D90" w14:textId="77777777" w:rsidR="00D82320" w:rsidRDefault="00D82320">
      <w:pPr>
        <w:spacing w:line="200" w:lineRule="exact"/>
        <w:rPr>
          <w:sz w:val="20"/>
          <w:szCs w:val="20"/>
        </w:rPr>
      </w:pPr>
    </w:p>
    <w:p w14:paraId="01C41D91" w14:textId="77777777" w:rsidR="00D82320" w:rsidRDefault="00D82320">
      <w:pPr>
        <w:spacing w:line="200" w:lineRule="exact"/>
        <w:rPr>
          <w:sz w:val="20"/>
          <w:szCs w:val="20"/>
        </w:rPr>
      </w:pPr>
    </w:p>
    <w:p w14:paraId="01C41D92" w14:textId="77777777" w:rsidR="00D82320" w:rsidRDefault="00D65CAC">
      <w:pPr>
        <w:ind w:right="10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November 2015</w:t>
      </w:r>
    </w:p>
    <w:p w14:paraId="01C41D93" w14:textId="77777777" w:rsidR="00D82320" w:rsidRDefault="00D82320">
      <w:pPr>
        <w:spacing w:line="200" w:lineRule="exact"/>
        <w:rPr>
          <w:sz w:val="20"/>
          <w:szCs w:val="20"/>
        </w:rPr>
      </w:pPr>
    </w:p>
    <w:p w14:paraId="01C41D94" w14:textId="77777777" w:rsidR="00D82320" w:rsidRDefault="00D82320">
      <w:pPr>
        <w:spacing w:line="200" w:lineRule="exact"/>
        <w:rPr>
          <w:sz w:val="20"/>
          <w:szCs w:val="20"/>
        </w:rPr>
      </w:pPr>
    </w:p>
    <w:p w14:paraId="01C41D95" w14:textId="77777777" w:rsidR="00D82320" w:rsidRDefault="00D82320">
      <w:pPr>
        <w:spacing w:before="16" w:line="260" w:lineRule="exact"/>
        <w:rPr>
          <w:sz w:val="26"/>
          <w:szCs w:val="26"/>
        </w:rPr>
      </w:pPr>
    </w:p>
    <w:p w14:paraId="01C41D96" w14:textId="77777777" w:rsidR="004362AD" w:rsidRDefault="004362AD" w:rsidP="00045957">
      <w:pPr>
        <w:widowControl/>
        <w:spacing w:after="160" w:line="259" w:lineRule="auto"/>
        <w:rPr>
          <w:rFonts w:ascii="Arial" w:eastAsia="Calibri" w:hAnsi="Arial" w:cs="Arial"/>
          <w:b/>
          <w:bCs/>
          <w:sz w:val="24"/>
          <w:szCs w:val="24"/>
          <w:lang w:val="en-AU"/>
        </w:rPr>
      </w:pPr>
    </w:p>
    <w:p w14:paraId="01C41D97" w14:textId="77777777" w:rsidR="00D65CAC" w:rsidRPr="00D65CAC" w:rsidRDefault="00D65CAC" w:rsidP="00D65CAC">
      <w:pPr>
        <w:pStyle w:val="NoSpacing"/>
        <w:jc w:val="center"/>
        <w:rPr>
          <w:rFonts w:ascii="Arial" w:hAnsi="Arial" w:cs="Arial"/>
          <w:b/>
          <w:sz w:val="24"/>
          <w:szCs w:val="24"/>
          <w:lang w:val="en-AU"/>
        </w:rPr>
      </w:pPr>
    </w:p>
    <w:tbl>
      <w:tblPr>
        <w:tblStyle w:val="TableGrid"/>
        <w:tblW w:w="0" w:type="auto"/>
        <w:jc w:val="center"/>
        <w:tblLook w:val="04A0" w:firstRow="1" w:lastRow="0" w:firstColumn="1" w:lastColumn="0" w:noHBand="0" w:noVBand="1"/>
      </w:tblPr>
      <w:tblGrid>
        <w:gridCol w:w="4920"/>
        <w:gridCol w:w="4101"/>
      </w:tblGrid>
      <w:tr w:rsidR="00D65CAC" w:rsidRPr="00D65CAC" w14:paraId="01C41D9B" w14:textId="77777777" w:rsidTr="00045957">
        <w:trPr>
          <w:jc w:val="center"/>
        </w:trPr>
        <w:tc>
          <w:tcPr>
            <w:tcW w:w="4920" w:type="dxa"/>
          </w:tcPr>
          <w:p w14:paraId="01C41D98" w14:textId="77777777" w:rsidR="00D65CAC" w:rsidRPr="00D65CAC" w:rsidRDefault="00D65CAC" w:rsidP="00D65CAC">
            <w:pPr>
              <w:rPr>
                <w:rFonts w:ascii="Times New Roman" w:eastAsia="Calibri" w:hAnsi="Times New Roman" w:cs="Times New Roman"/>
                <w:b/>
                <w:sz w:val="24"/>
                <w:szCs w:val="24"/>
              </w:rPr>
            </w:pPr>
            <w:r w:rsidRPr="00D65CAC">
              <w:rPr>
                <w:rFonts w:ascii="Times New Roman" w:eastAsia="Calibri" w:hAnsi="Times New Roman" w:cs="Times New Roman"/>
                <w:b/>
                <w:sz w:val="24"/>
                <w:szCs w:val="24"/>
              </w:rPr>
              <w:t>Recommendation</w:t>
            </w:r>
          </w:p>
          <w:p w14:paraId="01C41D99" w14:textId="77777777" w:rsidR="00D65CAC" w:rsidRPr="00D65CAC" w:rsidRDefault="00D65CAC" w:rsidP="00D65CAC">
            <w:pPr>
              <w:rPr>
                <w:rFonts w:ascii="Times New Roman" w:eastAsia="Calibri" w:hAnsi="Times New Roman" w:cs="Times New Roman"/>
                <w:b/>
                <w:sz w:val="24"/>
                <w:szCs w:val="24"/>
              </w:rPr>
            </w:pPr>
          </w:p>
        </w:tc>
        <w:tc>
          <w:tcPr>
            <w:tcW w:w="4101" w:type="dxa"/>
          </w:tcPr>
          <w:p w14:paraId="01C41D9A" w14:textId="77777777" w:rsidR="00D65CAC" w:rsidRPr="00D65CAC" w:rsidRDefault="00D65CAC" w:rsidP="00D65CAC">
            <w:pPr>
              <w:rPr>
                <w:rFonts w:ascii="Times New Roman" w:eastAsia="Calibri" w:hAnsi="Times New Roman" w:cs="Times New Roman"/>
                <w:b/>
                <w:sz w:val="24"/>
                <w:szCs w:val="24"/>
              </w:rPr>
            </w:pPr>
            <w:r w:rsidRPr="00D65CAC">
              <w:rPr>
                <w:rFonts w:ascii="Times New Roman" w:eastAsia="Calibri" w:hAnsi="Times New Roman" w:cs="Times New Roman"/>
                <w:b/>
                <w:sz w:val="24"/>
                <w:szCs w:val="24"/>
              </w:rPr>
              <w:t>Government response</w:t>
            </w:r>
          </w:p>
        </w:tc>
      </w:tr>
      <w:tr w:rsidR="00D65CAC" w:rsidRPr="00D65CAC" w14:paraId="01C41DB4" w14:textId="77777777" w:rsidTr="00045957">
        <w:trPr>
          <w:jc w:val="center"/>
        </w:trPr>
        <w:tc>
          <w:tcPr>
            <w:tcW w:w="4920" w:type="dxa"/>
          </w:tcPr>
          <w:p w14:paraId="01C41D9C" w14:textId="77777777" w:rsidR="00D65CAC" w:rsidRPr="00D65CAC" w:rsidRDefault="00D65CAC" w:rsidP="00D65CAC">
            <w:pPr>
              <w:spacing w:after="240"/>
              <w:contextualSpacing/>
              <w:rPr>
                <w:rFonts w:ascii="Times New Roman" w:eastAsia="Calibri" w:hAnsi="Times New Roman" w:cs="Times New Roman"/>
                <w:b/>
                <w:sz w:val="24"/>
                <w:szCs w:val="24"/>
              </w:rPr>
            </w:pPr>
            <w:r w:rsidRPr="00D65CAC">
              <w:rPr>
                <w:rFonts w:ascii="Times New Roman" w:eastAsia="Calibri" w:hAnsi="Times New Roman" w:cs="Times New Roman"/>
                <w:b/>
                <w:sz w:val="24"/>
                <w:szCs w:val="24"/>
              </w:rPr>
              <w:t>Recommendation One</w:t>
            </w:r>
          </w:p>
          <w:p w14:paraId="01C41D9D" w14:textId="77777777" w:rsidR="00D65CAC" w:rsidRPr="00D65CAC" w:rsidRDefault="00D65CAC" w:rsidP="00D65CAC">
            <w:pPr>
              <w:spacing w:after="240"/>
              <w:contextualSpacing/>
              <w:rPr>
                <w:rFonts w:ascii="Times New Roman" w:eastAsia="Calibri" w:hAnsi="Times New Roman" w:cs="Times New Roman"/>
                <w:sz w:val="24"/>
                <w:szCs w:val="24"/>
              </w:rPr>
            </w:pPr>
          </w:p>
          <w:p w14:paraId="01C41D9E" w14:textId="77777777" w:rsidR="00D65CAC" w:rsidRDefault="00D65CAC" w:rsidP="00D65CAC">
            <w:pPr>
              <w:spacing w:after="240"/>
              <w:contextualSpacing/>
              <w:rPr>
                <w:rFonts w:ascii="Times New Roman" w:eastAsia="Calibri" w:hAnsi="Times New Roman" w:cs="Times New Roman"/>
                <w:sz w:val="24"/>
                <w:szCs w:val="24"/>
              </w:rPr>
            </w:pPr>
            <w:r w:rsidRPr="00D65CAC">
              <w:rPr>
                <w:rFonts w:ascii="Times New Roman" w:eastAsia="Calibri" w:hAnsi="Times New Roman" w:cs="Times New Roman"/>
                <w:sz w:val="24"/>
                <w:szCs w:val="24"/>
              </w:rPr>
              <w:t xml:space="preserve">The Committee recommends to the Australian Government the adoption of whole-of-government guidelines for the use of section 313 of the </w:t>
            </w:r>
            <w:r w:rsidRPr="00D65CAC">
              <w:rPr>
                <w:rFonts w:ascii="Times New Roman" w:eastAsia="Calibri" w:hAnsi="Times New Roman" w:cs="Times New Roman"/>
                <w:i/>
                <w:sz w:val="24"/>
                <w:szCs w:val="24"/>
              </w:rPr>
              <w:t>Telecommunications Act 1997</w:t>
            </w:r>
            <w:r w:rsidRPr="00D65CAC">
              <w:rPr>
                <w:rFonts w:ascii="Times New Roman" w:eastAsia="Calibri" w:hAnsi="Times New Roman" w:cs="Times New Roman"/>
                <w:sz w:val="24"/>
                <w:szCs w:val="24"/>
              </w:rPr>
              <w:t xml:space="preserve"> by government agencies to disrupt the operation of illegal online services, as proposed by the Department of Communications, including:</w:t>
            </w:r>
          </w:p>
          <w:p w14:paraId="01C41D9F" w14:textId="77777777" w:rsidR="00D65CAC" w:rsidRPr="00D65CAC" w:rsidRDefault="00D65CAC" w:rsidP="00D65CAC">
            <w:pPr>
              <w:spacing w:after="240"/>
              <w:contextualSpacing/>
              <w:rPr>
                <w:rFonts w:ascii="Times New Roman" w:eastAsia="Calibri" w:hAnsi="Times New Roman" w:cs="Times New Roman"/>
                <w:sz w:val="24"/>
                <w:szCs w:val="24"/>
              </w:rPr>
            </w:pPr>
          </w:p>
          <w:p w14:paraId="01C41DA0" w14:textId="77777777" w:rsidR="00D65CAC" w:rsidRPr="00D65CAC" w:rsidRDefault="00D65CAC" w:rsidP="00D65CAC">
            <w:pPr>
              <w:numPr>
                <w:ilvl w:val="0"/>
                <w:numId w:val="1"/>
              </w:numPr>
              <w:tabs>
                <w:tab w:val="left" w:pos="1843"/>
              </w:tabs>
              <w:kinsoku w:val="0"/>
              <w:overflowPunct w:val="0"/>
              <w:autoSpaceDE w:val="0"/>
              <w:autoSpaceDN w:val="0"/>
              <w:adjustRightInd w:val="0"/>
              <w:spacing w:after="240"/>
              <w:ind w:left="905" w:hanging="480"/>
              <w:contextualSpacing/>
              <w:rPr>
                <w:rFonts w:ascii="Times New Roman" w:eastAsia="Calibri" w:hAnsi="Times New Roman" w:cs="Times New Roman"/>
                <w:sz w:val="24"/>
                <w:szCs w:val="24"/>
              </w:rPr>
            </w:pPr>
            <w:r w:rsidRPr="00D65CAC">
              <w:rPr>
                <w:rFonts w:ascii="Times New Roman" w:eastAsia="Calibri" w:hAnsi="Times New Roman" w:cs="Times New Roman"/>
                <w:sz w:val="24"/>
                <w:szCs w:val="24"/>
              </w:rPr>
              <w:t>the development of agency-specific internal policies consistent with the guidelines;</w:t>
            </w:r>
          </w:p>
          <w:p w14:paraId="01C41DA1" w14:textId="77777777" w:rsidR="00D65CAC" w:rsidRPr="00D65CAC" w:rsidRDefault="00D65CAC" w:rsidP="00D65CAC">
            <w:pPr>
              <w:numPr>
                <w:ilvl w:val="0"/>
                <w:numId w:val="1"/>
              </w:numPr>
              <w:tabs>
                <w:tab w:val="left" w:pos="1843"/>
              </w:tabs>
              <w:kinsoku w:val="0"/>
              <w:overflowPunct w:val="0"/>
              <w:autoSpaceDE w:val="0"/>
              <w:autoSpaceDN w:val="0"/>
              <w:adjustRightInd w:val="0"/>
              <w:spacing w:after="240"/>
              <w:ind w:left="905" w:hanging="480"/>
              <w:contextualSpacing/>
              <w:rPr>
                <w:rFonts w:ascii="Times New Roman" w:eastAsia="Calibri" w:hAnsi="Times New Roman" w:cs="Times New Roman"/>
                <w:sz w:val="24"/>
                <w:szCs w:val="24"/>
              </w:rPr>
            </w:pPr>
            <w:r w:rsidRPr="00D65CAC">
              <w:rPr>
                <w:rFonts w:ascii="Times New Roman" w:eastAsia="Calibri" w:hAnsi="Times New Roman" w:cs="Times New Roman"/>
                <w:sz w:val="24"/>
                <w:szCs w:val="24"/>
              </w:rPr>
              <w:t>clearly defined authorisations at a senior level;</w:t>
            </w:r>
          </w:p>
          <w:p w14:paraId="01C41DA2" w14:textId="77777777" w:rsidR="00D65CAC" w:rsidRPr="00D65CAC" w:rsidRDefault="00D65CAC" w:rsidP="00D65CAC">
            <w:pPr>
              <w:numPr>
                <w:ilvl w:val="0"/>
                <w:numId w:val="1"/>
              </w:numPr>
              <w:tabs>
                <w:tab w:val="left" w:pos="1843"/>
              </w:tabs>
              <w:kinsoku w:val="0"/>
              <w:overflowPunct w:val="0"/>
              <w:autoSpaceDE w:val="0"/>
              <w:autoSpaceDN w:val="0"/>
              <w:adjustRightInd w:val="0"/>
              <w:spacing w:after="240"/>
              <w:ind w:left="905" w:hanging="480"/>
              <w:contextualSpacing/>
              <w:rPr>
                <w:rFonts w:ascii="Times New Roman" w:eastAsia="Calibri" w:hAnsi="Times New Roman" w:cs="Times New Roman"/>
                <w:sz w:val="24"/>
                <w:szCs w:val="24"/>
              </w:rPr>
            </w:pPr>
            <w:r w:rsidRPr="00D65CAC">
              <w:rPr>
                <w:rFonts w:ascii="Times New Roman" w:eastAsia="Calibri" w:hAnsi="Times New Roman" w:cs="Times New Roman"/>
                <w:sz w:val="24"/>
                <w:szCs w:val="24"/>
              </w:rPr>
              <w:t>defining activities subject to disruption;</w:t>
            </w:r>
          </w:p>
          <w:p w14:paraId="01C41DA3" w14:textId="77777777" w:rsidR="00D65CAC" w:rsidRPr="00D65CAC" w:rsidRDefault="00D65CAC" w:rsidP="00D65CAC">
            <w:pPr>
              <w:numPr>
                <w:ilvl w:val="0"/>
                <w:numId w:val="1"/>
              </w:numPr>
              <w:tabs>
                <w:tab w:val="left" w:pos="1843"/>
              </w:tabs>
              <w:kinsoku w:val="0"/>
              <w:overflowPunct w:val="0"/>
              <w:autoSpaceDE w:val="0"/>
              <w:autoSpaceDN w:val="0"/>
              <w:adjustRightInd w:val="0"/>
              <w:spacing w:after="240"/>
              <w:ind w:left="905" w:hanging="480"/>
              <w:contextualSpacing/>
              <w:rPr>
                <w:rFonts w:ascii="Times New Roman" w:eastAsia="Calibri" w:hAnsi="Times New Roman" w:cs="Times New Roman"/>
                <w:sz w:val="24"/>
                <w:szCs w:val="24"/>
              </w:rPr>
            </w:pPr>
            <w:r w:rsidRPr="00D65CAC">
              <w:rPr>
                <w:rFonts w:ascii="Times New Roman" w:eastAsia="Calibri" w:hAnsi="Times New Roman" w:cs="Times New Roman"/>
                <w:sz w:val="24"/>
                <w:szCs w:val="24"/>
              </w:rPr>
              <w:t>industry and stakeholder consultation;</w:t>
            </w:r>
          </w:p>
          <w:p w14:paraId="01C41DA4" w14:textId="77777777" w:rsidR="00D65CAC" w:rsidRPr="00D65CAC" w:rsidRDefault="00D65CAC" w:rsidP="00D65CAC">
            <w:pPr>
              <w:numPr>
                <w:ilvl w:val="0"/>
                <w:numId w:val="1"/>
              </w:numPr>
              <w:tabs>
                <w:tab w:val="left" w:pos="1843"/>
              </w:tabs>
              <w:kinsoku w:val="0"/>
              <w:overflowPunct w:val="0"/>
              <w:autoSpaceDE w:val="0"/>
              <w:autoSpaceDN w:val="0"/>
              <w:adjustRightInd w:val="0"/>
              <w:spacing w:after="240"/>
              <w:ind w:left="905" w:hanging="480"/>
              <w:contextualSpacing/>
              <w:rPr>
                <w:rFonts w:ascii="Times New Roman" w:eastAsia="Calibri" w:hAnsi="Times New Roman" w:cs="Times New Roman"/>
                <w:sz w:val="24"/>
                <w:szCs w:val="24"/>
              </w:rPr>
            </w:pPr>
            <w:r w:rsidRPr="00D65CAC">
              <w:rPr>
                <w:rFonts w:ascii="Times New Roman" w:eastAsia="Calibri" w:hAnsi="Times New Roman" w:cs="Times New Roman"/>
                <w:sz w:val="24"/>
                <w:szCs w:val="24"/>
              </w:rPr>
              <w:t>use of stop pages, including:</w:t>
            </w:r>
          </w:p>
          <w:p w14:paraId="01C41DA5" w14:textId="77777777" w:rsidR="00D65CAC" w:rsidRPr="00D65CAC" w:rsidRDefault="00D65CAC" w:rsidP="00D65CAC">
            <w:pPr>
              <w:kinsoku w:val="0"/>
              <w:overflowPunct w:val="0"/>
              <w:autoSpaceDE w:val="0"/>
              <w:autoSpaceDN w:val="0"/>
              <w:adjustRightInd w:val="0"/>
              <w:spacing w:after="240"/>
              <w:ind w:left="1186"/>
              <w:contextualSpacing/>
              <w:rPr>
                <w:rFonts w:ascii="Times New Roman" w:eastAsia="Calibri" w:hAnsi="Times New Roman" w:cs="Times New Roman"/>
                <w:sz w:val="24"/>
                <w:szCs w:val="24"/>
              </w:rPr>
            </w:pPr>
            <w:r w:rsidRPr="00D65CAC">
              <w:rPr>
                <w:rFonts w:ascii="Times New Roman" w:eastAsia="Calibri" w:hAnsi="Times New Roman" w:cs="Times New Roman"/>
                <w:sz w:val="24"/>
                <w:szCs w:val="24"/>
              </w:rPr>
              <w:t>-  agency requesting the block;</w:t>
            </w:r>
          </w:p>
          <w:p w14:paraId="01C41DA6" w14:textId="77777777" w:rsidR="00D65CAC" w:rsidRPr="00D65CAC" w:rsidRDefault="00D65CAC" w:rsidP="00D65CAC">
            <w:pPr>
              <w:kinsoku w:val="0"/>
              <w:overflowPunct w:val="0"/>
              <w:autoSpaceDE w:val="0"/>
              <w:autoSpaceDN w:val="0"/>
              <w:adjustRightInd w:val="0"/>
              <w:spacing w:after="240"/>
              <w:ind w:left="1186"/>
              <w:contextualSpacing/>
              <w:rPr>
                <w:rFonts w:ascii="Times New Roman" w:eastAsia="Calibri" w:hAnsi="Times New Roman" w:cs="Times New Roman"/>
                <w:sz w:val="24"/>
                <w:szCs w:val="24"/>
              </w:rPr>
            </w:pPr>
            <w:r w:rsidRPr="00D65CAC">
              <w:rPr>
                <w:rFonts w:ascii="Times New Roman" w:eastAsia="Calibri" w:hAnsi="Times New Roman" w:cs="Times New Roman"/>
                <w:sz w:val="24"/>
                <w:szCs w:val="24"/>
              </w:rPr>
              <w:t>-  reason for block;</w:t>
            </w:r>
          </w:p>
          <w:p w14:paraId="01C41DA7" w14:textId="77777777" w:rsidR="00D65CAC" w:rsidRPr="00D65CAC" w:rsidRDefault="00D65CAC" w:rsidP="00D65CAC">
            <w:pPr>
              <w:kinsoku w:val="0"/>
              <w:overflowPunct w:val="0"/>
              <w:autoSpaceDE w:val="0"/>
              <w:autoSpaceDN w:val="0"/>
              <w:adjustRightInd w:val="0"/>
              <w:spacing w:after="240"/>
              <w:ind w:left="1186"/>
              <w:contextualSpacing/>
              <w:rPr>
                <w:rFonts w:ascii="Times New Roman" w:eastAsia="Calibri" w:hAnsi="Times New Roman" w:cs="Times New Roman"/>
                <w:sz w:val="24"/>
                <w:szCs w:val="24"/>
              </w:rPr>
            </w:pPr>
            <w:r w:rsidRPr="00D65CAC">
              <w:rPr>
                <w:rFonts w:ascii="Times New Roman" w:eastAsia="Calibri" w:hAnsi="Times New Roman" w:cs="Times New Roman"/>
                <w:sz w:val="24"/>
                <w:szCs w:val="24"/>
              </w:rPr>
              <w:t>-  agency contact; and</w:t>
            </w:r>
          </w:p>
          <w:p w14:paraId="01C41DA8" w14:textId="77777777" w:rsidR="00D65CAC" w:rsidRPr="00D65CAC" w:rsidRDefault="00D65CAC" w:rsidP="00D65CAC">
            <w:pPr>
              <w:kinsoku w:val="0"/>
              <w:overflowPunct w:val="0"/>
              <w:autoSpaceDE w:val="0"/>
              <w:autoSpaceDN w:val="0"/>
              <w:adjustRightInd w:val="0"/>
              <w:spacing w:after="240"/>
              <w:ind w:left="1186"/>
              <w:contextualSpacing/>
              <w:rPr>
                <w:rFonts w:ascii="Times New Roman" w:eastAsia="Calibri" w:hAnsi="Times New Roman" w:cs="Times New Roman"/>
                <w:sz w:val="24"/>
                <w:szCs w:val="24"/>
              </w:rPr>
            </w:pPr>
            <w:r w:rsidRPr="00D65CAC">
              <w:rPr>
                <w:rFonts w:ascii="Times New Roman" w:eastAsia="Calibri" w:hAnsi="Times New Roman" w:cs="Times New Roman"/>
                <w:sz w:val="24"/>
                <w:szCs w:val="24"/>
              </w:rPr>
              <w:t xml:space="preserve">-  </w:t>
            </w:r>
            <w:proofErr w:type="gramStart"/>
            <w:r w:rsidRPr="00D65CAC">
              <w:rPr>
                <w:rFonts w:ascii="Times New Roman" w:eastAsia="Calibri" w:hAnsi="Times New Roman" w:cs="Times New Roman"/>
                <w:sz w:val="24"/>
                <w:szCs w:val="24"/>
              </w:rPr>
              <w:t>avenue</w:t>
            </w:r>
            <w:proofErr w:type="gramEnd"/>
            <w:r w:rsidRPr="00D65CAC">
              <w:rPr>
                <w:rFonts w:ascii="Times New Roman" w:eastAsia="Calibri" w:hAnsi="Times New Roman" w:cs="Times New Roman"/>
                <w:sz w:val="24"/>
                <w:szCs w:val="24"/>
              </w:rPr>
              <w:t xml:space="preserve"> for review.</w:t>
            </w:r>
          </w:p>
          <w:p w14:paraId="01C41DA9" w14:textId="77777777" w:rsidR="00D65CAC" w:rsidRPr="00D65CAC" w:rsidRDefault="00D65CAC" w:rsidP="00D65CAC">
            <w:pPr>
              <w:numPr>
                <w:ilvl w:val="0"/>
                <w:numId w:val="1"/>
              </w:numPr>
              <w:tabs>
                <w:tab w:val="left" w:pos="1843"/>
              </w:tabs>
              <w:kinsoku w:val="0"/>
              <w:overflowPunct w:val="0"/>
              <w:autoSpaceDE w:val="0"/>
              <w:autoSpaceDN w:val="0"/>
              <w:adjustRightInd w:val="0"/>
              <w:spacing w:after="240"/>
              <w:ind w:left="905" w:hanging="480"/>
              <w:contextualSpacing/>
              <w:rPr>
                <w:rFonts w:ascii="Times New Roman" w:eastAsia="Calibri" w:hAnsi="Times New Roman" w:cs="Times New Roman"/>
                <w:sz w:val="24"/>
                <w:szCs w:val="24"/>
              </w:rPr>
            </w:pPr>
            <w:r w:rsidRPr="00D65CAC">
              <w:rPr>
                <w:rFonts w:ascii="Times New Roman" w:eastAsia="Calibri" w:hAnsi="Times New Roman" w:cs="Times New Roman"/>
                <w:sz w:val="24"/>
                <w:szCs w:val="24"/>
              </w:rPr>
              <w:t>public announcements, where appropriate;</w:t>
            </w:r>
          </w:p>
          <w:p w14:paraId="01C41DAA" w14:textId="77777777" w:rsidR="00D65CAC" w:rsidRPr="00D65CAC" w:rsidRDefault="00D65CAC" w:rsidP="00D65CAC">
            <w:pPr>
              <w:numPr>
                <w:ilvl w:val="0"/>
                <w:numId w:val="1"/>
              </w:numPr>
              <w:tabs>
                <w:tab w:val="left" w:pos="1843"/>
              </w:tabs>
              <w:kinsoku w:val="0"/>
              <w:overflowPunct w:val="0"/>
              <w:autoSpaceDE w:val="0"/>
              <w:autoSpaceDN w:val="0"/>
              <w:adjustRightInd w:val="0"/>
              <w:spacing w:after="240"/>
              <w:ind w:left="905" w:hanging="480"/>
              <w:contextualSpacing/>
              <w:rPr>
                <w:rFonts w:ascii="Times New Roman" w:eastAsia="Calibri" w:hAnsi="Times New Roman" w:cs="Times New Roman"/>
                <w:sz w:val="24"/>
                <w:szCs w:val="24"/>
              </w:rPr>
            </w:pPr>
            <w:r w:rsidRPr="00D65CAC">
              <w:rPr>
                <w:rFonts w:ascii="Times New Roman" w:eastAsia="Calibri" w:hAnsi="Times New Roman" w:cs="Times New Roman"/>
                <w:sz w:val="24"/>
                <w:szCs w:val="24"/>
              </w:rPr>
              <w:t xml:space="preserve">review and appeal processes; and </w:t>
            </w:r>
          </w:p>
          <w:p w14:paraId="01C41DAB" w14:textId="211DBB15" w:rsidR="00D65CAC" w:rsidRPr="00D65CAC" w:rsidRDefault="00D65CAC" w:rsidP="00D65CAC">
            <w:pPr>
              <w:numPr>
                <w:ilvl w:val="0"/>
                <w:numId w:val="1"/>
              </w:numPr>
              <w:tabs>
                <w:tab w:val="left" w:pos="1843"/>
              </w:tabs>
              <w:kinsoku w:val="0"/>
              <w:overflowPunct w:val="0"/>
              <w:autoSpaceDE w:val="0"/>
              <w:autoSpaceDN w:val="0"/>
              <w:adjustRightInd w:val="0"/>
              <w:spacing w:after="240"/>
              <w:ind w:left="905" w:hanging="480"/>
              <w:contextualSpacing/>
              <w:rPr>
                <w:rFonts w:ascii="Times New Roman" w:hAnsi="Times New Roman" w:cs="Times New Roman"/>
                <w:color w:val="000000"/>
                <w:sz w:val="24"/>
                <w:szCs w:val="24"/>
                <w:lang w:eastAsia="en-AU"/>
              </w:rPr>
            </w:pPr>
            <w:proofErr w:type="gramStart"/>
            <w:r w:rsidRPr="00D65CAC">
              <w:rPr>
                <w:rFonts w:ascii="Times New Roman" w:eastAsia="Calibri" w:hAnsi="Times New Roman" w:cs="Times New Roman"/>
                <w:sz w:val="24"/>
                <w:szCs w:val="24"/>
              </w:rPr>
              <w:t>reporting</w:t>
            </w:r>
            <w:proofErr w:type="gramEnd"/>
            <w:r w:rsidRPr="00D65CAC">
              <w:rPr>
                <w:rFonts w:ascii="Times New Roman" w:eastAsia="Calibri" w:hAnsi="Times New Roman" w:cs="Times New Roman"/>
                <w:sz w:val="24"/>
                <w:szCs w:val="24"/>
              </w:rPr>
              <w:t xml:space="preserve"> arrangements</w:t>
            </w:r>
            <w:r w:rsidR="0011618D">
              <w:rPr>
                <w:rFonts w:ascii="Times New Roman" w:eastAsia="Calibri" w:hAnsi="Times New Roman" w:cs="Times New Roman"/>
                <w:sz w:val="24"/>
                <w:szCs w:val="24"/>
              </w:rPr>
              <w:t>.</w:t>
            </w:r>
          </w:p>
          <w:p w14:paraId="01C41DAC" w14:textId="77777777" w:rsidR="00D65CAC" w:rsidRPr="00D65CAC" w:rsidRDefault="00D65CAC" w:rsidP="00D65CAC">
            <w:pPr>
              <w:tabs>
                <w:tab w:val="left" w:pos="1843"/>
              </w:tabs>
              <w:kinsoku w:val="0"/>
              <w:overflowPunct w:val="0"/>
              <w:autoSpaceDE w:val="0"/>
              <w:autoSpaceDN w:val="0"/>
              <w:adjustRightInd w:val="0"/>
              <w:spacing w:after="240"/>
              <w:ind w:left="905"/>
              <w:contextualSpacing/>
              <w:rPr>
                <w:rFonts w:ascii="Times New Roman" w:hAnsi="Times New Roman" w:cs="Times New Roman"/>
                <w:color w:val="000000"/>
                <w:sz w:val="24"/>
                <w:szCs w:val="24"/>
                <w:lang w:eastAsia="en-AU"/>
              </w:rPr>
            </w:pPr>
          </w:p>
        </w:tc>
        <w:tc>
          <w:tcPr>
            <w:tcW w:w="4101" w:type="dxa"/>
          </w:tcPr>
          <w:p w14:paraId="01C41DAD" w14:textId="77777777" w:rsidR="00D65CAC" w:rsidRPr="00D65CAC" w:rsidRDefault="00D65CAC" w:rsidP="00D65CAC">
            <w:pPr>
              <w:rPr>
                <w:rFonts w:ascii="Times New Roman" w:eastAsia="Calibri" w:hAnsi="Times New Roman" w:cs="Times New Roman"/>
                <w:b/>
                <w:sz w:val="24"/>
                <w:szCs w:val="24"/>
              </w:rPr>
            </w:pPr>
            <w:r w:rsidRPr="00D65CAC">
              <w:rPr>
                <w:rFonts w:ascii="Times New Roman" w:eastAsia="Calibri" w:hAnsi="Times New Roman" w:cs="Times New Roman"/>
                <w:b/>
                <w:sz w:val="24"/>
                <w:szCs w:val="24"/>
              </w:rPr>
              <w:t>Supported</w:t>
            </w:r>
          </w:p>
          <w:p w14:paraId="01C41DAE" w14:textId="77777777" w:rsidR="00D65CAC" w:rsidRPr="00D65CAC" w:rsidRDefault="00D65CAC" w:rsidP="00D65CAC">
            <w:pPr>
              <w:rPr>
                <w:rFonts w:ascii="Times New Roman" w:eastAsia="Calibri" w:hAnsi="Times New Roman" w:cs="Times New Roman"/>
                <w:sz w:val="24"/>
                <w:szCs w:val="24"/>
              </w:rPr>
            </w:pPr>
          </w:p>
          <w:p w14:paraId="01C41DAF" w14:textId="77777777" w:rsidR="00D65CAC" w:rsidRPr="00D65CAC" w:rsidRDefault="00D65CAC" w:rsidP="00D65CAC">
            <w:pPr>
              <w:rPr>
                <w:rFonts w:ascii="Times New Roman" w:eastAsia="Calibri" w:hAnsi="Times New Roman" w:cs="Times New Roman"/>
                <w:sz w:val="24"/>
                <w:szCs w:val="24"/>
              </w:rPr>
            </w:pPr>
            <w:r w:rsidRPr="00D65CAC">
              <w:rPr>
                <w:rFonts w:ascii="Times New Roman" w:eastAsia="Calibri" w:hAnsi="Times New Roman" w:cs="Times New Roman"/>
                <w:sz w:val="24"/>
                <w:szCs w:val="24"/>
              </w:rPr>
              <w:t xml:space="preserve">The Australian Government will release whole-of-government guidelines for the use of section 313 of the </w:t>
            </w:r>
            <w:r w:rsidRPr="00D65CAC">
              <w:rPr>
                <w:rFonts w:ascii="Times New Roman" w:eastAsia="Calibri" w:hAnsi="Times New Roman" w:cs="Times New Roman"/>
                <w:i/>
                <w:sz w:val="24"/>
                <w:szCs w:val="24"/>
              </w:rPr>
              <w:t>Telecommunications Act 1997</w:t>
            </w:r>
            <w:r w:rsidRPr="00D65CAC">
              <w:rPr>
                <w:rFonts w:ascii="Times New Roman" w:eastAsia="Calibri" w:hAnsi="Times New Roman" w:cs="Times New Roman"/>
                <w:sz w:val="24"/>
                <w:szCs w:val="24"/>
              </w:rPr>
              <w:t xml:space="preserve"> by government agencies to disrupt the operation of illegal online services.</w:t>
            </w:r>
          </w:p>
          <w:p w14:paraId="01C41DB0" w14:textId="77777777" w:rsidR="00D65CAC" w:rsidRPr="00D65CAC" w:rsidRDefault="00D65CAC" w:rsidP="00D65CAC">
            <w:pPr>
              <w:rPr>
                <w:rFonts w:ascii="Times New Roman" w:eastAsia="Calibri" w:hAnsi="Times New Roman" w:cs="Times New Roman"/>
                <w:sz w:val="24"/>
                <w:szCs w:val="24"/>
              </w:rPr>
            </w:pPr>
          </w:p>
          <w:p w14:paraId="01C41DB1" w14:textId="77777777" w:rsidR="00D65CAC" w:rsidRPr="00D65CAC" w:rsidRDefault="00D65CAC" w:rsidP="00D65CAC">
            <w:pPr>
              <w:rPr>
                <w:rFonts w:ascii="Times New Roman" w:eastAsia="Calibri" w:hAnsi="Times New Roman" w:cs="Times New Roman"/>
                <w:sz w:val="24"/>
                <w:szCs w:val="24"/>
              </w:rPr>
            </w:pPr>
            <w:r w:rsidRPr="00D65CAC">
              <w:rPr>
                <w:rFonts w:ascii="Times New Roman" w:eastAsia="Calibri" w:hAnsi="Times New Roman" w:cs="Times New Roman"/>
                <w:sz w:val="24"/>
                <w:szCs w:val="24"/>
              </w:rPr>
              <w:t>The guidelines will include measures to improve transparency and accountability, including minimum requirements and recommended procedures for agencies to follow.</w:t>
            </w:r>
          </w:p>
          <w:p w14:paraId="01C41DB2" w14:textId="77777777" w:rsidR="00D65CAC" w:rsidRPr="00D65CAC" w:rsidRDefault="00D65CAC" w:rsidP="00D65CAC">
            <w:pPr>
              <w:rPr>
                <w:rFonts w:ascii="Times New Roman" w:eastAsia="Calibri" w:hAnsi="Times New Roman" w:cs="Times New Roman"/>
                <w:sz w:val="24"/>
                <w:szCs w:val="24"/>
              </w:rPr>
            </w:pPr>
          </w:p>
          <w:p w14:paraId="01C41DB3" w14:textId="77777777" w:rsidR="00D65CAC" w:rsidRPr="00D65CAC" w:rsidRDefault="00D65CAC" w:rsidP="00D65CAC">
            <w:pPr>
              <w:rPr>
                <w:rFonts w:ascii="Times New Roman" w:eastAsia="Calibri" w:hAnsi="Times New Roman" w:cs="Times New Roman"/>
              </w:rPr>
            </w:pPr>
            <w:r w:rsidRPr="00D65CAC">
              <w:rPr>
                <w:rFonts w:ascii="Times New Roman" w:eastAsia="Calibri" w:hAnsi="Times New Roman" w:cs="Times New Roman"/>
                <w:sz w:val="24"/>
                <w:szCs w:val="24"/>
              </w:rPr>
              <w:t>The guidelines will be developed by the Department of Communications and the Arts in consultation with relevant stakeholders, including government agencies and the telecommunications industry.</w:t>
            </w:r>
          </w:p>
        </w:tc>
      </w:tr>
      <w:tr w:rsidR="00D65CAC" w:rsidRPr="00D65CAC" w14:paraId="01C41DBC" w14:textId="77777777" w:rsidTr="00045957">
        <w:trPr>
          <w:jc w:val="center"/>
        </w:trPr>
        <w:tc>
          <w:tcPr>
            <w:tcW w:w="4920" w:type="dxa"/>
          </w:tcPr>
          <w:p w14:paraId="01C41DB5" w14:textId="77777777" w:rsidR="00D65CAC" w:rsidRPr="00D65CAC" w:rsidRDefault="00D65CAC" w:rsidP="00D65CAC">
            <w:pPr>
              <w:rPr>
                <w:rFonts w:ascii="Times New Roman" w:eastAsia="Calibri" w:hAnsi="Times New Roman" w:cs="Times New Roman"/>
                <w:b/>
                <w:sz w:val="24"/>
                <w:szCs w:val="24"/>
              </w:rPr>
            </w:pPr>
            <w:r w:rsidRPr="00D65CAC">
              <w:rPr>
                <w:rFonts w:ascii="Times New Roman" w:eastAsia="Calibri" w:hAnsi="Times New Roman" w:cs="Times New Roman"/>
                <w:b/>
                <w:sz w:val="24"/>
                <w:szCs w:val="24"/>
              </w:rPr>
              <w:t>Recommendation Two</w:t>
            </w:r>
          </w:p>
          <w:p w14:paraId="01C41DB6" w14:textId="77777777" w:rsidR="00D65CAC" w:rsidRPr="00D65CAC" w:rsidRDefault="00D65CAC" w:rsidP="00D65CAC">
            <w:pPr>
              <w:rPr>
                <w:rFonts w:ascii="Times New Roman" w:eastAsia="Calibri" w:hAnsi="Times New Roman" w:cs="Times New Roman"/>
                <w:sz w:val="24"/>
                <w:szCs w:val="24"/>
              </w:rPr>
            </w:pPr>
          </w:p>
          <w:p w14:paraId="01C41DB7" w14:textId="77777777" w:rsidR="00D65CAC" w:rsidRPr="00D65CAC" w:rsidRDefault="00D65CAC" w:rsidP="00D65CAC">
            <w:pPr>
              <w:rPr>
                <w:rFonts w:ascii="Times New Roman" w:eastAsia="Calibri" w:hAnsi="Times New Roman" w:cs="Times New Roman"/>
                <w:sz w:val="24"/>
                <w:szCs w:val="24"/>
              </w:rPr>
            </w:pPr>
            <w:r w:rsidRPr="00D65CAC">
              <w:rPr>
                <w:rFonts w:ascii="Times New Roman" w:eastAsia="Calibri" w:hAnsi="Times New Roman" w:cs="Times New Roman"/>
                <w:sz w:val="24"/>
                <w:szCs w:val="24"/>
              </w:rPr>
              <w:t xml:space="preserve">The Committee recommends to the Australian Government that all agencies using section 313 of the </w:t>
            </w:r>
            <w:r w:rsidRPr="00D65CAC">
              <w:rPr>
                <w:rFonts w:ascii="Times New Roman" w:eastAsia="Calibri" w:hAnsi="Times New Roman" w:cs="Times New Roman"/>
                <w:i/>
                <w:sz w:val="24"/>
                <w:szCs w:val="24"/>
              </w:rPr>
              <w:t>Telecommunications Act 1997</w:t>
            </w:r>
            <w:r w:rsidRPr="00D65CAC">
              <w:rPr>
                <w:rFonts w:ascii="Times New Roman" w:eastAsia="Calibri" w:hAnsi="Times New Roman" w:cs="Times New Roman"/>
                <w:sz w:val="24"/>
                <w:szCs w:val="24"/>
              </w:rPr>
              <w:t>, to disrupt the operation of illegal online services have the requisite level of technical expertise within the agency to carry out such activity, or established procedures for drawing on the expertise of other agencies.</w:t>
            </w:r>
          </w:p>
          <w:p w14:paraId="01C41DB8" w14:textId="77777777" w:rsidR="00D65CAC" w:rsidRPr="00D65CAC" w:rsidRDefault="00D65CAC" w:rsidP="00D65CAC">
            <w:pPr>
              <w:rPr>
                <w:rFonts w:ascii="Times New Roman" w:eastAsia="Calibri" w:hAnsi="Times New Roman" w:cs="Times New Roman"/>
              </w:rPr>
            </w:pPr>
          </w:p>
        </w:tc>
        <w:tc>
          <w:tcPr>
            <w:tcW w:w="4101" w:type="dxa"/>
          </w:tcPr>
          <w:p w14:paraId="01C41DB9" w14:textId="77777777" w:rsidR="00D65CAC" w:rsidRPr="00D65CAC" w:rsidRDefault="00D65CAC" w:rsidP="00D65CAC">
            <w:pPr>
              <w:rPr>
                <w:rFonts w:ascii="Times New Roman" w:eastAsia="Calibri" w:hAnsi="Times New Roman" w:cs="Times New Roman"/>
                <w:b/>
                <w:sz w:val="24"/>
                <w:szCs w:val="24"/>
              </w:rPr>
            </w:pPr>
            <w:r w:rsidRPr="00D65CAC">
              <w:rPr>
                <w:rFonts w:ascii="Times New Roman" w:eastAsia="Calibri" w:hAnsi="Times New Roman" w:cs="Times New Roman"/>
                <w:b/>
                <w:sz w:val="24"/>
                <w:szCs w:val="24"/>
              </w:rPr>
              <w:t>Supported</w:t>
            </w:r>
          </w:p>
          <w:p w14:paraId="01C41DBA" w14:textId="77777777" w:rsidR="00D65CAC" w:rsidRPr="00D65CAC" w:rsidRDefault="00D65CAC" w:rsidP="00D65CAC">
            <w:pPr>
              <w:rPr>
                <w:rFonts w:ascii="Times New Roman" w:eastAsia="Calibri" w:hAnsi="Times New Roman" w:cs="Times New Roman"/>
                <w:sz w:val="24"/>
                <w:szCs w:val="24"/>
              </w:rPr>
            </w:pPr>
          </w:p>
          <w:p w14:paraId="01C41DBB" w14:textId="77777777" w:rsidR="00D65CAC" w:rsidRPr="00D65CAC" w:rsidRDefault="00D65CAC" w:rsidP="00D65CAC">
            <w:pPr>
              <w:rPr>
                <w:rFonts w:ascii="Times New Roman" w:eastAsia="Calibri" w:hAnsi="Times New Roman" w:cs="Times New Roman"/>
              </w:rPr>
            </w:pPr>
            <w:r w:rsidRPr="00D65CAC">
              <w:rPr>
                <w:rFonts w:ascii="Times New Roman" w:eastAsia="Calibri" w:hAnsi="Times New Roman" w:cs="Times New Roman"/>
                <w:sz w:val="24"/>
                <w:szCs w:val="24"/>
              </w:rPr>
              <w:t>The whole-of-government guidelines</w:t>
            </w:r>
            <w:r w:rsidRPr="00D65CAC" w:rsidDel="0064105A">
              <w:rPr>
                <w:rFonts w:ascii="Times New Roman" w:eastAsia="Calibri" w:hAnsi="Times New Roman" w:cs="Times New Roman"/>
                <w:sz w:val="24"/>
                <w:szCs w:val="24"/>
              </w:rPr>
              <w:t xml:space="preserve"> </w:t>
            </w:r>
            <w:r w:rsidRPr="00D65CAC">
              <w:rPr>
                <w:rFonts w:ascii="Times New Roman" w:eastAsia="Calibri" w:hAnsi="Times New Roman" w:cs="Times New Roman"/>
                <w:sz w:val="24"/>
                <w:szCs w:val="24"/>
              </w:rPr>
              <w:t xml:space="preserve">will include a requirement for agencies to have the requisite level of technical expertise, or established procedures for drawing on such expertise, as recommended by the Committee. </w:t>
            </w:r>
          </w:p>
        </w:tc>
      </w:tr>
    </w:tbl>
    <w:p w14:paraId="01C41DBD" w14:textId="77777777" w:rsidR="00D65CAC" w:rsidRPr="00D65CAC" w:rsidRDefault="00D65CAC" w:rsidP="00D65CAC">
      <w:pPr>
        <w:widowControl/>
        <w:spacing w:after="160"/>
        <w:jc w:val="center"/>
        <w:rPr>
          <w:rFonts w:ascii="Arial" w:hAnsi="Arial" w:cs="Arial"/>
          <w:b/>
          <w:bCs/>
          <w:sz w:val="24"/>
          <w:szCs w:val="24"/>
          <w:lang w:val="en-AU"/>
        </w:rPr>
      </w:pPr>
    </w:p>
    <w:sectPr w:rsidR="00D65CAC" w:rsidRPr="00D65CAC">
      <w:type w:val="continuous"/>
      <w:pgSz w:w="11907" w:h="16840"/>
      <w:pgMar w:top="620" w:right="11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632B0E"/>
    <w:multiLevelType w:val="multilevel"/>
    <w:tmpl w:val="D2EC60F8"/>
    <w:lvl w:ilvl="0">
      <w:start w:val="1"/>
      <w:numFmt w:val="bullet"/>
      <w:lvlText w:val=""/>
      <w:lvlJc w:val="left"/>
      <w:pPr>
        <w:ind w:hanging="425"/>
      </w:pPr>
      <w:rPr>
        <w:rFonts w:ascii="Symbol" w:hAnsi="Symbol" w:hint="default"/>
        <w:b w:val="0"/>
        <w:bCs w:val="0"/>
        <w:spacing w:val="-1"/>
        <w:sz w:val="24"/>
        <w:szCs w:val="24"/>
      </w:rPr>
    </w:lvl>
    <w:lvl w:ilvl="1">
      <w:start w:val="1"/>
      <w:numFmt w:val="lowerLetter"/>
      <w:lvlText w:val="%2."/>
      <w:lvlJc w:val="left"/>
      <w:pPr>
        <w:ind w:hanging="240"/>
      </w:pPr>
      <w:rPr>
        <w:rFonts w:ascii="Book Antiqua" w:hAnsi="Book Antiqua" w:cs="Book Antiqua"/>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20"/>
    <w:rsid w:val="00045957"/>
    <w:rsid w:val="000B52F6"/>
    <w:rsid w:val="000D154B"/>
    <w:rsid w:val="0011618D"/>
    <w:rsid w:val="004362AD"/>
    <w:rsid w:val="00D65CAC"/>
    <w:rsid w:val="00D82320"/>
    <w:rsid w:val="00FC4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1D5D"/>
  <w15:docId w15:val="{26BDF4ED-8751-4180-93B9-F72FC97F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
    </w:pPr>
    <w:rPr>
      <w:rFonts w:ascii="Times New Roman" w:eastAsia="Times New Roman" w:hAnsi="Times New Roman"/>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D65CAC"/>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5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92D076D5FC414DB2EA38F1007F3DE7" ma:contentTypeVersion="0" ma:contentTypeDescription="Create a new document." ma:contentTypeScope="" ma:versionID="6d56e04f7231612a5e1366b10a82833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C5737-3F6A-4CAC-9B10-C2450EEA0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9A01D8-BF18-4DD3-8EC0-8150A5C4D704}">
  <ds:schemaRefs>
    <ds:schemaRef ds:uri="http://schemas.microsoft.com/sharepoint/v3/contenttype/forms"/>
  </ds:schemaRefs>
</ds:datastoreItem>
</file>

<file path=customXml/itemProps3.xml><?xml version="1.0" encoding="utf-8"?>
<ds:datastoreItem xmlns:ds="http://schemas.openxmlformats.org/officeDocument/2006/customXml" ds:itemID="{74EA8162-BDAF-444D-96FB-8518CB3E39F6}">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AB541730.dotm</Template>
  <TotalTime>1</TotalTime>
  <Pages>2</Pages>
  <Words>352</Words>
  <Characters>2012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Clery, Mark</dc:creator>
  <cp:lastModifiedBy>Owers, Cameron</cp:lastModifiedBy>
  <cp:revision>2</cp:revision>
  <cp:lastPrinted>2015-11-19T00:49:00Z</cp:lastPrinted>
  <dcterms:created xsi:type="dcterms:W3CDTF">2015-11-19T00:50:00Z</dcterms:created>
  <dcterms:modified xsi:type="dcterms:W3CDTF">2015-11-19T00:50:00Z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2015-11-11T00:00:00Z</vt:filetime>
  </property>
  <property fmtid="{D5CDD505-2E9C-101B-9397-08002B2CF9AE}" pid="3" name="ContentTypeId">
    <vt:lpwstr>0x0101005B92D076D5FC414DB2EA38F1007F3DE7</vt:lpwstr>
  </property>
  <property fmtid="{D5CDD505-2E9C-101B-9397-08002B2CF9AE}" pid="4" name="TrimRevisionNumber">
    <vt:i4>3</vt:i4>
  </property>
</Properties>
</file>