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95A14" w14:textId="77777777" w:rsidR="00C61801" w:rsidRPr="00866A71" w:rsidRDefault="00C61801" w:rsidP="00665016">
      <w:pPr>
        <w:pStyle w:val="DBCDElogo"/>
      </w:pPr>
      <w:bookmarkStart w:id="0" w:name="_GoBack"/>
      <w:bookmarkEnd w:id="0"/>
    </w:p>
    <w:p w14:paraId="5CE1B3A4" w14:textId="77777777" w:rsidR="00583203" w:rsidRDefault="00583203" w:rsidP="009B3DEC">
      <w:pPr>
        <w:pStyle w:val="Titleheading"/>
        <w:contextualSpacing/>
      </w:pPr>
    </w:p>
    <w:p w14:paraId="59B57684" w14:textId="77777777" w:rsidR="00583203" w:rsidRDefault="00583203" w:rsidP="009B3DEC">
      <w:pPr>
        <w:pStyle w:val="Titleheading"/>
        <w:contextualSpacing/>
      </w:pPr>
    </w:p>
    <w:p w14:paraId="21907AED" w14:textId="77777777" w:rsidR="009B3DEC" w:rsidRDefault="00135AA6" w:rsidP="009B3DEC">
      <w:pPr>
        <w:pStyle w:val="Titleheading"/>
        <w:contextualSpacing/>
      </w:pPr>
      <w:r>
        <w:t>Digital Radio Report</w:t>
      </w:r>
    </w:p>
    <w:p w14:paraId="3EC888D3" w14:textId="77777777" w:rsidR="00135AA6" w:rsidRPr="00713182" w:rsidRDefault="00135AA6" w:rsidP="00713182">
      <w:pPr>
        <w:pStyle w:val="Titlesub-heading"/>
        <w:spacing w:line="280" w:lineRule="atLeast"/>
        <w:rPr>
          <w:sz w:val="32"/>
          <w:szCs w:val="32"/>
        </w:rPr>
      </w:pPr>
      <w:bookmarkStart w:id="1" w:name="_Toc368040219"/>
      <w:bookmarkStart w:id="2" w:name="_Toc368642060"/>
      <w:bookmarkStart w:id="3" w:name="_Toc368642128"/>
      <w:bookmarkStart w:id="4" w:name="_Toc370976703"/>
      <w:bookmarkStart w:id="5" w:name="_Toc370978246"/>
      <w:bookmarkStart w:id="6" w:name="_Toc370978287"/>
      <w:bookmarkStart w:id="7" w:name="_Toc373481572"/>
      <w:bookmarkStart w:id="8" w:name="_Toc375320996"/>
      <w:bookmarkStart w:id="9" w:name="_Toc376421884"/>
      <w:bookmarkStart w:id="10" w:name="_Toc385319245"/>
      <w:bookmarkStart w:id="11" w:name="_Toc385400596"/>
      <w:bookmarkStart w:id="12" w:name="_Toc388364980"/>
      <w:bookmarkStart w:id="13" w:name="_Toc388365984"/>
      <w:bookmarkStart w:id="14" w:name="_Toc388366011"/>
      <w:bookmarkStart w:id="15" w:name="_Toc389746881"/>
      <w:bookmarkStart w:id="16" w:name="_Toc390438496"/>
      <w:bookmarkStart w:id="17" w:name="_Toc392149777"/>
      <w:bookmarkStart w:id="18" w:name="_Toc392256566"/>
      <w:bookmarkStart w:id="19" w:name="_Toc395694225"/>
      <w:bookmarkStart w:id="20" w:name="_Toc395794458"/>
      <w:bookmarkStart w:id="21" w:name="_Toc395795781"/>
      <w:bookmarkStart w:id="22" w:name="_Toc396137102"/>
      <w:bookmarkStart w:id="23" w:name="_Toc396201008"/>
      <w:bookmarkStart w:id="24" w:name="_Toc396212041"/>
      <w:bookmarkStart w:id="25" w:name="_Toc396221578"/>
      <w:bookmarkStart w:id="26" w:name="_Toc397517864"/>
      <w:r w:rsidRPr="00713182">
        <w:rPr>
          <w:sz w:val="32"/>
          <w:szCs w:val="32"/>
        </w:rPr>
        <w:t xml:space="preserve">Reviews under section 215B of the </w:t>
      </w:r>
      <w:r w:rsidRPr="00713182">
        <w:rPr>
          <w:i/>
          <w:sz w:val="32"/>
          <w:szCs w:val="32"/>
        </w:rPr>
        <w:t>Broadcasting Services Act 1992</w:t>
      </w:r>
      <w:r w:rsidRPr="00713182">
        <w:rPr>
          <w:sz w:val="32"/>
          <w:szCs w:val="32"/>
        </w:rPr>
        <w:t xml:space="preserve"> and section 313B of the </w:t>
      </w:r>
      <w:r w:rsidRPr="00713182">
        <w:rPr>
          <w:i/>
          <w:sz w:val="32"/>
          <w:szCs w:val="32"/>
        </w:rPr>
        <w:t>Radiocommunications Act 1992</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2E35DF5E" w14:textId="763F883F" w:rsidR="009B3DEC" w:rsidRDefault="0087153B" w:rsidP="009B3DEC">
      <w:pPr>
        <w:pStyle w:val="Titledate"/>
      </w:pPr>
      <w:r>
        <w:t>July</w:t>
      </w:r>
      <w:r w:rsidR="00A21E77">
        <w:t xml:space="preserve"> </w:t>
      </w:r>
      <w:r w:rsidR="004517A7">
        <w:t>2015</w:t>
      </w:r>
    </w:p>
    <w:p w14:paraId="63C6F562" w14:textId="77777777" w:rsidR="009C1549" w:rsidRPr="00866A71" w:rsidRDefault="009C1549" w:rsidP="00BA5622">
      <w:pPr>
        <w:pStyle w:val="BodyText"/>
      </w:pPr>
    </w:p>
    <w:p w14:paraId="62C0A171" w14:textId="77777777" w:rsidR="002F3D38" w:rsidRDefault="00C61801" w:rsidP="008A135A">
      <w:r>
        <w:br w:type="page"/>
      </w:r>
    </w:p>
    <w:p w14:paraId="12FE5B06" w14:textId="77777777" w:rsidR="008A135A" w:rsidRDefault="008A135A" w:rsidP="006241BB">
      <w:pPr>
        <w:pStyle w:val="copyrighttextStyles"/>
      </w:pPr>
    </w:p>
    <w:p w14:paraId="42F6A908" w14:textId="77777777" w:rsidR="005077CA" w:rsidRPr="00E5315D" w:rsidRDefault="005077CA" w:rsidP="005077CA">
      <w:pPr>
        <w:pStyle w:val="copyrightHeading2Styles"/>
      </w:pPr>
      <w:r w:rsidRPr="00E5315D">
        <w:t>Disclaimer</w:t>
      </w:r>
    </w:p>
    <w:p w14:paraId="0BBF660F" w14:textId="77777777" w:rsidR="005077CA" w:rsidRPr="00E5315D" w:rsidRDefault="005077CA" w:rsidP="005077CA">
      <w:pPr>
        <w:pStyle w:val="copyrighttextStyles"/>
      </w:pPr>
      <w:r w:rsidRPr="00E5315D">
        <w:t>The material in this report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48BB123C" w14:textId="77777777" w:rsidR="005077CA" w:rsidRPr="00E5315D" w:rsidRDefault="005077CA" w:rsidP="005077CA">
      <w:pPr>
        <w:pStyle w:val="copyrighttextStyles"/>
      </w:pPr>
      <w:r w:rsidRPr="00E5315D">
        <w:t>The Commonwealth accepts no responsibility or liability for any damage, loss or expense incurred as a result of the reliance on information contained in this report.</w:t>
      </w:r>
    </w:p>
    <w:p w14:paraId="4BB757E5" w14:textId="77777777" w:rsidR="005077CA" w:rsidRPr="00E5315D" w:rsidRDefault="005077CA" w:rsidP="005077CA">
      <w:pPr>
        <w:pStyle w:val="copyrighttextStyles"/>
      </w:pPr>
      <w:r w:rsidRPr="00E5315D">
        <w:t>This report has been prepared for consultation purposes only and does not indicate the Commonwealth’s commitment to a particular course of action. Additionally, any third party views or recommendations included in this report do not reflect the views of the Commonwealth, or indicate its commitment to a particular course of action.</w:t>
      </w:r>
    </w:p>
    <w:p w14:paraId="53B3CCB3" w14:textId="77777777" w:rsidR="005077CA" w:rsidRPr="00E5315D" w:rsidRDefault="005077CA" w:rsidP="005077CA">
      <w:pPr>
        <w:pStyle w:val="copyrightHeading2Styles"/>
        <w:rPr>
          <w:lang w:eastAsia="en-AU"/>
        </w:rPr>
      </w:pPr>
      <w:r w:rsidRPr="00E5315D">
        <w:rPr>
          <w:lang w:eastAsia="en-AU"/>
        </w:rPr>
        <w:t>Copyright</w:t>
      </w:r>
    </w:p>
    <w:p w14:paraId="33C0C712" w14:textId="107E911A" w:rsidR="005077CA" w:rsidRPr="00E5315D" w:rsidRDefault="005077CA" w:rsidP="005077CA">
      <w:pPr>
        <w:pStyle w:val="copyrighttextStyles"/>
        <w:rPr>
          <w:rFonts w:ascii="Calibri" w:hAnsi="Calibri" w:cs="Calibri"/>
          <w:color w:val="auto"/>
          <w:lang w:eastAsia="en-AU"/>
        </w:rPr>
      </w:pPr>
      <w:r w:rsidRPr="00E5315D">
        <w:rPr>
          <w:lang w:eastAsia="en-AU"/>
        </w:rPr>
        <w:t>© Commonwealth of Australia 201</w:t>
      </w:r>
      <w:r w:rsidR="00691E3D">
        <w:rPr>
          <w:lang w:eastAsia="en-AU"/>
        </w:rPr>
        <w:t>5</w:t>
      </w:r>
      <w:r w:rsidRPr="00E5315D">
        <w:rPr>
          <w:lang w:eastAsia="en-AU"/>
        </w:rPr>
        <w:t xml:space="preserve"> </w:t>
      </w:r>
    </w:p>
    <w:p w14:paraId="05A1C16E" w14:textId="77777777" w:rsidR="005077CA" w:rsidRPr="00E5315D" w:rsidRDefault="005077CA" w:rsidP="005077CA">
      <w:pPr>
        <w:pStyle w:val="copyrighttextStyles"/>
        <w:rPr>
          <w:lang w:eastAsia="en-AU"/>
        </w:rPr>
      </w:pPr>
      <w:r w:rsidRPr="00E5315D">
        <w:rPr>
          <w:noProof/>
          <w:lang w:eastAsia="en-AU"/>
        </w:rPr>
        <w:drawing>
          <wp:inline distT="0" distB="0" distL="0" distR="0" wp14:anchorId="1327DA6D" wp14:editId="1327DA6E">
            <wp:extent cx="836930" cy="293370"/>
            <wp:effectExtent l="0" t="0" r="0" b="0"/>
            <wp:docPr id="3" name="Picture 3" descr="cid:image001.jpg@01CF4DB8.C9F87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E5315D">
        <w:rPr>
          <w:lang w:eastAsia="en-AU"/>
        </w:rPr>
        <w:t>  The material in this report is licensed under a Creative Commons Attribution—3.0 Australia license, with the exception of:</w:t>
      </w:r>
    </w:p>
    <w:p w14:paraId="29863BCE" w14:textId="77777777" w:rsidR="005077CA" w:rsidRPr="00E5315D" w:rsidRDefault="005077CA" w:rsidP="005077CA">
      <w:pPr>
        <w:pStyle w:val="copyrighttextStyles"/>
        <w:numPr>
          <w:ilvl w:val="0"/>
          <w:numId w:val="66"/>
        </w:numPr>
        <w:rPr>
          <w:lang w:eastAsia="en-AU"/>
        </w:rPr>
      </w:pPr>
      <w:r w:rsidRPr="00E5315D">
        <w:rPr>
          <w:lang w:eastAsia="en-AU"/>
        </w:rPr>
        <w:t>the Commonwealth Coat of Arms;</w:t>
      </w:r>
    </w:p>
    <w:p w14:paraId="1DB11312" w14:textId="77777777" w:rsidR="005077CA" w:rsidRPr="00E5315D" w:rsidRDefault="005077CA" w:rsidP="005077CA">
      <w:pPr>
        <w:pStyle w:val="copyrighttextStyles"/>
        <w:numPr>
          <w:ilvl w:val="0"/>
          <w:numId w:val="66"/>
        </w:numPr>
        <w:rPr>
          <w:lang w:eastAsia="en-AU"/>
        </w:rPr>
      </w:pPr>
      <w:r w:rsidRPr="00E5315D">
        <w:rPr>
          <w:lang w:eastAsia="en-AU"/>
        </w:rPr>
        <w:t>this Department’s logo;</w:t>
      </w:r>
    </w:p>
    <w:p w14:paraId="2D356D16" w14:textId="77777777" w:rsidR="005077CA" w:rsidRPr="00E5315D" w:rsidRDefault="005077CA" w:rsidP="005077CA">
      <w:pPr>
        <w:pStyle w:val="copyrighttextStyles"/>
        <w:numPr>
          <w:ilvl w:val="0"/>
          <w:numId w:val="66"/>
        </w:numPr>
        <w:rPr>
          <w:lang w:eastAsia="en-AU"/>
        </w:rPr>
      </w:pPr>
      <w:r w:rsidRPr="00E5315D">
        <w:rPr>
          <w:lang w:eastAsia="en-AU"/>
        </w:rPr>
        <w:t>any third party material;</w:t>
      </w:r>
    </w:p>
    <w:p w14:paraId="75A6ACC5" w14:textId="77777777" w:rsidR="005077CA" w:rsidRPr="00E5315D" w:rsidRDefault="005077CA" w:rsidP="005077CA">
      <w:pPr>
        <w:pStyle w:val="copyrighttextStyles"/>
        <w:numPr>
          <w:ilvl w:val="0"/>
          <w:numId w:val="66"/>
        </w:numPr>
        <w:rPr>
          <w:lang w:eastAsia="en-AU"/>
        </w:rPr>
      </w:pPr>
      <w:r w:rsidRPr="00E5315D">
        <w:rPr>
          <w:lang w:eastAsia="en-AU"/>
        </w:rPr>
        <w:t>any material protected by a trademark; and</w:t>
      </w:r>
    </w:p>
    <w:p w14:paraId="163F0239" w14:textId="77777777" w:rsidR="005077CA" w:rsidRPr="00E5315D" w:rsidRDefault="005077CA" w:rsidP="005077CA">
      <w:pPr>
        <w:pStyle w:val="copyrighttextStyles"/>
        <w:numPr>
          <w:ilvl w:val="0"/>
          <w:numId w:val="66"/>
        </w:numPr>
        <w:rPr>
          <w:lang w:eastAsia="en-AU"/>
        </w:rPr>
      </w:pPr>
      <w:r w:rsidRPr="00E5315D">
        <w:rPr>
          <w:lang w:eastAsia="en-AU"/>
        </w:rPr>
        <w:t>any images and/or photographs.</w:t>
      </w:r>
    </w:p>
    <w:p w14:paraId="0A44F38A" w14:textId="1FBE1EEA" w:rsidR="005077CA" w:rsidRPr="00E5315D" w:rsidRDefault="005077CA" w:rsidP="005077CA">
      <w:pPr>
        <w:pStyle w:val="copyrighttextStyles"/>
      </w:pPr>
      <w:r w:rsidRPr="00E5315D">
        <w:t xml:space="preserve">More information on this CC BY license is set out at </w:t>
      </w:r>
      <w:r w:rsidR="00F26647">
        <w:t xml:space="preserve">the </w:t>
      </w:r>
      <w:hyperlink r:id="rId13" w:history="1">
        <w:r w:rsidR="00F26647" w:rsidRPr="00F26647">
          <w:rPr>
            <w:rStyle w:val="Hyperlink"/>
          </w:rPr>
          <w:t>Creative Commons website.</w:t>
        </w:r>
      </w:hyperlink>
      <w:r w:rsidRPr="00E5315D">
        <w:t xml:space="preserve"> Enquiries about this license and any use of this report can be sent to: Media Branch, Department of Communications, GPO Box 2154, Canberra, ACT, 2601.</w:t>
      </w:r>
    </w:p>
    <w:p w14:paraId="123FBCC4" w14:textId="77777777" w:rsidR="005077CA" w:rsidRPr="00E5315D" w:rsidRDefault="005077CA" w:rsidP="005077CA">
      <w:pPr>
        <w:pStyle w:val="copyrighttextStyles"/>
        <w:rPr>
          <w:b/>
          <w:bCs/>
          <w:lang w:eastAsia="en-AU"/>
        </w:rPr>
      </w:pPr>
      <w:r w:rsidRPr="00E5315D">
        <w:rPr>
          <w:b/>
          <w:bCs/>
          <w:lang w:eastAsia="en-AU"/>
        </w:rPr>
        <w:t>Attribution</w:t>
      </w:r>
    </w:p>
    <w:p w14:paraId="3239778E" w14:textId="77777777" w:rsidR="005077CA" w:rsidRPr="00E5315D" w:rsidRDefault="005077CA" w:rsidP="005077CA">
      <w:pPr>
        <w:pStyle w:val="copyrighttextStyles"/>
        <w:rPr>
          <w:lang w:eastAsia="en-AU"/>
        </w:rPr>
      </w:pPr>
      <w:r w:rsidRPr="00E5315D">
        <w:rPr>
          <w:lang w:eastAsia="en-AU"/>
        </w:rPr>
        <w:t>Use of all or part of this report must include the following attribution:</w:t>
      </w:r>
    </w:p>
    <w:p w14:paraId="61AC5FF2" w14:textId="45465A31" w:rsidR="005077CA" w:rsidRPr="00E5315D" w:rsidRDefault="005077CA" w:rsidP="005077CA">
      <w:pPr>
        <w:pStyle w:val="copyrighttextStyles"/>
        <w:ind w:left="720"/>
        <w:rPr>
          <w:lang w:eastAsia="en-AU"/>
        </w:rPr>
      </w:pPr>
      <w:r w:rsidRPr="00E5315D">
        <w:rPr>
          <w:lang w:eastAsia="en-AU"/>
        </w:rPr>
        <w:t xml:space="preserve">© Commonwealth of Australia </w:t>
      </w:r>
      <w:r w:rsidR="00691E3D" w:rsidRPr="00E5315D">
        <w:rPr>
          <w:lang w:eastAsia="en-AU"/>
        </w:rPr>
        <w:t>201</w:t>
      </w:r>
      <w:r w:rsidR="00691E3D">
        <w:rPr>
          <w:lang w:eastAsia="en-AU"/>
        </w:rPr>
        <w:t>5</w:t>
      </w:r>
    </w:p>
    <w:p w14:paraId="2CE9AD31" w14:textId="77777777" w:rsidR="005077CA" w:rsidRPr="00E5315D" w:rsidRDefault="005077CA" w:rsidP="005077CA">
      <w:pPr>
        <w:pStyle w:val="copyrighttextStyles"/>
        <w:rPr>
          <w:b/>
          <w:bCs/>
          <w:lang w:eastAsia="en-AU"/>
        </w:rPr>
      </w:pPr>
      <w:r w:rsidRPr="00E5315D">
        <w:rPr>
          <w:b/>
          <w:bCs/>
          <w:lang w:eastAsia="en-AU"/>
        </w:rPr>
        <w:t>Using the Commonwealth Coat of Arms</w:t>
      </w:r>
    </w:p>
    <w:p w14:paraId="1BA60852" w14:textId="7C72532F" w:rsidR="005077CA" w:rsidRPr="00E5315D" w:rsidRDefault="005077CA" w:rsidP="005077CA">
      <w:pPr>
        <w:pStyle w:val="copyrighttextStyles"/>
      </w:pPr>
      <w:r w:rsidRPr="00E5315D">
        <w:t xml:space="preserve">The terms of use for the Coat of Arms are available from the </w:t>
      </w:r>
      <w:hyperlink r:id="rId14" w:history="1">
        <w:r w:rsidRPr="003A5B53">
          <w:rPr>
            <w:rStyle w:val="Hyperlink"/>
            <w:i/>
          </w:rPr>
          <w:t xml:space="preserve">It’s an Honour </w:t>
        </w:r>
        <w:r w:rsidRPr="003A5B53">
          <w:rPr>
            <w:rStyle w:val="Hyperlink"/>
          </w:rPr>
          <w:t>website</w:t>
        </w:r>
      </w:hyperlink>
      <w:r w:rsidRPr="00E5315D">
        <w:t xml:space="preserve"> </w:t>
      </w:r>
      <w:r w:rsidRPr="00E5315D">
        <w:br/>
        <w:t>(click ‘Commonwealth Coat of Arms’).</w:t>
      </w:r>
    </w:p>
    <w:p w14:paraId="4B99EB42" w14:textId="77777777" w:rsidR="005077CA" w:rsidRPr="00E5315D" w:rsidRDefault="005077CA" w:rsidP="005077CA">
      <w:pPr>
        <w:pStyle w:val="copyrighttextStyles"/>
        <w:rPr>
          <w:rFonts w:eastAsia="Arial"/>
        </w:rPr>
      </w:pPr>
      <w:r w:rsidRPr="00E5315D">
        <w:br w:type="page"/>
      </w:r>
    </w:p>
    <w:p w14:paraId="6AE32907" w14:textId="77777777" w:rsidR="005077CA" w:rsidRPr="00E5315D" w:rsidRDefault="005077CA" w:rsidP="005077CA">
      <w:pPr>
        <w:pStyle w:val="TOCHeading"/>
        <w:rPr>
          <w:rFonts w:eastAsiaTheme="minorHAnsi"/>
        </w:rPr>
      </w:pPr>
      <w:r w:rsidRPr="00E5315D">
        <w:lastRenderedPageBreak/>
        <w:t>Contents</w:t>
      </w:r>
    </w:p>
    <w:p w14:paraId="5837EF43" w14:textId="77777777" w:rsidR="00272266" w:rsidRDefault="005077CA">
      <w:pPr>
        <w:pStyle w:val="TOC1"/>
        <w:rPr>
          <w:rFonts w:asciiTheme="minorHAnsi" w:eastAsiaTheme="minorEastAsia" w:hAnsiTheme="minorHAnsi"/>
          <w:color w:val="auto"/>
          <w:sz w:val="22"/>
          <w:lang w:eastAsia="en-AU"/>
        </w:rPr>
      </w:pPr>
      <w:r w:rsidRPr="00E5315D">
        <w:rPr>
          <w:noProof w:val="0"/>
          <w:sz w:val="22"/>
        </w:rPr>
        <w:fldChar w:fldCharType="begin"/>
      </w:r>
      <w:r w:rsidRPr="00E5315D">
        <w:instrText xml:space="preserve"> TOC \o "1-1" \h \z \t "Heading 2,2,Heading 3,3" </w:instrText>
      </w:r>
      <w:r w:rsidRPr="00E5315D">
        <w:rPr>
          <w:noProof w:val="0"/>
          <w:sz w:val="22"/>
        </w:rPr>
        <w:fldChar w:fldCharType="separate"/>
      </w:r>
      <w:hyperlink w:anchor="_Toc423532085" w:history="1">
        <w:r w:rsidR="00272266" w:rsidRPr="00737880">
          <w:rPr>
            <w:rStyle w:val="Hyperlink"/>
          </w:rPr>
          <w:t>Executive summary, findings and recommendations</w:t>
        </w:r>
        <w:r w:rsidR="00272266">
          <w:rPr>
            <w:webHidden/>
          </w:rPr>
          <w:tab/>
        </w:r>
        <w:r w:rsidR="00272266">
          <w:rPr>
            <w:webHidden/>
          </w:rPr>
          <w:fldChar w:fldCharType="begin"/>
        </w:r>
        <w:r w:rsidR="00272266">
          <w:rPr>
            <w:webHidden/>
          </w:rPr>
          <w:instrText xml:space="preserve"> PAGEREF _Toc423532085 \h </w:instrText>
        </w:r>
        <w:r w:rsidR="00272266">
          <w:rPr>
            <w:webHidden/>
          </w:rPr>
        </w:r>
        <w:r w:rsidR="00272266">
          <w:rPr>
            <w:webHidden/>
          </w:rPr>
          <w:fldChar w:fldCharType="separate"/>
        </w:r>
        <w:r w:rsidR="00272266">
          <w:rPr>
            <w:webHidden/>
          </w:rPr>
          <w:t>4</w:t>
        </w:r>
        <w:r w:rsidR="00272266">
          <w:rPr>
            <w:webHidden/>
          </w:rPr>
          <w:fldChar w:fldCharType="end"/>
        </w:r>
      </w:hyperlink>
    </w:p>
    <w:p w14:paraId="74E2C051" w14:textId="77777777" w:rsidR="00272266" w:rsidRDefault="007D19CD">
      <w:pPr>
        <w:pStyle w:val="TOC2"/>
        <w:rPr>
          <w:rFonts w:asciiTheme="minorHAnsi" w:eastAsiaTheme="minorEastAsia" w:hAnsiTheme="minorHAnsi"/>
          <w:noProof/>
          <w:lang w:eastAsia="en-AU"/>
        </w:rPr>
      </w:pPr>
      <w:hyperlink w:anchor="_Toc423532086" w:history="1">
        <w:r w:rsidR="00272266" w:rsidRPr="00737880">
          <w:rPr>
            <w:rStyle w:val="Hyperlink"/>
            <w:noProof/>
          </w:rPr>
          <w:t>Context</w:t>
        </w:r>
        <w:r w:rsidR="00272266">
          <w:rPr>
            <w:noProof/>
            <w:webHidden/>
          </w:rPr>
          <w:tab/>
        </w:r>
        <w:r w:rsidR="00272266">
          <w:rPr>
            <w:noProof/>
            <w:webHidden/>
          </w:rPr>
          <w:fldChar w:fldCharType="begin"/>
        </w:r>
        <w:r w:rsidR="00272266">
          <w:rPr>
            <w:noProof/>
            <w:webHidden/>
          </w:rPr>
          <w:instrText xml:space="preserve"> PAGEREF _Toc423532086 \h </w:instrText>
        </w:r>
        <w:r w:rsidR="00272266">
          <w:rPr>
            <w:noProof/>
            <w:webHidden/>
          </w:rPr>
        </w:r>
        <w:r w:rsidR="00272266">
          <w:rPr>
            <w:noProof/>
            <w:webHidden/>
          </w:rPr>
          <w:fldChar w:fldCharType="separate"/>
        </w:r>
        <w:r w:rsidR="00272266">
          <w:rPr>
            <w:noProof/>
            <w:webHidden/>
          </w:rPr>
          <w:t>4</w:t>
        </w:r>
        <w:r w:rsidR="00272266">
          <w:rPr>
            <w:noProof/>
            <w:webHidden/>
          </w:rPr>
          <w:fldChar w:fldCharType="end"/>
        </w:r>
      </w:hyperlink>
    </w:p>
    <w:p w14:paraId="39F8E19B" w14:textId="77777777" w:rsidR="00272266" w:rsidRDefault="007D19CD">
      <w:pPr>
        <w:pStyle w:val="TOC1"/>
        <w:rPr>
          <w:rFonts w:asciiTheme="minorHAnsi" w:eastAsiaTheme="minorEastAsia" w:hAnsiTheme="minorHAnsi"/>
          <w:color w:val="auto"/>
          <w:sz w:val="22"/>
          <w:lang w:eastAsia="en-AU"/>
        </w:rPr>
      </w:pPr>
      <w:hyperlink w:anchor="_Toc423532087" w:history="1">
        <w:r w:rsidR="00272266" w:rsidRPr="00737880">
          <w:rPr>
            <w:rStyle w:val="Hyperlink"/>
          </w:rPr>
          <w:t>1.</w:t>
        </w:r>
        <w:r w:rsidR="00272266">
          <w:rPr>
            <w:rFonts w:asciiTheme="minorHAnsi" w:eastAsiaTheme="minorEastAsia" w:hAnsiTheme="minorHAnsi"/>
            <w:color w:val="auto"/>
            <w:sz w:val="22"/>
            <w:lang w:eastAsia="en-AU"/>
          </w:rPr>
          <w:tab/>
        </w:r>
        <w:r w:rsidR="00272266" w:rsidRPr="00737880">
          <w:rPr>
            <w:rStyle w:val="Hyperlink"/>
          </w:rPr>
          <w:t>Introduction</w:t>
        </w:r>
        <w:r w:rsidR="00272266">
          <w:rPr>
            <w:webHidden/>
          </w:rPr>
          <w:tab/>
        </w:r>
        <w:r w:rsidR="00272266">
          <w:rPr>
            <w:webHidden/>
          </w:rPr>
          <w:fldChar w:fldCharType="begin"/>
        </w:r>
        <w:r w:rsidR="00272266">
          <w:rPr>
            <w:webHidden/>
          </w:rPr>
          <w:instrText xml:space="preserve"> PAGEREF _Toc423532087 \h </w:instrText>
        </w:r>
        <w:r w:rsidR="00272266">
          <w:rPr>
            <w:webHidden/>
          </w:rPr>
        </w:r>
        <w:r w:rsidR="00272266">
          <w:rPr>
            <w:webHidden/>
          </w:rPr>
          <w:fldChar w:fldCharType="separate"/>
        </w:r>
        <w:r w:rsidR="00272266">
          <w:rPr>
            <w:webHidden/>
          </w:rPr>
          <w:t>7</w:t>
        </w:r>
        <w:r w:rsidR="00272266">
          <w:rPr>
            <w:webHidden/>
          </w:rPr>
          <w:fldChar w:fldCharType="end"/>
        </w:r>
      </w:hyperlink>
    </w:p>
    <w:p w14:paraId="1BF3CCA8" w14:textId="77777777" w:rsidR="00272266" w:rsidRDefault="007D19CD">
      <w:pPr>
        <w:pStyle w:val="TOC1"/>
        <w:rPr>
          <w:rFonts w:asciiTheme="minorHAnsi" w:eastAsiaTheme="minorEastAsia" w:hAnsiTheme="minorHAnsi"/>
          <w:color w:val="auto"/>
          <w:sz w:val="22"/>
          <w:lang w:eastAsia="en-AU"/>
        </w:rPr>
      </w:pPr>
      <w:hyperlink w:anchor="_Toc423532088" w:history="1">
        <w:r w:rsidR="00272266" w:rsidRPr="00737880">
          <w:rPr>
            <w:rStyle w:val="Hyperlink"/>
          </w:rPr>
          <w:t>2.</w:t>
        </w:r>
        <w:r w:rsidR="00272266">
          <w:rPr>
            <w:rFonts w:asciiTheme="minorHAnsi" w:eastAsiaTheme="minorEastAsia" w:hAnsiTheme="minorHAnsi"/>
            <w:color w:val="auto"/>
            <w:sz w:val="22"/>
            <w:lang w:eastAsia="en-AU"/>
          </w:rPr>
          <w:tab/>
        </w:r>
        <w:r w:rsidR="00272266" w:rsidRPr="00737880">
          <w:rPr>
            <w:rStyle w:val="Hyperlink"/>
          </w:rPr>
          <w:t>Should Australia set a switchover date for digital radio?</w:t>
        </w:r>
        <w:r w:rsidR="00272266">
          <w:rPr>
            <w:webHidden/>
          </w:rPr>
          <w:tab/>
        </w:r>
        <w:r w:rsidR="00272266">
          <w:rPr>
            <w:webHidden/>
          </w:rPr>
          <w:fldChar w:fldCharType="begin"/>
        </w:r>
        <w:r w:rsidR="00272266">
          <w:rPr>
            <w:webHidden/>
          </w:rPr>
          <w:instrText xml:space="preserve"> PAGEREF _Toc423532088 \h </w:instrText>
        </w:r>
        <w:r w:rsidR="00272266">
          <w:rPr>
            <w:webHidden/>
          </w:rPr>
        </w:r>
        <w:r w:rsidR="00272266">
          <w:rPr>
            <w:webHidden/>
          </w:rPr>
          <w:fldChar w:fldCharType="separate"/>
        </w:r>
        <w:r w:rsidR="00272266">
          <w:rPr>
            <w:webHidden/>
          </w:rPr>
          <w:t>8</w:t>
        </w:r>
        <w:r w:rsidR="00272266">
          <w:rPr>
            <w:webHidden/>
          </w:rPr>
          <w:fldChar w:fldCharType="end"/>
        </w:r>
      </w:hyperlink>
    </w:p>
    <w:p w14:paraId="72FEF83C" w14:textId="77777777" w:rsidR="00272266" w:rsidRDefault="007D19CD">
      <w:pPr>
        <w:pStyle w:val="TOC2"/>
        <w:rPr>
          <w:rFonts w:asciiTheme="minorHAnsi" w:eastAsiaTheme="minorEastAsia" w:hAnsiTheme="minorHAnsi"/>
          <w:noProof/>
          <w:lang w:eastAsia="en-AU"/>
        </w:rPr>
      </w:pPr>
      <w:hyperlink w:anchor="_Toc423532089" w:history="1">
        <w:r w:rsidR="00272266" w:rsidRPr="00737880">
          <w:rPr>
            <w:rStyle w:val="Hyperlink"/>
            <w:i/>
            <w:noProof/>
          </w:rPr>
          <w:t>2.1.</w:t>
        </w:r>
        <w:r w:rsidR="00272266">
          <w:rPr>
            <w:rFonts w:asciiTheme="minorHAnsi" w:eastAsiaTheme="minorEastAsia" w:hAnsiTheme="minorHAnsi"/>
            <w:noProof/>
            <w:lang w:eastAsia="en-AU"/>
          </w:rPr>
          <w:tab/>
        </w:r>
        <w:r w:rsidR="00272266" w:rsidRPr="00737880">
          <w:rPr>
            <w:rStyle w:val="Hyperlink"/>
            <w:i/>
            <w:noProof/>
          </w:rPr>
          <w:t>Background</w:t>
        </w:r>
        <w:r w:rsidR="00272266">
          <w:rPr>
            <w:noProof/>
            <w:webHidden/>
          </w:rPr>
          <w:tab/>
        </w:r>
        <w:r w:rsidR="00272266">
          <w:rPr>
            <w:noProof/>
            <w:webHidden/>
          </w:rPr>
          <w:fldChar w:fldCharType="begin"/>
        </w:r>
        <w:r w:rsidR="00272266">
          <w:rPr>
            <w:noProof/>
            <w:webHidden/>
          </w:rPr>
          <w:instrText xml:space="preserve"> PAGEREF _Toc423532089 \h </w:instrText>
        </w:r>
        <w:r w:rsidR="00272266">
          <w:rPr>
            <w:noProof/>
            <w:webHidden/>
          </w:rPr>
        </w:r>
        <w:r w:rsidR="00272266">
          <w:rPr>
            <w:noProof/>
            <w:webHidden/>
          </w:rPr>
          <w:fldChar w:fldCharType="separate"/>
        </w:r>
        <w:r w:rsidR="00272266">
          <w:rPr>
            <w:noProof/>
            <w:webHidden/>
          </w:rPr>
          <w:t>8</w:t>
        </w:r>
        <w:r w:rsidR="00272266">
          <w:rPr>
            <w:noProof/>
            <w:webHidden/>
          </w:rPr>
          <w:fldChar w:fldCharType="end"/>
        </w:r>
      </w:hyperlink>
    </w:p>
    <w:p w14:paraId="3A860045" w14:textId="77777777" w:rsidR="00272266" w:rsidRDefault="007D19CD">
      <w:pPr>
        <w:pStyle w:val="TOC2"/>
        <w:rPr>
          <w:rFonts w:asciiTheme="minorHAnsi" w:eastAsiaTheme="minorEastAsia" w:hAnsiTheme="minorHAnsi"/>
          <w:noProof/>
          <w:lang w:eastAsia="en-AU"/>
        </w:rPr>
      </w:pPr>
      <w:hyperlink w:anchor="_Toc423532090" w:history="1">
        <w:r w:rsidR="00272266" w:rsidRPr="00737880">
          <w:rPr>
            <w:rStyle w:val="Hyperlink"/>
            <w:i/>
            <w:noProof/>
          </w:rPr>
          <w:t>2.2.</w:t>
        </w:r>
        <w:r w:rsidR="00272266">
          <w:rPr>
            <w:rFonts w:asciiTheme="minorHAnsi" w:eastAsiaTheme="minorEastAsia" w:hAnsiTheme="minorHAnsi"/>
            <w:noProof/>
            <w:lang w:eastAsia="en-AU"/>
          </w:rPr>
          <w:tab/>
        </w:r>
        <w:r w:rsidR="00272266" w:rsidRPr="00737880">
          <w:rPr>
            <w:rStyle w:val="Hyperlink"/>
            <w:i/>
            <w:noProof/>
          </w:rPr>
          <w:t>Geography and technology</w:t>
        </w:r>
        <w:r w:rsidR="00272266">
          <w:rPr>
            <w:noProof/>
            <w:webHidden/>
          </w:rPr>
          <w:tab/>
        </w:r>
        <w:r w:rsidR="00272266">
          <w:rPr>
            <w:noProof/>
            <w:webHidden/>
          </w:rPr>
          <w:fldChar w:fldCharType="begin"/>
        </w:r>
        <w:r w:rsidR="00272266">
          <w:rPr>
            <w:noProof/>
            <w:webHidden/>
          </w:rPr>
          <w:instrText xml:space="preserve"> PAGEREF _Toc423532090 \h </w:instrText>
        </w:r>
        <w:r w:rsidR="00272266">
          <w:rPr>
            <w:noProof/>
            <w:webHidden/>
          </w:rPr>
        </w:r>
        <w:r w:rsidR="00272266">
          <w:rPr>
            <w:noProof/>
            <w:webHidden/>
          </w:rPr>
          <w:fldChar w:fldCharType="separate"/>
        </w:r>
        <w:r w:rsidR="00272266">
          <w:rPr>
            <w:noProof/>
            <w:webHidden/>
          </w:rPr>
          <w:t>11</w:t>
        </w:r>
        <w:r w:rsidR="00272266">
          <w:rPr>
            <w:noProof/>
            <w:webHidden/>
          </w:rPr>
          <w:fldChar w:fldCharType="end"/>
        </w:r>
      </w:hyperlink>
    </w:p>
    <w:p w14:paraId="41C53540" w14:textId="77777777" w:rsidR="00272266" w:rsidRDefault="007D19CD">
      <w:pPr>
        <w:pStyle w:val="TOC2"/>
        <w:rPr>
          <w:rFonts w:asciiTheme="minorHAnsi" w:eastAsiaTheme="minorEastAsia" w:hAnsiTheme="minorHAnsi"/>
          <w:noProof/>
          <w:lang w:eastAsia="en-AU"/>
        </w:rPr>
      </w:pPr>
      <w:hyperlink w:anchor="_Toc423532091" w:history="1">
        <w:r w:rsidR="00272266" w:rsidRPr="00737880">
          <w:rPr>
            <w:rStyle w:val="Hyperlink"/>
            <w:i/>
            <w:noProof/>
          </w:rPr>
          <w:t>2.3.</w:t>
        </w:r>
        <w:r w:rsidR="00272266">
          <w:rPr>
            <w:rFonts w:asciiTheme="minorHAnsi" w:eastAsiaTheme="minorEastAsia" w:hAnsiTheme="minorHAnsi"/>
            <w:noProof/>
            <w:lang w:eastAsia="en-AU"/>
          </w:rPr>
          <w:tab/>
        </w:r>
        <w:r w:rsidR="00272266" w:rsidRPr="00737880">
          <w:rPr>
            <w:rStyle w:val="Hyperlink"/>
            <w:i/>
            <w:noProof/>
          </w:rPr>
          <w:t>Frequencies used for digital radio</w:t>
        </w:r>
        <w:r w:rsidR="00272266">
          <w:rPr>
            <w:noProof/>
            <w:webHidden/>
          </w:rPr>
          <w:tab/>
        </w:r>
        <w:r w:rsidR="00272266">
          <w:rPr>
            <w:noProof/>
            <w:webHidden/>
          </w:rPr>
          <w:fldChar w:fldCharType="begin"/>
        </w:r>
        <w:r w:rsidR="00272266">
          <w:rPr>
            <w:noProof/>
            <w:webHidden/>
          </w:rPr>
          <w:instrText xml:space="preserve"> PAGEREF _Toc423532091 \h </w:instrText>
        </w:r>
        <w:r w:rsidR="00272266">
          <w:rPr>
            <w:noProof/>
            <w:webHidden/>
          </w:rPr>
        </w:r>
        <w:r w:rsidR="00272266">
          <w:rPr>
            <w:noProof/>
            <w:webHidden/>
          </w:rPr>
          <w:fldChar w:fldCharType="separate"/>
        </w:r>
        <w:r w:rsidR="00272266">
          <w:rPr>
            <w:noProof/>
            <w:webHidden/>
          </w:rPr>
          <w:t>17</w:t>
        </w:r>
        <w:r w:rsidR="00272266">
          <w:rPr>
            <w:noProof/>
            <w:webHidden/>
          </w:rPr>
          <w:fldChar w:fldCharType="end"/>
        </w:r>
      </w:hyperlink>
    </w:p>
    <w:p w14:paraId="4598BE74" w14:textId="77777777" w:rsidR="00272266" w:rsidRDefault="007D19CD">
      <w:pPr>
        <w:pStyle w:val="TOC2"/>
        <w:rPr>
          <w:rFonts w:asciiTheme="minorHAnsi" w:eastAsiaTheme="minorEastAsia" w:hAnsiTheme="minorHAnsi"/>
          <w:noProof/>
          <w:lang w:eastAsia="en-AU"/>
        </w:rPr>
      </w:pPr>
      <w:hyperlink w:anchor="_Toc423532092" w:history="1">
        <w:r w:rsidR="00272266" w:rsidRPr="00737880">
          <w:rPr>
            <w:rStyle w:val="Hyperlink"/>
            <w:i/>
            <w:noProof/>
          </w:rPr>
          <w:t>2.4.</w:t>
        </w:r>
        <w:r w:rsidR="00272266">
          <w:rPr>
            <w:rFonts w:asciiTheme="minorHAnsi" w:eastAsiaTheme="minorEastAsia" w:hAnsiTheme="minorHAnsi"/>
            <w:noProof/>
            <w:lang w:eastAsia="en-AU"/>
          </w:rPr>
          <w:tab/>
        </w:r>
        <w:r w:rsidR="00272266" w:rsidRPr="00737880">
          <w:rPr>
            <w:rStyle w:val="Hyperlink"/>
            <w:i/>
            <w:noProof/>
          </w:rPr>
          <w:t>Audience take up of digital radio</w:t>
        </w:r>
        <w:r w:rsidR="00272266">
          <w:rPr>
            <w:noProof/>
            <w:webHidden/>
          </w:rPr>
          <w:tab/>
        </w:r>
        <w:r w:rsidR="00272266">
          <w:rPr>
            <w:noProof/>
            <w:webHidden/>
          </w:rPr>
          <w:fldChar w:fldCharType="begin"/>
        </w:r>
        <w:r w:rsidR="00272266">
          <w:rPr>
            <w:noProof/>
            <w:webHidden/>
          </w:rPr>
          <w:instrText xml:space="preserve"> PAGEREF _Toc423532092 \h </w:instrText>
        </w:r>
        <w:r w:rsidR="00272266">
          <w:rPr>
            <w:noProof/>
            <w:webHidden/>
          </w:rPr>
        </w:r>
        <w:r w:rsidR="00272266">
          <w:rPr>
            <w:noProof/>
            <w:webHidden/>
          </w:rPr>
          <w:fldChar w:fldCharType="separate"/>
        </w:r>
        <w:r w:rsidR="00272266">
          <w:rPr>
            <w:noProof/>
            <w:webHidden/>
          </w:rPr>
          <w:t>19</w:t>
        </w:r>
        <w:r w:rsidR="00272266">
          <w:rPr>
            <w:noProof/>
            <w:webHidden/>
          </w:rPr>
          <w:fldChar w:fldCharType="end"/>
        </w:r>
      </w:hyperlink>
    </w:p>
    <w:p w14:paraId="0FCF38B1" w14:textId="77777777" w:rsidR="00272266" w:rsidRDefault="007D19CD">
      <w:pPr>
        <w:pStyle w:val="TOC2"/>
        <w:rPr>
          <w:rFonts w:asciiTheme="minorHAnsi" w:eastAsiaTheme="minorEastAsia" w:hAnsiTheme="minorHAnsi"/>
          <w:noProof/>
          <w:lang w:eastAsia="en-AU"/>
        </w:rPr>
      </w:pPr>
      <w:hyperlink w:anchor="_Toc423532093" w:history="1">
        <w:r w:rsidR="00272266" w:rsidRPr="00737880">
          <w:rPr>
            <w:rStyle w:val="Hyperlink"/>
            <w:i/>
            <w:noProof/>
          </w:rPr>
          <w:t>2.5.</w:t>
        </w:r>
        <w:r w:rsidR="00272266">
          <w:rPr>
            <w:rFonts w:asciiTheme="minorHAnsi" w:eastAsiaTheme="minorEastAsia" w:hAnsiTheme="minorHAnsi"/>
            <w:noProof/>
            <w:lang w:eastAsia="en-AU"/>
          </w:rPr>
          <w:tab/>
        </w:r>
        <w:r w:rsidR="00272266" w:rsidRPr="00737880">
          <w:rPr>
            <w:rStyle w:val="Hyperlink"/>
            <w:i/>
            <w:noProof/>
          </w:rPr>
          <w:t>International digital radio developments</w:t>
        </w:r>
        <w:r w:rsidR="00272266">
          <w:rPr>
            <w:noProof/>
            <w:webHidden/>
          </w:rPr>
          <w:tab/>
        </w:r>
        <w:r w:rsidR="00272266">
          <w:rPr>
            <w:noProof/>
            <w:webHidden/>
          </w:rPr>
          <w:fldChar w:fldCharType="begin"/>
        </w:r>
        <w:r w:rsidR="00272266">
          <w:rPr>
            <w:noProof/>
            <w:webHidden/>
          </w:rPr>
          <w:instrText xml:space="preserve"> PAGEREF _Toc423532093 \h </w:instrText>
        </w:r>
        <w:r w:rsidR="00272266">
          <w:rPr>
            <w:noProof/>
            <w:webHidden/>
          </w:rPr>
        </w:r>
        <w:r w:rsidR="00272266">
          <w:rPr>
            <w:noProof/>
            <w:webHidden/>
          </w:rPr>
          <w:fldChar w:fldCharType="separate"/>
        </w:r>
        <w:r w:rsidR="00272266">
          <w:rPr>
            <w:noProof/>
            <w:webHidden/>
          </w:rPr>
          <w:t>21</w:t>
        </w:r>
        <w:r w:rsidR="00272266">
          <w:rPr>
            <w:noProof/>
            <w:webHidden/>
          </w:rPr>
          <w:fldChar w:fldCharType="end"/>
        </w:r>
      </w:hyperlink>
    </w:p>
    <w:p w14:paraId="1BBE9BE5" w14:textId="77777777" w:rsidR="00272266" w:rsidRDefault="007D19CD">
      <w:pPr>
        <w:pStyle w:val="TOC2"/>
        <w:rPr>
          <w:rFonts w:asciiTheme="minorHAnsi" w:eastAsiaTheme="minorEastAsia" w:hAnsiTheme="minorHAnsi"/>
          <w:noProof/>
          <w:lang w:eastAsia="en-AU"/>
        </w:rPr>
      </w:pPr>
      <w:hyperlink w:anchor="_Toc423532094" w:history="1">
        <w:r w:rsidR="00272266" w:rsidRPr="00737880">
          <w:rPr>
            <w:rStyle w:val="Hyperlink"/>
            <w:i/>
            <w:noProof/>
          </w:rPr>
          <w:t>2.6.</w:t>
        </w:r>
        <w:r w:rsidR="00272266">
          <w:rPr>
            <w:rFonts w:asciiTheme="minorHAnsi" w:eastAsiaTheme="minorEastAsia" w:hAnsiTheme="minorHAnsi"/>
            <w:noProof/>
            <w:lang w:eastAsia="en-AU"/>
          </w:rPr>
          <w:tab/>
        </w:r>
        <w:r w:rsidR="00272266" w:rsidRPr="00737880">
          <w:rPr>
            <w:rStyle w:val="Hyperlink"/>
            <w:i/>
            <w:noProof/>
          </w:rPr>
          <w:t>Conclusion</w:t>
        </w:r>
        <w:r w:rsidR="00272266">
          <w:rPr>
            <w:noProof/>
            <w:webHidden/>
          </w:rPr>
          <w:tab/>
        </w:r>
        <w:r w:rsidR="00272266">
          <w:rPr>
            <w:noProof/>
            <w:webHidden/>
          </w:rPr>
          <w:fldChar w:fldCharType="begin"/>
        </w:r>
        <w:r w:rsidR="00272266">
          <w:rPr>
            <w:noProof/>
            <w:webHidden/>
          </w:rPr>
          <w:instrText xml:space="preserve"> PAGEREF _Toc423532094 \h </w:instrText>
        </w:r>
        <w:r w:rsidR="00272266">
          <w:rPr>
            <w:noProof/>
            <w:webHidden/>
          </w:rPr>
        </w:r>
        <w:r w:rsidR="00272266">
          <w:rPr>
            <w:noProof/>
            <w:webHidden/>
          </w:rPr>
          <w:fldChar w:fldCharType="separate"/>
        </w:r>
        <w:r w:rsidR="00272266">
          <w:rPr>
            <w:noProof/>
            <w:webHidden/>
          </w:rPr>
          <w:t>23</w:t>
        </w:r>
        <w:r w:rsidR="00272266">
          <w:rPr>
            <w:noProof/>
            <w:webHidden/>
          </w:rPr>
          <w:fldChar w:fldCharType="end"/>
        </w:r>
      </w:hyperlink>
    </w:p>
    <w:p w14:paraId="7A6F5F81" w14:textId="77777777" w:rsidR="00272266" w:rsidRDefault="007D19CD">
      <w:pPr>
        <w:pStyle w:val="TOC1"/>
        <w:rPr>
          <w:rFonts w:asciiTheme="minorHAnsi" w:eastAsiaTheme="minorEastAsia" w:hAnsiTheme="minorHAnsi"/>
          <w:color w:val="auto"/>
          <w:sz w:val="22"/>
          <w:lang w:eastAsia="en-AU"/>
        </w:rPr>
      </w:pPr>
      <w:hyperlink w:anchor="_Toc423532095" w:history="1">
        <w:r w:rsidR="00272266" w:rsidRPr="00737880">
          <w:rPr>
            <w:rStyle w:val="Hyperlink"/>
          </w:rPr>
          <w:t>3.</w:t>
        </w:r>
        <w:r w:rsidR="00272266">
          <w:rPr>
            <w:rFonts w:asciiTheme="minorHAnsi" w:eastAsiaTheme="minorEastAsia" w:hAnsiTheme="minorHAnsi"/>
            <w:color w:val="auto"/>
            <w:sz w:val="22"/>
            <w:lang w:eastAsia="en-AU"/>
          </w:rPr>
          <w:tab/>
        </w:r>
        <w:r w:rsidR="00272266" w:rsidRPr="00737880">
          <w:rPr>
            <w:rStyle w:val="Hyperlink"/>
          </w:rPr>
          <w:t>Digital radio rollout in regional areas</w:t>
        </w:r>
        <w:r w:rsidR="00272266">
          <w:rPr>
            <w:webHidden/>
          </w:rPr>
          <w:tab/>
        </w:r>
        <w:r w:rsidR="00272266">
          <w:rPr>
            <w:webHidden/>
          </w:rPr>
          <w:fldChar w:fldCharType="begin"/>
        </w:r>
        <w:r w:rsidR="00272266">
          <w:rPr>
            <w:webHidden/>
          </w:rPr>
          <w:instrText xml:space="preserve"> PAGEREF _Toc423532095 \h </w:instrText>
        </w:r>
        <w:r w:rsidR="00272266">
          <w:rPr>
            <w:webHidden/>
          </w:rPr>
        </w:r>
        <w:r w:rsidR="00272266">
          <w:rPr>
            <w:webHidden/>
          </w:rPr>
          <w:fldChar w:fldCharType="separate"/>
        </w:r>
        <w:r w:rsidR="00272266">
          <w:rPr>
            <w:webHidden/>
          </w:rPr>
          <w:t>23</w:t>
        </w:r>
        <w:r w:rsidR="00272266">
          <w:rPr>
            <w:webHidden/>
          </w:rPr>
          <w:fldChar w:fldCharType="end"/>
        </w:r>
      </w:hyperlink>
    </w:p>
    <w:p w14:paraId="1DAFC45D" w14:textId="77777777" w:rsidR="00272266" w:rsidRDefault="007D19CD">
      <w:pPr>
        <w:pStyle w:val="TOC2"/>
        <w:rPr>
          <w:rFonts w:asciiTheme="minorHAnsi" w:eastAsiaTheme="minorEastAsia" w:hAnsiTheme="minorHAnsi"/>
          <w:noProof/>
          <w:lang w:eastAsia="en-AU"/>
        </w:rPr>
      </w:pPr>
      <w:hyperlink w:anchor="_Toc423532096" w:history="1">
        <w:r w:rsidR="00272266" w:rsidRPr="00737880">
          <w:rPr>
            <w:rStyle w:val="Hyperlink"/>
            <w:i/>
            <w:noProof/>
          </w:rPr>
          <w:t>3.1</w:t>
        </w:r>
        <w:r w:rsidR="00272266">
          <w:rPr>
            <w:rFonts w:asciiTheme="minorHAnsi" w:eastAsiaTheme="minorEastAsia" w:hAnsiTheme="minorHAnsi"/>
            <w:noProof/>
            <w:lang w:eastAsia="en-AU"/>
          </w:rPr>
          <w:tab/>
        </w:r>
        <w:r w:rsidR="00272266" w:rsidRPr="00737880">
          <w:rPr>
            <w:rStyle w:val="Hyperlink"/>
            <w:i/>
            <w:noProof/>
          </w:rPr>
          <w:t>Funding for regional rollout</w:t>
        </w:r>
        <w:r w:rsidR="00272266">
          <w:rPr>
            <w:noProof/>
            <w:webHidden/>
          </w:rPr>
          <w:tab/>
        </w:r>
        <w:r w:rsidR="00272266">
          <w:rPr>
            <w:noProof/>
            <w:webHidden/>
          </w:rPr>
          <w:fldChar w:fldCharType="begin"/>
        </w:r>
        <w:r w:rsidR="00272266">
          <w:rPr>
            <w:noProof/>
            <w:webHidden/>
          </w:rPr>
          <w:instrText xml:space="preserve"> PAGEREF _Toc423532096 \h </w:instrText>
        </w:r>
        <w:r w:rsidR="00272266">
          <w:rPr>
            <w:noProof/>
            <w:webHidden/>
          </w:rPr>
        </w:r>
        <w:r w:rsidR="00272266">
          <w:rPr>
            <w:noProof/>
            <w:webHidden/>
          </w:rPr>
          <w:fldChar w:fldCharType="separate"/>
        </w:r>
        <w:r w:rsidR="00272266">
          <w:rPr>
            <w:noProof/>
            <w:webHidden/>
          </w:rPr>
          <w:t>23</w:t>
        </w:r>
        <w:r w:rsidR="00272266">
          <w:rPr>
            <w:noProof/>
            <w:webHidden/>
          </w:rPr>
          <w:fldChar w:fldCharType="end"/>
        </w:r>
      </w:hyperlink>
    </w:p>
    <w:p w14:paraId="7B0CD7DB" w14:textId="77777777" w:rsidR="00272266" w:rsidRDefault="007D19CD">
      <w:pPr>
        <w:pStyle w:val="TOC2"/>
        <w:rPr>
          <w:rFonts w:asciiTheme="minorHAnsi" w:eastAsiaTheme="minorEastAsia" w:hAnsiTheme="minorHAnsi"/>
          <w:noProof/>
          <w:lang w:eastAsia="en-AU"/>
        </w:rPr>
      </w:pPr>
      <w:hyperlink w:anchor="_Toc423532097" w:history="1">
        <w:r w:rsidR="00272266" w:rsidRPr="00737880">
          <w:rPr>
            <w:rStyle w:val="Hyperlink"/>
            <w:i/>
            <w:noProof/>
          </w:rPr>
          <w:t>3.2</w:t>
        </w:r>
        <w:r w:rsidR="00272266">
          <w:rPr>
            <w:rFonts w:asciiTheme="minorHAnsi" w:eastAsiaTheme="minorEastAsia" w:hAnsiTheme="minorHAnsi"/>
            <w:noProof/>
            <w:lang w:eastAsia="en-AU"/>
          </w:rPr>
          <w:tab/>
        </w:r>
        <w:r w:rsidR="00272266" w:rsidRPr="00737880">
          <w:rPr>
            <w:rStyle w:val="Hyperlink"/>
            <w:i/>
            <w:noProof/>
          </w:rPr>
          <w:t>Planning and licensing for regional rollout</w:t>
        </w:r>
        <w:r w:rsidR="00272266">
          <w:rPr>
            <w:noProof/>
            <w:webHidden/>
          </w:rPr>
          <w:tab/>
        </w:r>
        <w:r w:rsidR="00272266">
          <w:rPr>
            <w:noProof/>
            <w:webHidden/>
          </w:rPr>
          <w:fldChar w:fldCharType="begin"/>
        </w:r>
        <w:r w:rsidR="00272266">
          <w:rPr>
            <w:noProof/>
            <w:webHidden/>
          </w:rPr>
          <w:instrText xml:space="preserve"> PAGEREF _Toc423532097 \h </w:instrText>
        </w:r>
        <w:r w:rsidR="00272266">
          <w:rPr>
            <w:noProof/>
            <w:webHidden/>
          </w:rPr>
        </w:r>
        <w:r w:rsidR="00272266">
          <w:rPr>
            <w:noProof/>
            <w:webHidden/>
          </w:rPr>
          <w:fldChar w:fldCharType="separate"/>
        </w:r>
        <w:r w:rsidR="00272266">
          <w:rPr>
            <w:noProof/>
            <w:webHidden/>
          </w:rPr>
          <w:t>25</w:t>
        </w:r>
        <w:r w:rsidR="00272266">
          <w:rPr>
            <w:noProof/>
            <w:webHidden/>
          </w:rPr>
          <w:fldChar w:fldCharType="end"/>
        </w:r>
      </w:hyperlink>
    </w:p>
    <w:p w14:paraId="36C1F5FA" w14:textId="77777777" w:rsidR="00272266" w:rsidRDefault="007D19CD">
      <w:pPr>
        <w:pStyle w:val="TOC2"/>
        <w:rPr>
          <w:rFonts w:asciiTheme="minorHAnsi" w:eastAsiaTheme="minorEastAsia" w:hAnsiTheme="minorHAnsi"/>
          <w:noProof/>
          <w:lang w:eastAsia="en-AU"/>
        </w:rPr>
      </w:pPr>
      <w:hyperlink w:anchor="_Toc423532098" w:history="1">
        <w:r w:rsidR="00272266" w:rsidRPr="00737880">
          <w:rPr>
            <w:rStyle w:val="Hyperlink"/>
            <w:i/>
            <w:noProof/>
          </w:rPr>
          <w:t>3.3</w:t>
        </w:r>
        <w:r w:rsidR="00272266">
          <w:rPr>
            <w:rFonts w:asciiTheme="minorHAnsi" w:eastAsiaTheme="minorEastAsia" w:hAnsiTheme="minorHAnsi"/>
            <w:noProof/>
            <w:lang w:eastAsia="en-AU"/>
          </w:rPr>
          <w:tab/>
        </w:r>
        <w:r w:rsidR="00272266" w:rsidRPr="00737880">
          <w:rPr>
            <w:rStyle w:val="Hyperlink"/>
            <w:i/>
            <w:noProof/>
          </w:rPr>
          <w:t>Industry planning group for regional rollout</w:t>
        </w:r>
        <w:r w:rsidR="00272266">
          <w:rPr>
            <w:noProof/>
            <w:webHidden/>
          </w:rPr>
          <w:tab/>
        </w:r>
        <w:r w:rsidR="00272266">
          <w:rPr>
            <w:noProof/>
            <w:webHidden/>
          </w:rPr>
          <w:fldChar w:fldCharType="begin"/>
        </w:r>
        <w:r w:rsidR="00272266">
          <w:rPr>
            <w:noProof/>
            <w:webHidden/>
          </w:rPr>
          <w:instrText xml:space="preserve"> PAGEREF _Toc423532098 \h </w:instrText>
        </w:r>
        <w:r w:rsidR="00272266">
          <w:rPr>
            <w:noProof/>
            <w:webHidden/>
          </w:rPr>
        </w:r>
        <w:r w:rsidR="00272266">
          <w:rPr>
            <w:noProof/>
            <w:webHidden/>
          </w:rPr>
          <w:fldChar w:fldCharType="separate"/>
        </w:r>
        <w:r w:rsidR="00272266">
          <w:rPr>
            <w:noProof/>
            <w:webHidden/>
          </w:rPr>
          <w:t>27</w:t>
        </w:r>
        <w:r w:rsidR="00272266">
          <w:rPr>
            <w:noProof/>
            <w:webHidden/>
          </w:rPr>
          <w:fldChar w:fldCharType="end"/>
        </w:r>
      </w:hyperlink>
    </w:p>
    <w:p w14:paraId="4A0656C1" w14:textId="77777777" w:rsidR="00272266" w:rsidRDefault="007D19CD">
      <w:pPr>
        <w:pStyle w:val="TOC1"/>
        <w:rPr>
          <w:rFonts w:asciiTheme="minorHAnsi" w:eastAsiaTheme="minorEastAsia" w:hAnsiTheme="minorHAnsi"/>
          <w:color w:val="auto"/>
          <w:sz w:val="22"/>
          <w:lang w:eastAsia="en-AU"/>
        </w:rPr>
      </w:pPr>
      <w:hyperlink w:anchor="_Toc423532099" w:history="1">
        <w:r w:rsidR="00272266" w:rsidRPr="00737880">
          <w:rPr>
            <w:rStyle w:val="Hyperlink"/>
          </w:rPr>
          <w:t>4</w:t>
        </w:r>
        <w:r w:rsidR="00272266">
          <w:rPr>
            <w:rFonts w:asciiTheme="minorHAnsi" w:eastAsiaTheme="minorEastAsia" w:hAnsiTheme="minorHAnsi"/>
            <w:color w:val="auto"/>
            <w:sz w:val="22"/>
            <w:lang w:eastAsia="en-AU"/>
          </w:rPr>
          <w:tab/>
        </w:r>
        <w:r w:rsidR="00272266" w:rsidRPr="00737880">
          <w:rPr>
            <w:rStyle w:val="Hyperlink"/>
          </w:rPr>
          <w:t>Legislative changes</w:t>
        </w:r>
        <w:r w:rsidR="00272266">
          <w:rPr>
            <w:webHidden/>
          </w:rPr>
          <w:tab/>
        </w:r>
        <w:r w:rsidR="00272266">
          <w:rPr>
            <w:webHidden/>
          </w:rPr>
          <w:fldChar w:fldCharType="begin"/>
        </w:r>
        <w:r w:rsidR="00272266">
          <w:rPr>
            <w:webHidden/>
          </w:rPr>
          <w:instrText xml:space="preserve"> PAGEREF _Toc423532099 \h </w:instrText>
        </w:r>
        <w:r w:rsidR="00272266">
          <w:rPr>
            <w:webHidden/>
          </w:rPr>
        </w:r>
        <w:r w:rsidR="00272266">
          <w:rPr>
            <w:webHidden/>
          </w:rPr>
          <w:fldChar w:fldCharType="separate"/>
        </w:r>
        <w:r w:rsidR="00272266">
          <w:rPr>
            <w:webHidden/>
          </w:rPr>
          <w:t>27</w:t>
        </w:r>
        <w:r w:rsidR="00272266">
          <w:rPr>
            <w:webHidden/>
          </w:rPr>
          <w:fldChar w:fldCharType="end"/>
        </w:r>
      </w:hyperlink>
    </w:p>
    <w:p w14:paraId="703B0945" w14:textId="77777777" w:rsidR="00272266" w:rsidRDefault="007D19CD">
      <w:pPr>
        <w:pStyle w:val="TOC2"/>
        <w:rPr>
          <w:rFonts w:asciiTheme="minorHAnsi" w:eastAsiaTheme="minorEastAsia" w:hAnsiTheme="minorHAnsi"/>
          <w:noProof/>
          <w:lang w:eastAsia="en-AU"/>
        </w:rPr>
      </w:pPr>
      <w:hyperlink w:anchor="_Toc423532100" w:history="1">
        <w:r w:rsidR="00272266" w:rsidRPr="00737880">
          <w:rPr>
            <w:rStyle w:val="Hyperlink"/>
            <w:i/>
            <w:noProof/>
          </w:rPr>
          <w:t>4.1</w:t>
        </w:r>
        <w:r w:rsidR="00272266">
          <w:rPr>
            <w:rFonts w:asciiTheme="minorHAnsi" w:eastAsiaTheme="minorEastAsia" w:hAnsiTheme="minorHAnsi"/>
            <w:noProof/>
            <w:lang w:eastAsia="en-AU"/>
          </w:rPr>
          <w:tab/>
        </w:r>
        <w:r w:rsidR="00272266" w:rsidRPr="00737880">
          <w:rPr>
            <w:rStyle w:val="Hyperlink"/>
            <w:i/>
            <w:noProof/>
          </w:rPr>
          <w:t>Moratorium on new digital commercial radio licences</w:t>
        </w:r>
        <w:r w:rsidR="00272266">
          <w:rPr>
            <w:noProof/>
            <w:webHidden/>
          </w:rPr>
          <w:tab/>
        </w:r>
        <w:r w:rsidR="00272266">
          <w:rPr>
            <w:noProof/>
            <w:webHidden/>
          </w:rPr>
          <w:fldChar w:fldCharType="begin"/>
        </w:r>
        <w:r w:rsidR="00272266">
          <w:rPr>
            <w:noProof/>
            <w:webHidden/>
          </w:rPr>
          <w:instrText xml:space="preserve"> PAGEREF _Toc423532100 \h </w:instrText>
        </w:r>
        <w:r w:rsidR="00272266">
          <w:rPr>
            <w:noProof/>
            <w:webHidden/>
          </w:rPr>
        </w:r>
        <w:r w:rsidR="00272266">
          <w:rPr>
            <w:noProof/>
            <w:webHidden/>
          </w:rPr>
          <w:fldChar w:fldCharType="separate"/>
        </w:r>
        <w:r w:rsidR="00272266">
          <w:rPr>
            <w:noProof/>
            <w:webHidden/>
          </w:rPr>
          <w:t>28</w:t>
        </w:r>
        <w:r w:rsidR="00272266">
          <w:rPr>
            <w:noProof/>
            <w:webHidden/>
          </w:rPr>
          <w:fldChar w:fldCharType="end"/>
        </w:r>
      </w:hyperlink>
    </w:p>
    <w:p w14:paraId="23DF9022" w14:textId="77777777" w:rsidR="00272266" w:rsidRDefault="007D19CD">
      <w:pPr>
        <w:pStyle w:val="TOC2"/>
        <w:rPr>
          <w:rFonts w:asciiTheme="minorHAnsi" w:eastAsiaTheme="minorEastAsia" w:hAnsiTheme="minorHAnsi"/>
          <w:noProof/>
          <w:lang w:eastAsia="en-AU"/>
        </w:rPr>
      </w:pPr>
      <w:hyperlink w:anchor="_Toc423532101" w:history="1">
        <w:r w:rsidR="00272266" w:rsidRPr="00737880">
          <w:rPr>
            <w:rStyle w:val="Hyperlink"/>
            <w:i/>
            <w:noProof/>
          </w:rPr>
          <w:t>4.2</w:t>
        </w:r>
        <w:r w:rsidR="00272266">
          <w:rPr>
            <w:rFonts w:asciiTheme="minorHAnsi" w:eastAsiaTheme="minorEastAsia" w:hAnsiTheme="minorHAnsi"/>
            <w:noProof/>
            <w:lang w:eastAsia="en-AU"/>
          </w:rPr>
          <w:tab/>
        </w:r>
        <w:r w:rsidR="00272266" w:rsidRPr="00737880">
          <w:rPr>
            <w:rStyle w:val="Hyperlink"/>
            <w:i/>
            <w:noProof/>
          </w:rPr>
          <w:t>Digital radio start-up date</w:t>
        </w:r>
        <w:r w:rsidR="00272266">
          <w:rPr>
            <w:noProof/>
            <w:webHidden/>
          </w:rPr>
          <w:tab/>
        </w:r>
        <w:r w:rsidR="00272266">
          <w:rPr>
            <w:noProof/>
            <w:webHidden/>
          </w:rPr>
          <w:fldChar w:fldCharType="begin"/>
        </w:r>
        <w:r w:rsidR="00272266">
          <w:rPr>
            <w:noProof/>
            <w:webHidden/>
          </w:rPr>
          <w:instrText xml:space="preserve"> PAGEREF _Toc423532101 \h </w:instrText>
        </w:r>
        <w:r w:rsidR="00272266">
          <w:rPr>
            <w:noProof/>
            <w:webHidden/>
          </w:rPr>
        </w:r>
        <w:r w:rsidR="00272266">
          <w:rPr>
            <w:noProof/>
            <w:webHidden/>
          </w:rPr>
          <w:fldChar w:fldCharType="separate"/>
        </w:r>
        <w:r w:rsidR="00272266">
          <w:rPr>
            <w:noProof/>
            <w:webHidden/>
          </w:rPr>
          <w:t>30</w:t>
        </w:r>
        <w:r w:rsidR="00272266">
          <w:rPr>
            <w:noProof/>
            <w:webHidden/>
          </w:rPr>
          <w:fldChar w:fldCharType="end"/>
        </w:r>
      </w:hyperlink>
    </w:p>
    <w:p w14:paraId="52A929C3" w14:textId="77777777" w:rsidR="00272266" w:rsidRDefault="007D19CD">
      <w:pPr>
        <w:pStyle w:val="TOC2"/>
        <w:rPr>
          <w:rFonts w:asciiTheme="minorHAnsi" w:eastAsiaTheme="minorEastAsia" w:hAnsiTheme="minorHAnsi"/>
          <w:noProof/>
          <w:lang w:eastAsia="en-AU"/>
        </w:rPr>
      </w:pPr>
      <w:hyperlink w:anchor="_Toc423532102" w:history="1">
        <w:r w:rsidR="00272266" w:rsidRPr="00737880">
          <w:rPr>
            <w:rStyle w:val="Hyperlink"/>
            <w:i/>
            <w:noProof/>
          </w:rPr>
          <w:t>4.3</w:t>
        </w:r>
        <w:r w:rsidR="00272266">
          <w:rPr>
            <w:rFonts w:asciiTheme="minorHAnsi" w:eastAsiaTheme="minorEastAsia" w:hAnsiTheme="minorHAnsi"/>
            <w:noProof/>
            <w:lang w:eastAsia="en-AU"/>
          </w:rPr>
          <w:tab/>
        </w:r>
        <w:r w:rsidR="00272266" w:rsidRPr="00737880">
          <w:rPr>
            <w:rStyle w:val="Hyperlink"/>
            <w:i/>
            <w:noProof/>
          </w:rPr>
          <w:t>ACMA planning and licensing framework</w:t>
        </w:r>
        <w:r w:rsidR="00272266">
          <w:rPr>
            <w:noProof/>
            <w:webHidden/>
          </w:rPr>
          <w:tab/>
        </w:r>
        <w:r w:rsidR="00272266">
          <w:rPr>
            <w:noProof/>
            <w:webHidden/>
          </w:rPr>
          <w:fldChar w:fldCharType="begin"/>
        </w:r>
        <w:r w:rsidR="00272266">
          <w:rPr>
            <w:noProof/>
            <w:webHidden/>
          </w:rPr>
          <w:instrText xml:space="preserve"> PAGEREF _Toc423532102 \h </w:instrText>
        </w:r>
        <w:r w:rsidR="00272266">
          <w:rPr>
            <w:noProof/>
            <w:webHidden/>
          </w:rPr>
        </w:r>
        <w:r w:rsidR="00272266">
          <w:rPr>
            <w:noProof/>
            <w:webHidden/>
          </w:rPr>
          <w:fldChar w:fldCharType="separate"/>
        </w:r>
        <w:r w:rsidR="00272266">
          <w:rPr>
            <w:noProof/>
            <w:webHidden/>
          </w:rPr>
          <w:t>30</w:t>
        </w:r>
        <w:r w:rsidR="00272266">
          <w:rPr>
            <w:noProof/>
            <w:webHidden/>
          </w:rPr>
          <w:fldChar w:fldCharType="end"/>
        </w:r>
      </w:hyperlink>
    </w:p>
    <w:p w14:paraId="3EB40DA2" w14:textId="77777777" w:rsidR="00272266" w:rsidRDefault="007D19CD">
      <w:pPr>
        <w:pStyle w:val="TOC2"/>
        <w:rPr>
          <w:rFonts w:asciiTheme="minorHAnsi" w:eastAsiaTheme="minorEastAsia" w:hAnsiTheme="minorHAnsi"/>
          <w:noProof/>
          <w:lang w:eastAsia="en-AU"/>
        </w:rPr>
      </w:pPr>
      <w:hyperlink w:anchor="_Toc423532103" w:history="1">
        <w:r w:rsidR="00272266" w:rsidRPr="00737880">
          <w:rPr>
            <w:rStyle w:val="Hyperlink"/>
            <w:i/>
            <w:noProof/>
          </w:rPr>
          <w:t>4.4</w:t>
        </w:r>
        <w:r w:rsidR="00272266">
          <w:rPr>
            <w:rFonts w:asciiTheme="minorHAnsi" w:eastAsiaTheme="minorEastAsia" w:hAnsiTheme="minorHAnsi"/>
            <w:noProof/>
            <w:lang w:eastAsia="en-AU"/>
          </w:rPr>
          <w:tab/>
        </w:r>
        <w:r w:rsidR="00272266" w:rsidRPr="00737880">
          <w:rPr>
            <w:rStyle w:val="Hyperlink"/>
            <w:i/>
            <w:noProof/>
          </w:rPr>
          <w:t>Who can provide digital radio services</w:t>
        </w:r>
        <w:r w:rsidR="00272266">
          <w:rPr>
            <w:noProof/>
            <w:webHidden/>
          </w:rPr>
          <w:tab/>
        </w:r>
        <w:r w:rsidR="00272266">
          <w:rPr>
            <w:noProof/>
            <w:webHidden/>
          </w:rPr>
          <w:fldChar w:fldCharType="begin"/>
        </w:r>
        <w:r w:rsidR="00272266">
          <w:rPr>
            <w:noProof/>
            <w:webHidden/>
          </w:rPr>
          <w:instrText xml:space="preserve"> PAGEREF _Toc423532103 \h </w:instrText>
        </w:r>
        <w:r w:rsidR="00272266">
          <w:rPr>
            <w:noProof/>
            <w:webHidden/>
          </w:rPr>
        </w:r>
        <w:r w:rsidR="00272266">
          <w:rPr>
            <w:noProof/>
            <w:webHidden/>
          </w:rPr>
          <w:fldChar w:fldCharType="separate"/>
        </w:r>
        <w:r w:rsidR="00272266">
          <w:rPr>
            <w:noProof/>
            <w:webHidden/>
          </w:rPr>
          <w:t>32</w:t>
        </w:r>
        <w:r w:rsidR="00272266">
          <w:rPr>
            <w:noProof/>
            <w:webHidden/>
          </w:rPr>
          <w:fldChar w:fldCharType="end"/>
        </w:r>
      </w:hyperlink>
    </w:p>
    <w:p w14:paraId="1C7BD9FE" w14:textId="77777777" w:rsidR="00272266" w:rsidRDefault="007D19CD">
      <w:pPr>
        <w:pStyle w:val="TOC2"/>
        <w:rPr>
          <w:rFonts w:asciiTheme="minorHAnsi" w:eastAsiaTheme="minorEastAsia" w:hAnsiTheme="minorHAnsi"/>
          <w:noProof/>
          <w:lang w:eastAsia="en-AU"/>
        </w:rPr>
      </w:pPr>
      <w:hyperlink w:anchor="_Toc423532104" w:history="1">
        <w:r w:rsidR="00272266" w:rsidRPr="00737880">
          <w:rPr>
            <w:rStyle w:val="Hyperlink"/>
            <w:i/>
            <w:noProof/>
          </w:rPr>
          <w:t>4.5</w:t>
        </w:r>
        <w:r w:rsidR="00272266">
          <w:rPr>
            <w:rFonts w:asciiTheme="minorHAnsi" w:eastAsiaTheme="minorEastAsia" w:hAnsiTheme="minorHAnsi"/>
            <w:noProof/>
            <w:lang w:eastAsia="en-AU"/>
          </w:rPr>
          <w:tab/>
        </w:r>
        <w:r w:rsidR="00272266" w:rsidRPr="00737880">
          <w:rPr>
            <w:rStyle w:val="Hyperlink"/>
            <w:i/>
            <w:noProof/>
          </w:rPr>
          <w:t>Sharing of multiplexes by commercial, national and community broadcasters</w:t>
        </w:r>
        <w:r w:rsidR="00272266">
          <w:rPr>
            <w:noProof/>
            <w:webHidden/>
          </w:rPr>
          <w:tab/>
        </w:r>
        <w:r w:rsidR="00272266">
          <w:rPr>
            <w:noProof/>
            <w:webHidden/>
          </w:rPr>
          <w:fldChar w:fldCharType="begin"/>
        </w:r>
        <w:r w:rsidR="00272266">
          <w:rPr>
            <w:noProof/>
            <w:webHidden/>
          </w:rPr>
          <w:instrText xml:space="preserve"> PAGEREF _Toc423532104 \h </w:instrText>
        </w:r>
        <w:r w:rsidR="00272266">
          <w:rPr>
            <w:noProof/>
            <w:webHidden/>
          </w:rPr>
        </w:r>
        <w:r w:rsidR="00272266">
          <w:rPr>
            <w:noProof/>
            <w:webHidden/>
          </w:rPr>
          <w:fldChar w:fldCharType="separate"/>
        </w:r>
        <w:r w:rsidR="00272266">
          <w:rPr>
            <w:noProof/>
            <w:webHidden/>
          </w:rPr>
          <w:t>34</w:t>
        </w:r>
        <w:r w:rsidR="00272266">
          <w:rPr>
            <w:noProof/>
            <w:webHidden/>
          </w:rPr>
          <w:fldChar w:fldCharType="end"/>
        </w:r>
      </w:hyperlink>
    </w:p>
    <w:p w14:paraId="5666AC74" w14:textId="77777777" w:rsidR="00272266" w:rsidRDefault="007D19CD">
      <w:pPr>
        <w:pStyle w:val="TOC2"/>
        <w:rPr>
          <w:rFonts w:asciiTheme="minorHAnsi" w:eastAsiaTheme="minorEastAsia" w:hAnsiTheme="minorHAnsi"/>
          <w:noProof/>
          <w:lang w:eastAsia="en-AU"/>
        </w:rPr>
      </w:pPr>
      <w:hyperlink w:anchor="_Toc423532105" w:history="1">
        <w:r w:rsidR="00272266" w:rsidRPr="00737880">
          <w:rPr>
            <w:rStyle w:val="Hyperlink"/>
            <w:i/>
            <w:noProof/>
          </w:rPr>
          <w:t>4.6</w:t>
        </w:r>
        <w:r w:rsidR="00272266">
          <w:rPr>
            <w:rFonts w:asciiTheme="minorHAnsi" w:eastAsiaTheme="minorEastAsia" w:hAnsiTheme="minorHAnsi"/>
            <w:noProof/>
            <w:lang w:eastAsia="en-AU"/>
          </w:rPr>
          <w:tab/>
        </w:r>
        <w:r w:rsidR="00272266" w:rsidRPr="00737880">
          <w:rPr>
            <w:rStyle w:val="Hyperlink"/>
            <w:i/>
            <w:noProof/>
          </w:rPr>
          <w:t>Access regime for digital radio</w:t>
        </w:r>
        <w:r w:rsidR="00272266">
          <w:rPr>
            <w:noProof/>
            <w:webHidden/>
          </w:rPr>
          <w:tab/>
        </w:r>
        <w:r w:rsidR="00272266">
          <w:rPr>
            <w:noProof/>
            <w:webHidden/>
          </w:rPr>
          <w:fldChar w:fldCharType="begin"/>
        </w:r>
        <w:r w:rsidR="00272266">
          <w:rPr>
            <w:noProof/>
            <w:webHidden/>
          </w:rPr>
          <w:instrText xml:space="preserve"> PAGEREF _Toc423532105 \h </w:instrText>
        </w:r>
        <w:r w:rsidR="00272266">
          <w:rPr>
            <w:noProof/>
            <w:webHidden/>
          </w:rPr>
        </w:r>
        <w:r w:rsidR="00272266">
          <w:rPr>
            <w:noProof/>
            <w:webHidden/>
          </w:rPr>
          <w:fldChar w:fldCharType="separate"/>
        </w:r>
        <w:r w:rsidR="00272266">
          <w:rPr>
            <w:noProof/>
            <w:webHidden/>
          </w:rPr>
          <w:t>36</w:t>
        </w:r>
        <w:r w:rsidR="00272266">
          <w:rPr>
            <w:noProof/>
            <w:webHidden/>
          </w:rPr>
          <w:fldChar w:fldCharType="end"/>
        </w:r>
      </w:hyperlink>
    </w:p>
    <w:p w14:paraId="06D78FBC" w14:textId="77777777" w:rsidR="005077CA" w:rsidRPr="00E5315D" w:rsidRDefault="005077CA" w:rsidP="005077CA">
      <w:r w:rsidRPr="00E5315D">
        <w:rPr>
          <w:noProof/>
          <w:color w:val="00728F"/>
          <w:sz w:val="24"/>
        </w:rPr>
        <w:fldChar w:fldCharType="end"/>
      </w:r>
      <w:r w:rsidRPr="00E5315D">
        <w:br w:type="page"/>
      </w:r>
      <w:bookmarkStart w:id="27" w:name="_Toc382493210"/>
      <w:bookmarkStart w:id="28" w:name="_Toc382580071"/>
    </w:p>
    <w:p w14:paraId="16B1E283" w14:textId="77777777" w:rsidR="005077CA" w:rsidRPr="00E5315D" w:rsidRDefault="005077CA" w:rsidP="005077CA">
      <w:pPr>
        <w:pStyle w:val="Heading1"/>
        <w:numPr>
          <w:ilvl w:val="0"/>
          <w:numId w:val="0"/>
        </w:numPr>
        <w:ind w:left="907" w:hanging="907"/>
      </w:pPr>
      <w:bookmarkStart w:id="29" w:name="_Toc423532085"/>
      <w:bookmarkStart w:id="30" w:name="_Toc396212042"/>
      <w:bookmarkStart w:id="31" w:name="_Toc397517865"/>
      <w:bookmarkEnd w:id="27"/>
      <w:bookmarkEnd w:id="28"/>
      <w:r w:rsidRPr="00E5315D">
        <w:lastRenderedPageBreak/>
        <w:t>Executive summary, findings and recommendations</w:t>
      </w:r>
      <w:bookmarkEnd w:id="29"/>
      <w:r w:rsidRPr="00E5315D">
        <w:t xml:space="preserve"> </w:t>
      </w:r>
    </w:p>
    <w:p w14:paraId="414B6C71" w14:textId="77777777" w:rsidR="003E0DCA" w:rsidRPr="00EF6682" w:rsidRDefault="003E0DCA" w:rsidP="003E0DCA">
      <w:pPr>
        <w:pStyle w:val="Heading2"/>
        <w:numPr>
          <w:ilvl w:val="0"/>
          <w:numId w:val="0"/>
        </w:numPr>
        <w:rPr>
          <w:rFonts w:ascii="Calibri" w:hAnsi="Calibri" w:cstheme="minorBidi"/>
        </w:rPr>
      </w:pPr>
      <w:bookmarkStart w:id="32" w:name="_Toc423532086"/>
      <w:r w:rsidRPr="00EF6682">
        <w:t>Context</w:t>
      </w:r>
      <w:bookmarkEnd w:id="32"/>
    </w:p>
    <w:p w14:paraId="058C1561" w14:textId="69B85378" w:rsidR="003E0DCA" w:rsidRDefault="003E0DCA" w:rsidP="003E0DCA">
      <w:pPr>
        <w:pStyle w:val="BodyText"/>
      </w:pPr>
      <w:r>
        <w:t>In common with other industrialised countries, the radio industry in Australia is in the midst of a significant transformation</w:t>
      </w:r>
      <w:r w:rsidR="00EE407D">
        <w:t xml:space="preserve">. </w:t>
      </w:r>
      <w:r>
        <w:t>Traditional analogue radio services, broadcasting on AM and FM frequencies, remain popular and continue to attract substantial audiences and revenue. However, the analogue</w:t>
      </w:r>
      <w:r w:rsidR="004E075A">
        <w:t xml:space="preserve"> platform </w:t>
      </w:r>
      <w:r>
        <w:t>is very mature</w:t>
      </w:r>
      <w:r w:rsidR="004A6DA9">
        <w:t>,</w:t>
      </w:r>
      <w:r>
        <w:t xml:space="preserve"> offering only limited capacity for technical change and development, and FM spectrum is now largely fully occupied in population dense areas</w:t>
      </w:r>
      <w:r w:rsidR="00EE407D">
        <w:t xml:space="preserve">. </w:t>
      </w:r>
      <w:r>
        <w:t>In addition, AM transmissions face growing pressure from urban development and related increasing signal interference</w:t>
      </w:r>
      <w:r w:rsidR="00EE407D">
        <w:t xml:space="preserve">. </w:t>
      </w:r>
    </w:p>
    <w:p w14:paraId="6A1CD40C" w14:textId="77777777" w:rsidR="003E0DCA" w:rsidRDefault="003E0DCA" w:rsidP="003E0DCA">
      <w:pPr>
        <w:pStyle w:val="BodyText"/>
      </w:pPr>
      <w:r w:rsidRPr="0079315A">
        <w:t>The Australian radio industry therefore retains a strong interest in the opportunities presented by digital radio for service innovation and future growth.</w:t>
      </w:r>
    </w:p>
    <w:p w14:paraId="6EFFB7D5" w14:textId="5DD588F3" w:rsidR="003E0DCA" w:rsidRDefault="0031004E" w:rsidP="003E0DCA">
      <w:pPr>
        <w:pStyle w:val="BodyText"/>
      </w:pPr>
      <w:r>
        <w:t>To date, d</w:t>
      </w:r>
      <w:r w:rsidR="003E0DCA">
        <w:t xml:space="preserve">igital terrestrial radio </w:t>
      </w:r>
      <w:r>
        <w:t xml:space="preserve">services have been licensed for the </w:t>
      </w:r>
      <w:r w:rsidR="003E0DCA">
        <w:t xml:space="preserve">five </w:t>
      </w:r>
      <w:r w:rsidR="0079315A">
        <w:t xml:space="preserve">mainland </w:t>
      </w:r>
      <w:r w:rsidR="002F6FC4">
        <w:t>s</w:t>
      </w:r>
      <w:r w:rsidR="0079315A">
        <w:t>tate capital cities</w:t>
      </w:r>
      <w:r w:rsidR="00A01B07">
        <w:t>,</w:t>
      </w:r>
      <w:r>
        <w:rPr>
          <w:rStyle w:val="FootnoteReference"/>
        </w:rPr>
        <w:footnoteReference w:id="2"/>
      </w:r>
      <w:r w:rsidR="003E0DCA">
        <w:t xml:space="preserve"> </w:t>
      </w:r>
      <w:r>
        <w:t xml:space="preserve">and </w:t>
      </w:r>
      <w:r w:rsidR="003E0DCA">
        <w:t xml:space="preserve">trials </w:t>
      </w:r>
      <w:r>
        <w:t xml:space="preserve">involving such services are underway </w:t>
      </w:r>
      <w:r w:rsidR="003E0DCA">
        <w:t>in Canberra and Darwin</w:t>
      </w:r>
      <w:r w:rsidR="00EE407D">
        <w:t xml:space="preserve">. </w:t>
      </w:r>
      <w:r w:rsidR="003E0DCA">
        <w:t xml:space="preserve">Within </w:t>
      </w:r>
      <w:r w:rsidR="005D1839">
        <w:t>the mainland state capital cities</w:t>
      </w:r>
      <w:r w:rsidR="003E0DCA">
        <w:t>, take up of digital terrestrial radio services continues to grow slowly but steadily with listenership reaching almost 25 per cent in the first quarter of 2015.</w:t>
      </w:r>
      <w:r w:rsidR="005D1839">
        <w:rPr>
          <w:rStyle w:val="FootnoteReference"/>
        </w:rPr>
        <w:footnoteReference w:id="3"/>
      </w:r>
      <w:r w:rsidR="003E0DCA">
        <w:t xml:space="preserve"> Listenership has benefitted from increased availability of digital radio receivers in motor vehicles (a primary source of listening) and the recent additional rollout of in-fill transmitters increasing coverage of the services</w:t>
      </w:r>
      <w:r w:rsidR="00854222">
        <w:t xml:space="preserve"> in Brisbane, Melbourne, Perth and Sydney</w:t>
      </w:r>
      <w:r w:rsidR="00EE407D">
        <w:t xml:space="preserve">. </w:t>
      </w:r>
    </w:p>
    <w:p w14:paraId="426D6B80" w14:textId="45119238" w:rsidR="003E0DCA" w:rsidRDefault="003E0DCA" w:rsidP="003E0DCA">
      <w:pPr>
        <w:pStyle w:val="BodyText"/>
      </w:pPr>
      <w:r>
        <w:t>The cost and complexity of rolling out D</w:t>
      </w:r>
      <w:r w:rsidR="0079315A">
        <w:t xml:space="preserve">igital </w:t>
      </w:r>
      <w:r>
        <w:t>A</w:t>
      </w:r>
      <w:r w:rsidR="0079315A">
        <w:t xml:space="preserve">udio </w:t>
      </w:r>
      <w:r>
        <w:t>B</w:t>
      </w:r>
      <w:r w:rsidR="0079315A">
        <w:t>roadcasting Plus (DAB</w:t>
      </w:r>
      <w:r>
        <w:t>+</w:t>
      </w:r>
      <w:r w:rsidR="0079315A">
        <w:t>)</w:t>
      </w:r>
      <w:r>
        <w:t>-based digital terrestrial radio services across regional Australia</w:t>
      </w:r>
      <w:r w:rsidR="00B46A4C">
        <w:rPr>
          <w:rStyle w:val="FootnoteReference"/>
        </w:rPr>
        <w:footnoteReference w:id="4"/>
      </w:r>
      <w:r>
        <w:t xml:space="preserve"> present major challenge</w:t>
      </w:r>
      <w:r w:rsidR="0079315A">
        <w:t>s</w:t>
      </w:r>
      <w:r>
        <w:t xml:space="preserve"> for the industry. </w:t>
      </w:r>
      <w:r w:rsidRPr="0079315A">
        <w:t xml:space="preserve">The need to cover large geographic areas with small and dispersed populations </w:t>
      </w:r>
      <w:r w:rsidR="0079315A">
        <w:t>offers</w:t>
      </w:r>
      <w:r w:rsidRPr="0079315A">
        <w:t xml:space="preserve"> unique challenges which have not been faced in many international markets. </w:t>
      </w:r>
    </w:p>
    <w:p w14:paraId="7AC1E47D" w14:textId="657BF68F" w:rsidR="003E0DCA" w:rsidRDefault="003E0DCA" w:rsidP="003E0DCA">
      <w:pPr>
        <w:pStyle w:val="BodyText"/>
      </w:pPr>
      <w:r>
        <w:t xml:space="preserve">At the same time, Australians are rapidly adopting new types of technology with </w:t>
      </w:r>
      <w:r w:rsidR="0079315A">
        <w:t xml:space="preserve">the </w:t>
      </w:r>
      <w:r>
        <w:t>growth of online audio platforms such as Spotify and Pandora</w:t>
      </w:r>
      <w:r w:rsidR="00EE407D">
        <w:t xml:space="preserve">. </w:t>
      </w:r>
      <w:r>
        <w:t xml:space="preserve">These services are complementing the move by traditional radio businesses—most notably the national broadcasters—to deliver radio services online or through mobile apps. The </w:t>
      </w:r>
      <w:r w:rsidR="00A4537D">
        <w:t>announcement</w:t>
      </w:r>
      <w:r>
        <w:t xml:space="preserve"> by Apple </w:t>
      </w:r>
      <w:r w:rsidR="00A4537D">
        <w:t xml:space="preserve">of a move </w:t>
      </w:r>
      <w:r>
        <w:t>into the streamed audio market will only increase the choices available to audiences</w:t>
      </w:r>
      <w:r w:rsidR="00EE407D">
        <w:t xml:space="preserve">. </w:t>
      </w:r>
      <w:r>
        <w:t xml:space="preserve">These services may herald a generational change in listening habits with significant implications for traditional platforms over time. That said, there are ongoing challenges with the bandwidth and data transmission requirements of these services </w:t>
      </w:r>
      <w:r w:rsidRPr="0079315A">
        <w:t>being delivered to large audiences</w:t>
      </w:r>
      <w:r w:rsidRPr="001405E4">
        <w:t xml:space="preserve"> over mobile and wireless platforms.</w:t>
      </w:r>
    </w:p>
    <w:p w14:paraId="7B678B30" w14:textId="584242C7" w:rsidR="003E0DCA" w:rsidRDefault="003E0DCA" w:rsidP="003E0DCA">
      <w:pPr>
        <w:pStyle w:val="BodyText"/>
      </w:pPr>
      <w:r>
        <w:t xml:space="preserve">The digital terrestrial radio industry is subject to a range of regulatory requirements in the </w:t>
      </w:r>
      <w:r>
        <w:rPr>
          <w:i/>
        </w:rPr>
        <w:t xml:space="preserve">Broadcasting Services Act 1992 </w:t>
      </w:r>
      <w:r w:rsidR="0079315A">
        <w:t xml:space="preserve">(the BSA) </w:t>
      </w:r>
      <w:r>
        <w:t xml:space="preserve">and the </w:t>
      </w:r>
      <w:r>
        <w:rPr>
          <w:i/>
        </w:rPr>
        <w:t>Radiocommunications Act 1992</w:t>
      </w:r>
      <w:r w:rsidR="0079315A">
        <w:t xml:space="preserve"> (the Rad</w:t>
      </w:r>
      <w:r w:rsidR="00DF25B6">
        <w:t>io</w:t>
      </w:r>
      <w:r w:rsidR="0079315A">
        <w:t>com</w:t>
      </w:r>
      <w:r w:rsidR="00270767">
        <w:t>munications</w:t>
      </w:r>
      <w:r w:rsidR="0079315A">
        <w:t xml:space="preserve"> Act)</w:t>
      </w:r>
      <w:r>
        <w:t xml:space="preserve">, which govern matters such as the planning and start up of services, and the sharing of and access to the transmission multiplex in each area. Against the background of changes in the radio industry, this review considers whether changes are required to this framework to provide greater flexibility to the industry and the Australian Communications and Media Authority </w:t>
      </w:r>
      <w:r w:rsidR="0079315A">
        <w:t xml:space="preserve">(the ACMA) </w:t>
      </w:r>
      <w:r>
        <w:t>to plan for change and ensure that the radio industry is well placed to determine its future strategies for digital services.</w:t>
      </w:r>
    </w:p>
    <w:p w14:paraId="4E53B356" w14:textId="4ED8548B" w:rsidR="003E0DCA" w:rsidRPr="00E5315D" w:rsidRDefault="003E0DCA" w:rsidP="003E0DCA">
      <w:pPr>
        <w:pStyle w:val="BodyText"/>
      </w:pPr>
      <w:r>
        <w:t>Key issues</w:t>
      </w:r>
      <w:r w:rsidRPr="00E5315D">
        <w:t xml:space="preserve"> examined</w:t>
      </w:r>
      <w:r>
        <w:t xml:space="preserve"> by the review included</w:t>
      </w:r>
      <w:r w:rsidRPr="00E5315D">
        <w:t>:</w:t>
      </w:r>
    </w:p>
    <w:p w14:paraId="7C13D0AA" w14:textId="386B129E" w:rsidR="003E0DCA" w:rsidRDefault="003E0DCA" w:rsidP="003E0DCA">
      <w:pPr>
        <w:pStyle w:val="Bodybullet-Level1"/>
      </w:pPr>
      <w:r>
        <w:t>the current state of digital terrestrial radio in Australia, and the impacts of alternative technologies on the industry and listeners</w:t>
      </w:r>
      <w:r w:rsidR="002E7877">
        <w:t>;</w:t>
      </w:r>
    </w:p>
    <w:p w14:paraId="1F391594" w14:textId="77777777" w:rsidR="003E0DCA" w:rsidRPr="00E5315D" w:rsidRDefault="003E0DCA" w:rsidP="003E0DCA">
      <w:pPr>
        <w:pStyle w:val="Bodybullet-Level1"/>
      </w:pPr>
      <w:r w:rsidRPr="00E5315D">
        <w:t>whether Australia should set a</w:t>
      </w:r>
      <w:r>
        <w:t xml:space="preserve"> digital</w:t>
      </w:r>
      <w:r w:rsidRPr="00E5315D">
        <w:t xml:space="preserve"> switchover date for </w:t>
      </w:r>
      <w:r>
        <w:t>analogue commercial, national, community or other terrestrially transmitted</w:t>
      </w:r>
      <w:r w:rsidRPr="00E5315D">
        <w:t xml:space="preserve"> radio</w:t>
      </w:r>
      <w:r>
        <w:t xml:space="preserve"> services</w:t>
      </w:r>
      <w:r w:rsidRPr="00E5315D">
        <w:t>;</w:t>
      </w:r>
    </w:p>
    <w:p w14:paraId="6BFD8024" w14:textId="77777777" w:rsidR="003E0DCA" w:rsidRPr="00E5315D" w:rsidRDefault="003E0DCA" w:rsidP="003E0DCA">
      <w:pPr>
        <w:pStyle w:val="Bodybullet-Level1"/>
      </w:pPr>
      <w:r w:rsidRPr="00E5315D">
        <w:t>what legislative/regulatory arrangements should be in place to assist the rollout of digital</w:t>
      </w:r>
      <w:r>
        <w:t xml:space="preserve"> terrestrial</w:t>
      </w:r>
      <w:r w:rsidRPr="00E5315D">
        <w:t xml:space="preserve"> radio services in regional areas; and</w:t>
      </w:r>
    </w:p>
    <w:p w14:paraId="7729D9D0" w14:textId="77777777" w:rsidR="003E0DCA" w:rsidRDefault="003E0DCA" w:rsidP="003E0DCA">
      <w:pPr>
        <w:pStyle w:val="Bodybullet-Level1"/>
      </w:pPr>
      <w:r w:rsidRPr="00E5315D">
        <w:t xml:space="preserve">whether changes </w:t>
      </w:r>
      <w:r>
        <w:t>are</w:t>
      </w:r>
      <w:r w:rsidRPr="00E5315D">
        <w:t xml:space="preserve"> required to the legislative regime for digital radio, including to reduce the regulatory burden on industry.</w:t>
      </w:r>
    </w:p>
    <w:p w14:paraId="64A830F3" w14:textId="5C568E31" w:rsidR="003E0DCA" w:rsidRPr="00E5315D" w:rsidRDefault="003E0DCA" w:rsidP="003E0DCA">
      <w:pPr>
        <w:pStyle w:val="BodyText"/>
      </w:pPr>
      <w:r w:rsidRPr="00E5315D">
        <w:t>The report makes the following findings:</w:t>
      </w:r>
    </w:p>
    <w:p w14:paraId="236ABAA3" w14:textId="0ECD537A" w:rsidR="003E0DCA" w:rsidRPr="0079315A" w:rsidRDefault="003E0DCA" w:rsidP="00E1685D">
      <w:pPr>
        <w:pStyle w:val="BodyText"/>
        <w:numPr>
          <w:ilvl w:val="0"/>
          <w:numId w:val="96"/>
        </w:numPr>
      </w:pPr>
      <w:r w:rsidRPr="0079315A">
        <w:t xml:space="preserve">Definitive views on the future of digital terrestrial radio cannot be made at this time. </w:t>
      </w:r>
      <w:r w:rsidR="00F23329">
        <w:t>Greater clarity</w:t>
      </w:r>
      <w:r w:rsidRPr="0079315A">
        <w:t xml:space="preserve"> may emerge in the medium term but significant rollout uncertainties and challenges—particularly for service provision in regional Australia—remain.</w:t>
      </w:r>
      <w:r w:rsidR="00E1685D" w:rsidRPr="00E1685D">
        <w:t xml:space="preserve"> The Government should continue to monitor national and international trends in the provision of digital radio</w:t>
      </w:r>
      <w:r w:rsidR="00E1685D">
        <w:t>.</w:t>
      </w:r>
    </w:p>
    <w:p w14:paraId="5086C951" w14:textId="63FC9C33" w:rsidR="003E0DCA" w:rsidRPr="00E5315D" w:rsidRDefault="003E0DCA" w:rsidP="003E0DCA">
      <w:pPr>
        <w:pStyle w:val="BodyText"/>
        <w:numPr>
          <w:ilvl w:val="0"/>
          <w:numId w:val="96"/>
        </w:numPr>
      </w:pPr>
      <w:r w:rsidRPr="00E5315D">
        <w:t>Australia will continue to rely on a combination of compl</w:t>
      </w:r>
      <w:r>
        <w:t>e</w:t>
      </w:r>
      <w:r w:rsidRPr="00E5315D">
        <w:t xml:space="preserve">mentary analogue, digital and online radio technologies to deliver radio </w:t>
      </w:r>
      <w:r w:rsidR="009431BC">
        <w:t xml:space="preserve">services </w:t>
      </w:r>
      <w:r w:rsidRPr="00E5315D">
        <w:t>to all Australians. Digital</w:t>
      </w:r>
      <w:r>
        <w:t xml:space="preserve"> terrestrial</w:t>
      </w:r>
      <w:r w:rsidRPr="00E5315D">
        <w:t xml:space="preserve"> radio will continue as a supplementary, rather than a replacement, technology in at least the short to medium term.</w:t>
      </w:r>
    </w:p>
    <w:p w14:paraId="5DE61AEA" w14:textId="77777777" w:rsidR="003E0DCA" w:rsidRPr="00E5315D" w:rsidRDefault="003E0DCA" w:rsidP="003E0DCA">
      <w:pPr>
        <w:pStyle w:val="BodyText"/>
        <w:numPr>
          <w:ilvl w:val="0"/>
          <w:numId w:val="96"/>
        </w:numPr>
      </w:pPr>
      <w:r w:rsidRPr="00E5315D">
        <w:t xml:space="preserve">The rollout of digital </w:t>
      </w:r>
      <w:r>
        <w:t xml:space="preserve">terrestrial </w:t>
      </w:r>
      <w:r w:rsidRPr="00E5315D">
        <w:t xml:space="preserve">radio services in regional areas </w:t>
      </w:r>
      <w:r>
        <w:t>should be</w:t>
      </w:r>
      <w:r w:rsidRPr="00E5315D">
        <w:t xml:space="preserve"> a commercial decision for broadcasters, subject to spectrum availability and planning.</w:t>
      </w:r>
    </w:p>
    <w:p w14:paraId="5FA371D3" w14:textId="77777777" w:rsidR="003E0DCA" w:rsidRPr="00E5315D" w:rsidRDefault="003E0DCA" w:rsidP="003E0DCA">
      <w:pPr>
        <w:pStyle w:val="BodyText"/>
        <w:numPr>
          <w:ilvl w:val="0"/>
          <w:numId w:val="96"/>
        </w:numPr>
      </w:pPr>
      <w:r w:rsidRPr="00E5315D">
        <w:t xml:space="preserve">It will be a decision for the national broadcasters </w:t>
      </w:r>
      <w:r>
        <w:t xml:space="preserve">and community broadcasters </w:t>
      </w:r>
      <w:r w:rsidRPr="00E5315D">
        <w:t xml:space="preserve">whether to roll out digital </w:t>
      </w:r>
      <w:r>
        <w:t xml:space="preserve">terrestrial </w:t>
      </w:r>
      <w:r w:rsidRPr="00E5315D">
        <w:t>radio services in areas where commercial broadcasters choose to do so.</w:t>
      </w:r>
    </w:p>
    <w:p w14:paraId="1C529E4C" w14:textId="434D6737" w:rsidR="003E0DCA" w:rsidRPr="00EF3CC5" w:rsidRDefault="003E0DCA" w:rsidP="003E0DCA">
      <w:pPr>
        <w:pStyle w:val="BodyText"/>
        <w:numPr>
          <w:ilvl w:val="0"/>
          <w:numId w:val="96"/>
        </w:numPr>
      </w:pPr>
      <w:r w:rsidRPr="00856180">
        <w:t xml:space="preserve">The Canberra and Darwin digital radio trials have </w:t>
      </w:r>
      <w:r w:rsidR="002E7877" w:rsidRPr="00856180">
        <w:t>provided data to assist</w:t>
      </w:r>
      <w:r w:rsidR="00D34D0C" w:rsidRPr="00856180">
        <w:t xml:space="preserve"> the </w:t>
      </w:r>
      <w:r w:rsidR="002E7877" w:rsidRPr="00856180">
        <w:t>radio industry</w:t>
      </w:r>
      <w:r w:rsidR="00D34D0C" w:rsidRPr="00856180">
        <w:t xml:space="preserve"> in </w:t>
      </w:r>
      <w:r w:rsidR="002E7877" w:rsidRPr="00856180">
        <w:t>managing</w:t>
      </w:r>
      <w:r w:rsidR="00B30BDF" w:rsidRPr="00856180">
        <w:t xml:space="preserve"> the </w:t>
      </w:r>
      <w:r w:rsidR="002E7877" w:rsidRPr="00856180">
        <w:t>engineering, logistical</w:t>
      </w:r>
      <w:r w:rsidR="00D34D0C" w:rsidRPr="00856180">
        <w:t xml:space="preserve"> and </w:t>
      </w:r>
      <w:r w:rsidR="002E7877" w:rsidRPr="00856180">
        <w:t>economic challenges of digital radio operations outside the mainland state capital cities.</w:t>
      </w:r>
      <w:r w:rsidRPr="00856180">
        <w:t xml:space="preserve"> </w:t>
      </w:r>
      <w:r w:rsidR="00EF3CC5" w:rsidRPr="00856180">
        <w:t>This data will assist in transitioning the trial services to permanent services</w:t>
      </w:r>
      <w:r w:rsidRPr="00EF3CC5">
        <w:t>.</w:t>
      </w:r>
    </w:p>
    <w:p w14:paraId="233A4C9D" w14:textId="627258AB" w:rsidR="003E0DCA" w:rsidRPr="00E5315D" w:rsidRDefault="003E0DCA" w:rsidP="003E0DCA">
      <w:pPr>
        <w:pStyle w:val="BodyText"/>
        <w:numPr>
          <w:ilvl w:val="0"/>
          <w:numId w:val="96"/>
        </w:numPr>
      </w:pPr>
      <w:r w:rsidRPr="00E5315D">
        <w:t>The legislative framework for digital radio is working well, but can be improved in a number of specific areas</w:t>
      </w:r>
      <w:r w:rsidR="00A4537D">
        <w:t>, as set out in this report</w:t>
      </w:r>
      <w:r w:rsidRPr="00E5315D">
        <w:t>.</w:t>
      </w:r>
    </w:p>
    <w:p w14:paraId="0E99FA2E" w14:textId="44A97DF9" w:rsidR="003E0DCA" w:rsidRPr="00E5315D" w:rsidRDefault="003E0DCA" w:rsidP="003E0DCA">
      <w:pPr>
        <w:pStyle w:val="BodyText"/>
        <w:numPr>
          <w:ilvl w:val="0"/>
          <w:numId w:val="96"/>
        </w:numPr>
      </w:pPr>
      <w:r w:rsidRPr="00E5315D">
        <w:t xml:space="preserve">There is no reason to </w:t>
      </w:r>
      <w:r w:rsidR="00BB0EFA">
        <w:t xml:space="preserve">reintroduce </w:t>
      </w:r>
      <w:r w:rsidRPr="00E5315D">
        <w:t>the moratorium</w:t>
      </w:r>
      <w:r w:rsidR="00BB0EFA">
        <w:t xml:space="preserve"> that </w:t>
      </w:r>
      <w:r w:rsidR="00B30BDF">
        <w:t>prohibit</w:t>
      </w:r>
      <w:r w:rsidR="002E7877">
        <w:t>ed</w:t>
      </w:r>
      <w:r w:rsidR="00B30BDF">
        <w:t xml:space="preserve"> the ACMA from issuing </w:t>
      </w:r>
      <w:r w:rsidRPr="00E5315D">
        <w:t xml:space="preserve">new </w:t>
      </w:r>
      <w:r w:rsidR="00B30BDF">
        <w:t xml:space="preserve">digital-only </w:t>
      </w:r>
      <w:r w:rsidRPr="00E5315D">
        <w:t xml:space="preserve">commercial radio </w:t>
      </w:r>
      <w:r>
        <w:t>licences</w:t>
      </w:r>
      <w:r w:rsidR="002B1B62">
        <w:t xml:space="preserve"> in each of the mainland state capital cities for a period of six years after digital terrestrial radio services commenced in each area</w:t>
      </w:r>
      <w:r w:rsidR="002D0424">
        <w:t xml:space="preserve">, which </w:t>
      </w:r>
      <w:r w:rsidR="00BB0EFA">
        <w:t>lapse</w:t>
      </w:r>
      <w:r w:rsidR="002E7877">
        <w:t>d</w:t>
      </w:r>
      <w:r w:rsidR="00BB0EFA">
        <w:t xml:space="preserve"> on 30</w:t>
      </w:r>
      <w:r w:rsidR="00091A20">
        <w:t> </w:t>
      </w:r>
      <w:r w:rsidR="00BB0EFA">
        <w:t>June</w:t>
      </w:r>
      <w:r w:rsidR="00091A20">
        <w:t> </w:t>
      </w:r>
      <w:r w:rsidR="00BB0EFA">
        <w:t>2015</w:t>
      </w:r>
      <w:r w:rsidRPr="00E5315D">
        <w:t>.</w:t>
      </w:r>
    </w:p>
    <w:p w14:paraId="05A694B0" w14:textId="355294DF" w:rsidR="003E0DCA" w:rsidRPr="0079315A" w:rsidRDefault="003E0DCA" w:rsidP="003E0DCA">
      <w:pPr>
        <w:pStyle w:val="BodyText"/>
        <w:numPr>
          <w:ilvl w:val="0"/>
          <w:numId w:val="96"/>
        </w:numPr>
      </w:pPr>
      <w:r w:rsidRPr="0079315A">
        <w:t xml:space="preserve">The arrangements governing the establishment of digital radio transmission infrastructure </w:t>
      </w:r>
      <w:r w:rsidR="00BB0EFA">
        <w:t xml:space="preserve">(multiplexes) </w:t>
      </w:r>
      <w:r w:rsidRPr="0079315A">
        <w:t xml:space="preserve">by broadcasters </w:t>
      </w:r>
      <w:r w:rsidR="001232E8">
        <w:t xml:space="preserve">and access to capacity on the multiplexes </w:t>
      </w:r>
      <w:r w:rsidRPr="0079315A">
        <w:t>are generally working satisfactorily</w:t>
      </w:r>
      <w:r w:rsidR="00BB0EFA">
        <w:t xml:space="preserve"> in the mainland state capital cities</w:t>
      </w:r>
      <w:r w:rsidR="00EE407D">
        <w:t xml:space="preserve">. </w:t>
      </w:r>
      <w:r w:rsidRPr="0079315A">
        <w:t>However, some adjustments are likely to be needed to optimise the use of spectrum and infrastructure in regional areas, to accommodate the differing combinations of commercial, national and community broadcasters in different areas</w:t>
      </w:r>
      <w:r w:rsidR="00EE407D">
        <w:t xml:space="preserve">. </w:t>
      </w:r>
      <w:r w:rsidRPr="0079315A">
        <w:t>Adjustments may also be needed in the event that the statutory restrictions on who can provide digital radio services are relaxed in the future.</w:t>
      </w:r>
    </w:p>
    <w:p w14:paraId="1D8B6991" w14:textId="17FD6C30" w:rsidR="00596755" w:rsidRDefault="00596755" w:rsidP="00596755">
      <w:pPr>
        <w:pStyle w:val="BodyText"/>
        <w:numPr>
          <w:ilvl w:val="0"/>
          <w:numId w:val="96"/>
        </w:numPr>
      </w:pPr>
      <w:r w:rsidRPr="00596755">
        <w:t>The review has not found a need for any changes to the allocation of spectrum for digital terrestrial radio.</w:t>
      </w:r>
    </w:p>
    <w:p w14:paraId="097E27C0" w14:textId="5611BC6F" w:rsidR="003E0DCA" w:rsidRPr="00E5315D" w:rsidRDefault="003E0DCA" w:rsidP="003E0DCA">
      <w:pPr>
        <w:pStyle w:val="BodyText"/>
        <w:numPr>
          <w:ilvl w:val="0"/>
          <w:numId w:val="96"/>
        </w:numPr>
      </w:pPr>
      <w:r>
        <w:t xml:space="preserve">Although this review is primarily related to digital </w:t>
      </w:r>
      <w:r w:rsidR="00BB0EFA">
        <w:t xml:space="preserve">radio </w:t>
      </w:r>
      <w:r>
        <w:t xml:space="preserve">services, there may be an opportunity to consider whether analogue </w:t>
      </w:r>
      <w:r w:rsidR="00BB0EFA">
        <w:t xml:space="preserve">radio </w:t>
      </w:r>
      <w:r>
        <w:t>coverage can be enhanced or improved pending the roll out of digital terrestrial services by the industry</w:t>
      </w:r>
      <w:r w:rsidR="00EE407D">
        <w:t xml:space="preserve">. </w:t>
      </w:r>
      <w:r w:rsidRPr="00C05A71">
        <w:t xml:space="preserve">Further research is required into whether AM coverage can be improved in metropolitan areas, and whether FM spectrum can be made available in regional areas for </w:t>
      </w:r>
      <w:r w:rsidR="002B1B62">
        <w:t xml:space="preserve">new </w:t>
      </w:r>
      <w:r w:rsidRPr="00C05A71">
        <w:t>analogue radio services</w:t>
      </w:r>
      <w:r>
        <w:t xml:space="preserve"> or the conversion of </w:t>
      </w:r>
      <w:r w:rsidR="002B1B62">
        <w:t xml:space="preserve">existing </w:t>
      </w:r>
      <w:r>
        <w:t xml:space="preserve">AM services to FM, potentially in lieu of </w:t>
      </w:r>
      <w:r w:rsidR="002E7877">
        <w:t xml:space="preserve">the rollout of </w:t>
      </w:r>
      <w:r>
        <w:t>digital services</w:t>
      </w:r>
      <w:r w:rsidRPr="00E5315D">
        <w:t>.</w:t>
      </w:r>
    </w:p>
    <w:p w14:paraId="47C7B48F" w14:textId="77777777" w:rsidR="003E0DCA" w:rsidRPr="00E5315D" w:rsidRDefault="003E0DCA" w:rsidP="003E0DCA">
      <w:pPr>
        <w:pStyle w:val="BodyText"/>
      </w:pPr>
      <w:r w:rsidRPr="00E5315D">
        <w:t xml:space="preserve">The report makes the following recommendations: </w:t>
      </w:r>
    </w:p>
    <w:p w14:paraId="5366BA8C" w14:textId="77777777" w:rsidR="003E0DCA" w:rsidRDefault="003E0DCA" w:rsidP="003E0DCA">
      <w:pPr>
        <w:pStyle w:val="BodyText"/>
        <w:numPr>
          <w:ilvl w:val="0"/>
          <w:numId w:val="97"/>
        </w:numPr>
      </w:pPr>
      <w:r w:rsidRPr="00155364">
        <w:t>The Government should not set a timetable for analogue radio switch off</w:t>
      </w:r>
      <w:r>
        <w:t xml:space="preserve"> at this time</w:t>
      </w:r>
      <w:r w:rsidRPr="00155364">
        <w:t>.</w:t>
      </w:r>
    </w:p>
    <w:p w14:paraId="270F7C94" w14:textId="7BA66771" w:rsidR="003E0DCA" w:rsidRPr="00E5315D" w:rsidRDefault="003E0DCA" w:rsidP="003E0DCA">
      <w:pPr>
        <w:pStyle w:val="BodyText"/>
        <w:numPr>
          <w:ilvl w:val="0"/>
          <w:numId w:val="97"/>
        </w:numPr>
      </w:pPr>
      <w:r>
        <w:t>The Government should give the ACMA r</w:t>
      </w:r>
      <w:r w:rsidRPr="00E5315D">
        <w:t xml:space="preserve">esponsibility for determining where and when digital </w:t>
      </w:r>
      <w:r w:rsidR="008B0625">
        <w:t xml:space="preserve">terrestrial </w:t>
      </w:r>
      <w:r w:rsidRPr="00E5315D">
        <w:t>radio services can commence.</w:t>
      </w:r>
    </w:p>
    <w:p w14:paraId="182B0CF0" w14:textId="77777777" w:rsidR="003E0DCA" w:rsidRPr="00E5315D" w:rsidRDefault="003E0DCA" w:rsidP="003E0DCA">
      <w:pPr>
        <w:pStyle w:val="BodyText"/>
        <w:numPr>
          <w:ilvl w:val="0"/>
          <w:numId w:val="97"/>
        </w:numPr>
      </w:pPr>
      <w:r w:rsidRPr="00E5315D">
        <w:t>Industry is encouraged to work with the ACMA to establish a Digital Radio Planning Committee for Regional Australia comprised of key industry bodies and stakeholders. The Committee should be chaired by the ACMA.</w:t>
      </w:r>
    </w:p>
    <w:p w14:paraId="469C1E7E" w14:textId="010A2ED5" w:rsidR="003E0DCA" w:rsidRDefault="003E0DCA" w:rsidP="003E0DCA">
      <w:pPr>
        <w:pStyle w:val="BodyText"/>
        <w:numPr>
          <w:ilvl w:val="0"/>
          <w:numId w:val="97"/>
        </w:numPr>
      </w:pPr>
      <w:r w:rsidRPr="002B1B62">
        <w:t xml:space="preserve">The Government should </w:t>
      </w:r>
      <w:r w:rsidR="008B0625">
        <w:t xml:space="preserve">not </w:t>
      </w:r>
      <w:r w:rsidR="002B1B62">
        <w:t xml:space="preserve">reintroduce </w:t>
      </w:r>
      <w:r w:rsidRPr="002B1B62">
        <w:t xml:space="preserve">the moratorium on the </w:t>
      </w:r>
      <w:r w:rsidR="002B1B62">
        <w:t xml:space="preserve">ACMA issuing digital-only </w:t>
      </w:r>
      <w:r w:rsidRPr="002B1B62">
        <w:t xml:space="preserve">commercial radio </w:t>
      </w:r>
      <w:r w:rsidR="002B1B62">
        <w:t>licences</w:t>
      </w:r>
      <w:r w:rsidR="008B0625">
        <w:t xml:space="preserve"> in </w:t>
      </w:r>
      <w:r w:rsidR="002E7877">
        <w:t>mainland state capital cities</w:t>
      </w:r>
      <w:r w:rsidRPr="002B1B62">
        <w:t>.</w:t>
      </w:r>
    </w:p>
    <w:p w14:paraId="03ECEB0B" w14:textId="574AF566" w:rsidR="000B7B06" w:rsidRPr="0079315A" w:rsidRDefault="000B7B06" w:rsidP="003E0DCA">
      <w:pPr>
        <w:pStyle w:val="BodyText"/>
        <w:numPr>
          <w:ilvl w:val="0"/>
          <w:numId w:val="97"/>
        </w:numPr>
      </w:pPr>
      <w:r w:rsidRPr="000B7B06">
        <w:t xml:space="preserve">The Government should remove the </w:t>
      </w:r>
      <w:r w:rsidR="00BC1F95">
        <w:t xml:space="preserve">provisions requiring a six year </w:t>
      </w:r>
      <w:r w:rsidRPr="000B7B06">
        <w:t xml:space="preserve">moratorium </w:t>
      </w:r>
      <w:r w:rsidR="00BC1F95">
        <w:t>on additional</w:t>
      </w:r>
      <w:r w:rsidRPr="000B7B06">
        <w:t xml:space="preserve"> commercial digital radio services in a regional licence area </w:t>
      </w:r>
      <w:r w:rsidR="00BC1F95">
        <w:t xml:space="preserve">following </w:t>
      </w:r>
      <w:r w:rsidRPr="000B7B06">
        <w:t xml:space="preserve">the commencement of </w:t>
      </w:r>
      <w:r w:rsidR="002D0424">
        <w:t xml:space="preserve">commercial </w:t>
      </w:r>
      <w:r w:rsidRPr="000B7B06">
        <w:t>services in that area</w:t>
      </w:r>
      <w:r w:rsidR="00BC1F95">
        <w:t>.</w:t>
      </w:r>
    </w:p>
    <w:p w14:paraId="3D8ED395" w14:textId="5C88C69A" w:rsidR="003E0DCA" w:rsidRPr="00E5315D" w:rsidRDefault="00596755" w:rsidP="00596755">
      <w:pPr>
        <w:pStyle w:val="BodyText"/>
        <w:numPr>
          <w:ilvl w:val="0"/>
          <w:numId w:val="97"/>
        </w:numPr>
      </w:pPr>
      <w:r w:rsidRPr="00596755">
        <w:t>The Government should consider allowing broadcasters to choose the mode(s) in which they deliver their radio services.</w:t>
      </w:r>
    </w:p>
    <w:p w14:paraId="62728CB2" w14:textId="1E2FE023" w:rsidR="003E0DCA" w:rsidRPr="001405E4" w:rsidRDefault="003E0DCA" w:rsidP="003E0DCA">
      <w:pPr>
        <w:pStyle w:val="BodyText"/>
        <w:numPr>
          <w:ilvl w:val="0"/>
          <w:numId w:val="97"/>
        </w:numPr>
      </w:pPr>
      <w:r w:rsidRPr="0079315A">
        <w:t>The Government should consider minor amendments to the current digital radio regulatory regime to provide a simpler, more flexible process for planning and licensing of digital radio in regional Australia</w:t>
      </w:r>
      <w:r w:rsidR="00214E65">
        <w:t>, with a view to permanent services being licensed in Canberra and Darwin</w:t>
      </w:r>
      <w:r w:rsidR="00026432">
        <w:t xml:space="preserve"> as a priority</w:t>
      </w:r>
      <w:r w:rsidR="00EE407D">
        <w:t xml:space="preserve">. </w:t>
      </w:r>
    </w:p>
    <w:p w14:paraId="2BDED02B" w14:textId="7BC7A62D" w:rsidR="003E0DCA" w:rsidRPr="0079315A" w:rsidRDefault="003E0DCA" w:rsidP="003E0DCA">
      <w:pPr>
        <w:pStyle w:val="BodyText"/>
        <w:numPr>
          <w:ilvl w:val="0"/>
          <w:numId w:val="97"/>
        </w:numPr>
      </w:pPr>
      <w:r w:rsidRPr="0079315A">
        <w:t xml:space="preserve">The Government should consider whether the statutory restrictions on who can provide digital radio services should be relaxed in the event that incumbent radio broadcasters in regional licence areas have not established digital radio services, or taken positive steps towards their establishment, by </w:t>
      </w:r>
      <w:r w:rsidR="002E7877">
        <w:t>30 June 2018</w:t>
      </w:r>
      <w:r w:rsidRPr="0079315A">
        <w:t>.</w:t>
      </w:r>
    </w:p>
    <w:p w14:paraId="1DE4D445" w14:textId="0F136F85" w:rsidR="003E0DCA" w:rsidRPr="0079315A" w:rsidRDefault="003E0DCA" w:rsidP="003E0DCA">
      <w:pPr>
        <w:pStyle w:val="BodyText"/>
        <w:numPr>
          <w:ilvl w:val="0"/>
          <w:numId w:val="97"/>
        </w:numPr>
      </w:pPr>
      <w:r w:rsidRPr="0079315A">
        <w:t>The Government should consider the arrangements required to enable narrowcasters to provide digital radio services in areas where services have already been established or to join incumbent broadcasters in rolling out services, subject to the availability of spectrum</w:t>
      </w:r>
      <w:r w:rsidR="00EF3CC5">
        <w:t xml:space="preserve"> and multiplex capacity</w:t>
      </w:r>
      <w:r w:rsidRPr="0079315A">
        <w:t>.</w:t>
      </w:r>
    </w:p>
    <w:p w14:paraId="6EB01BF4" w14:textId="77777777" w:rsidR="003E0DCA" w:rsidRDefault="003E0DCA" w:rsidP="003E0DCA">
      <w:pPr>
        <w:pStyle w:val="BodyText"/>
        <w:numPr>
          <w:ilvl w:val="0"/>
          <w:numId w:val="97"/>
        </w:numPr>
      </w:pPr>
      <w:r w:rsidRPr="00E5315D">
        <w:t xml:space="preserve">The </w:t>
      </w:r>
      <w:r>
        <w:t xml:space="preserve">Government should repeal the </w:t>
      </w:r>
      <w:r w:rsidRPr="00E5315D">
        <w:t>restricted datacasting licence category.</w:t>
      </w:r>
    </w:p>
    <w:p w14:paraId="59EA108E" w14:textId="77777777" w:rsidR="008029C5" w:rsidRDefault="008029C5" w:rsidP="0079315A">
      <w:pPr>
        <w:pStyle w:val="BodyText"/>
      </w:pPr>
    </w:p>
    <w:p w14:paraId="10B20275" w14:textId="599AAF71" w:rsidR="005077CA" w:rsidRPr="00E5315D" w:rsidRDefault="005077CA" w:rsidP="005077CA">
      <w:pPr>
        <w:pStyle w:val="Preliminaries-Heading1"/>
        <w:numPr>
          <w:ilvl w:val="0"/>
          <w:numId w:val="21"/>
        </w:numPr>
        <w:ind w:left="0" w:firstLine="0"/>
        <w:rPr>
          <w:color w:val="00728F"/>
        </w:rPr>
      </w:pPr>
      <w:bookmarkStart w:id="33" w:name="_Toc398128700"/>
      <w:bookmarkStart w:id="34" w:name="_Toc398130862"/>
      <w:bookmarkStart w:id="35" w:name="_Toc423532087"/>
      <w:bookmarkEnd w:id="33"/>
      <w:bookmarkEnd w:id="34"/>
      <w:r w:rsidRPr="00E5315D">
        <w:rPr>
          <w:color w:val="00728F"/>
        </w:rPr>
        <w:t>Introduction</w:t>
      </w:r>
      <w:bookmarkEnd w:id="30"/>
      <w:bookmarkEnd w:id="31"/>
      <w:bookmarkEnd w:id="35"/>
    </w:p>
    <w:p w14:paraId="1814F4B5" w14:textId="328D7DE5" w:rsidR="005077CA" w:rsidRPr="00E5315D" w:rsidRDefault="005077CA" w:rsidP="005077CA">
      <w:pPr>
        <w:pStyle w:val="BodyText"/>
      </w:pPr>
      <w:r w:rsidRPr="00E5315D">
        <w:t>The Minister for Communications is required to cause to be conducted two statutory reviews of digital radio</w:t>
      </w:r>
      <w:r w:rsidR="00270767">
        <w:rPr>
          <w:rStyle w:val="FootnoteReference"/>
        </w:rPr>
        <w:footnoteReference w:id="5"/>
      </w:r>
      <w:r w:rsidRPr="00E5315D">
        <w:t xml:space="preserve"> issues in accordance with section 215B of the BSA and section 313B of the Radiocommunications Act. </w:t>
      </w:r>
      <w:r w:rsidRPr="00E5315D">
        <w:rPr>
          <w:rFonts w:asciiTheme="minorHAnsi" w:hAnsiTheme="minorHAnsi" w:cstheme="minorHAnsi"/>
        </w:rPr>
        <w:t>The two reviews were conducted jointly and this report addresses both reviews</w:t>
      </w:r>
      <w:r w:rsidR="00214E65">
        <w:rPr>
          <w:rFonts w:asciiTheme="minorHAnsi" w:hAnsiTheme="minorHAnsi" w:cstheme="minorHAnsi"/>
        </w:rPr>
        <w:t xml:space="preserve"> which are hereafter collectively referred to as ‘the review’</w:t>
      </w:r>
      <w:r w:rsidRPr="00E5315D">
        <w:rPr>
          <w:rFonts w:asciiTheme="minorHAnsi" w:hAnsiTheme="minorHAnsi" w:cstheme="minorHAnsi"/>
        </w:rPr>
        <w:t>.</w:t>
      </w:r>
    </w:p>
    <w:p w14:paraId="76FC920D" w14:textId="77777777" w:rsidR="005077CA" w:rsidRPr="00E5315D" w:rsidRDefault="005077CA" w:rsidP="005077CA">
      <w:pPr>
        <w:pStyle w:val="Bodytext-Quote"/>
        <w:tabs>
          <w:tab w:val="left" w:pos="6236"/>
        </w:tabs>
        <w:spacing w:line="276" w:lineRule="auto"/>
        <w:ind w:left="0"/>
        <w:rPr>
          <w:rFonts w:asciiTheme="minorHAnsi" w:hAnsiTheme="minorHAnsi" w:cstheme="minorHAnsi"/>
        </w:rPr>
      </w:pPr>
      <w:r w:rsidRPr="00E5315D">
        <w:rPr>
          <w:rFonts w:asciiTheme="minorHAnsi" w:hAnsiTheme="minorHAnsi" w:cstheme="minorHAnsi"/>
        </w:rPr>
        <w:t xml:space="preserve">The </w:t>
      </w:r>
      <w:r w:rsidR="00A2671F">
        <w:rPr>
          <w:rFonts w:asciiTheme="minorHAnsi" w:hAnsiTheme="minorHAnsi" w:cstheme="minorHAnsi"/>
        </w:rPr>
        <w:t>detailed matters to be considered in the review are set out in the above provisions; however</w:t>
      </w:r>
      <w:r w:rsidR="00D05976">
        <w:rPr>
          <w:rFonts w:asciiTheme="minorHAnsi" w:hAnsiTheme="minorHAnsi" w:cstheme="minorHAnsi"/>
        </w:rPr>
        <w:t>,</w:t>
      </w:r>
      <w:r w:rsidR="00A2671F">
        <w:rPr>
          <w:rFonts w:asciiTheme="minorHAnsi" w:hAnsiTheme="minorHAnsi" w:cstheme="minorHAnsi"/>
        </w:rPr>
        <w:t xml:space="preserve"> in general terms </w:t>
      </w:r>
      <w:r w:rsidRPr="00E5315D">
        <w:rPr>
          <w:rFonts w:asciiTheme="minorHAnsi" w:hAnsiTheme="minorHAnsi" w:cstheme="minorHAnsi"/>
        </w:rPr>
        <w:t>matters examined by the review included:</w:t>
      </w:r>
      <w:r w:rsidRPr="00E5315D">
        <w:rPr>
          <w:rFonts w:asciiTheme="minorHAnsi" w:hAnsiTheme="minorHAnsi" w:cstheme="minorHAnsi"/>
        </w:rPr>
        <w:tab/>
      </w:r>
    </w:p>
    <w:p w14:paraId="527BF5CE" w14:textId="77777777" w:rsidR="005077CA" w:rsidRPr="00E5315D" w:rsidRDefault="005077CA" w:rsidP="00844E84">
      <w:pPr>
        <w:pStyle w:val="Bodybullet-Level1"/>
      </w:pPr>
      <w:r w:rsidRPr="00E5315D">
        <w:t>the development of various terrestrial and satellite technologies capable of transmitting digital radio broadcasting services and restricted datacasting services in Australia;</w:t>
      </w:r>
    </w:p>
    <w:p w14:paraId="7891CE0D" w14:textId="77777777" w:rsidR="005077CA" w:rsidRPr="00E5315D" w:rsidRDefault="005077CA" w:rsidP="00844E84">
      <w:pPr>
        <w:pStyle w:val="Bodybullet-Level1"/>
        <w:rPr>
          <w:rFonts w:asciiTheme="minorHAnsi" w:hAnsiTheme="minorHAnsi" w:cstheme="minorHAnsi"/>
        </w:rPr>
      </w:pPr>
      <w:r w:rsidRPr="00E5315D">
        <w:rPr>
          <w:rFonts w:asciiTheme="minorHAnsi" w:hAnsiTheme="minorHAnsi" w:cstheme="minorHAnsi"/>
        </w:rPr>
        <w:t xml:space="preserve">the use of spectrum for the transmission of </w:t>
      </w:r>
      <w:hyperlink r:id="rId15" w:anchor="digital_radio_broadcasting_service" w:history="1">
        <w:r w:rsidRPr="00E5315D">
          <w:rPr>
            <w:rFonts w:asciiTheme="minorHAnsi" w:hAnsiTheme="minorHAnsi" w:cstheme="minorHAnsi"/>
          </w:rPr>
          <w:t>digital radio</w:t>
        </w:r>
      </w:hyperlink>
      <w:r w:rsidRPr="00E5315D">
        <w:rPr>
          <w:rFonts w:asciiTheme="minorHAnsi" w:hAnsiTheme="minorHAnsi" w:cstheme="minorHAnsi"/>
        </w:rPr>
        <w:t xml:space="preserve"> </w:t>
      </w:r>
      <w:hyperlink r:id="rId16" w:anchor="digital_radio_broadcasting_service" w:history="1">
        <w:r w:rsidRPr="00E5315D">
          <w:rPr>
            <w:rFonts w:asciiTheme="minorHAnsi" w:hAnsiTheme="minorHAnsi" w:cstheme="minorHAnsi"/>
          </w:rPr>
          <w:t>services</w:t>
        </w:r>
      </w:hyperlink>
      <w:r w:rsidRPr="00E5315D">
        <w:rPr>
          <w:rFonts w:asciiTheme="minorHAnsi" w:hAnsiTheme="minorHAnsi" w:cstheme="minorHAnsi"/>
        </w:rPr>
        <w:t xml:space="preserve"> and </w:t>
      </w:r>
      <w:hyperlink r:id="rId17" w:anchor="restricted_datacasting_service" w:history="1">
        <w:r w:rsidRPr="00E5315D">
          <w:rPr>
            <w:rFonts w:asciiTheme="minorHAnsi" w:hAnsiTheme="minorHAnsi" w:cstheme="minorHAnsi"/>
          </w:rPr>
          <w:t>restricted datacasting</w:t>
        </w:r>
      </w:hyperlink>
      <w:r w:rsidRPr="00E5315D">
        <w:rPr>
          <w:rFonts w:asciiTheme="minorHAnsi" w:hAnsiTheme="minorHAnsi" w:cstheme="minorHAnsi"/>
        </w:rPr>
        <w:t xml:space="preserve"> </w:t>
      </w:r>
      <w:hyperlink r:id="rId18" w:anchor="restricted_datacasting_service" w:history="1">
        <w:r w:rsidRPr="00E5315D">
          <w:rPr>
            <w:rFonts w:asciiTheme="minorHAnsi" w:hAnsiTheme="minorHAnsi" w:cstheme="minorHAnsi"/>
          </w:rPr>
          <w:t>services</w:t>
        </w:r>
      </w:hyperlink>
      <w:r w:rsidRPr="00E5315D">
        <w:rPr>
          <w:rFonts w:asciiTheme="minorHAnsi" w:hAnsiTheme="minorHAnsi" w:cstheme="minorHAnsi"/>
        </w:rPr>
        <w:t xml:space="preserve"> in </w:t>
      </w:r>
      <w:hyperlink r:id="rId19" w:anchor="australia" w:history="1">
        <w:r w:rsidRPr="00E5315D">
          <w:rPr>
            <w:rFonts w:asciiTheme="minorHAnsi" w:hAnsiTheme="minorHAnsi" w:cstheme="minorHAnsi"/>
          </w:rPr>
          <w:t>Australia</w:t>
        </w:r>
      </w:hyperlink>
      <w:r w:rsidRPr="00E5315D">
        <w:rPr>
          <w:rFonts w:asciiTheme="minorHAnsi" w:hAnsiTheme="minorHAnsi" w:cstheme="minorHAnsi"/>
        </w:rPr>
        <w:t>;</w:t>
      </w:r>
    </w:p>
    <w:p w14:paraId="0C9AD059" w14:textId="77777777" w:rsidR="005077CA" w:rsidRPr="00E5315D" w:rsidRDefault="005077CA" w:rsidP="00844E84">
      <w:pPr>
        <w:pStyle w:val="Bodybullet-Level1"/>
      </w:pPr>
      <w:r w:rsidRPr="00E5315D">
        <w:t>the implementation of those technologies in foreign countries;</w:t>
      </w:r>
    </w:p>
    <w:p w14:paraId="2A37911E" w14:textId="77777777" w:rsidR="005077CA" w:rsidRPr="00E5315D" w:rsidRDefault="005077CA" w:rsidP="00844E84">
      <w:pPr>
        <w:pStyle w:val="Bodybullet-Level1"/>
      </w:pPr>
      <w:r w:rsidRPr="00E5315D">
        <w:t xml:space="preserve">the operation of the BSA in so far as it deals with the licensing and regulation of digital radio and restricted datacasting services; </w:t>
      </w:r>
    </w:p>
    <w:p w14:paraId="30C6FAE0" w14:textId="77777777" w:rsidR="005077CA" w:rsidRPr="00E5315D" w:rsidRDefault="005077CA" w:rsidP="00844E84">
      <w:pPr>
        <w:pStyle w:val="Bodybullet-Level1"/>
        <w:rPr>
          <w:rFonts w:asciiTheme="minorHAnsi" w:hAnsiTheme="minorHAnsi" w:cstheme="minorHAnsi"/>
        </w:rPr>
      </w:pPr>
      <w:r w:rsidRPr="00E5315D">
        <w:rPr>
          <w:rFonts w:asciiTheme="minorHAnsi" w:hAnsiTheme="minorHAnsi" w:cstheme="minorHAnsi"/>
        </w:rPr>
        <w:t xml:space="preserve">the availability of additional frequency channels for the transmission of </w:t>
      </w:r>
      <w:hyperlink r:id="rId20" w:anchor="digital_radio_broadcasting_service" w:history="1">
        <w:r w:rsidRPr="00E5315D">
          <w:rPr>
            <w:rFonts w:asciiTheme="minorHAnsi" w:hAnsiTheme="minorHAnsi" w:cstheme="minorHAnsi"/>
          </w:rPr>
          <w:t>digital radio</w:t>
        </w:r>
      </w:hyperlink>
      <w:r w:rsidRPr="00E5315D">
        <w:rPr>
          <w:rFonts w:asciiTheme="minorHAnsi" w:hAnsiTheme="minorHAnsi" w:cstheme="minorHAnsi"/>
        </w:rPr>
        <w:t xml:space="preserve"> broadcasting services and </w:t>
      </w:r>
      <w:hyperlink r:id="rId21" w:anchor="restricted_datacasting_service" w:history="1">
        <w:r w:rsidRPr="00E5315D">
          <w:rPr>
            <w:rFonts w:asciiTheme="minorHAnsi" w:hAnsiTheme="minorHAnsi" w:cstheme="minorHAnsi"/>
          </w:rPr>
          <w:t>restricted datacasting</w:t>
        </w:r>
      </w:hyperlink>
      <w:r w:rsidRPr="00E5315D">
        <w:rPr>
          <w:rFonts w:asciiTheme="minorHAnsi" w:hAnsiTheme="minorHAnsi" w:cstheme="minorHAnsi"/>
        </w:rPr>
        <w:t xml:space="preserve"> </w:t>
      </w:r>
      <w:hyperlink r:id="rId22" w:anchor="restricted_datacasting_service" w:history="1">
        <w:r w:rsidRPr="00E5315D">
          <w:rPr>
            <w:rFonts w:asciiTheme="minorHAnsi" w:hAnsiTheme="minorHAnsi" w:cstheme="minorHAnsi"/>
          </w:rPr>
          <w:t>services</w:t>
        </w:r>
      </w:hyperlink>
      <w:r w:rsidRPr="00E5315D">
        <w:rPr>
          <w:rFonts w:asciiTheme="minorHAnsi" w:hAnsiTheme="minorHAnsi" w:cstheme="minorHAnsi"/>
        </w:rPr>
        <w:t xml:space="preserve"> in </w:t>
      </w:r>
      <w:hyperlink r:id="rId23" w:anchor="australia" w:history="1">
        <w:r w:rsidRPr="00E5315D">
          <w:rPr>
            <w:rFonts w:asciiTheme="minorHAnsi" w:hAnsiTheme="minorHAnsi" w:cstheme="minorHAnsi"/>
          </w:rPr>
          <w:t>Australia</w:t>
        </w:r>
      </w:hyperlink>
      <w:r w:rsidRPr="00E5315D">
        <w:rPr>
          <w:rFonts w:asciiTheme="minorHAnsi" w:hAnsiTheme="minorHAnsi" w:cstheme="minorHAnsi"/>
        </w:rPr>
        <w:t xml:space="preserve">; and </w:t>
      </w:r>
    </w:p>
    <w:p w14:paraId="5C932815" w14:textId="77777777" w:rsidR="005077CA" w:rsidRPr="00E5315D" w:rsidRDefault="005077CA" w:rsidP="00844E84">
      <w:pPr>
        <w:pStyle w:val="Bodybullet-Level1"/>
      </w:pPr>
      <w:r w:rsidRPr="00E5315D">
        <w:t xml:space="preserve">the effectiveness of the multiplex access regime administered by the Australian Competition and Consumer Commission (ACCC). </w:t>
      </w:r>
    </w:p>
    <w:p w14:paraId="14759D20" w14:textId="6EBCD72A" w:rsidR="005077CA" w:rsidRPr="00E5315D" w:rsidRDefault="005077CA" w:rsidP="005077CA">
      <w:pPr>
        <w:pStyle w:val="BodyText"/>
      </w:pPr>
      <w:r w:rsidRPr="00E5315D">
        <w:t xml:space="preserve">The review also considered emerging trends in the ways in which audiences access radio services since the commencement of digital radio services, with a particular focus on the use of connected devices and smartphones. In addition, to further the Government’s deregulatory agenda, the Department has </w:t>
      </w:r>
      <w:r w:rsidR="00A01B07">
        <w:t>utilised</w:t>
      </w:r>
      <w:r w:rsidRPr="00E5315D">
        <w:t xml:space="preserve"> the review to determine whether there are any opportunities to reduce red tape and the cost of the regulatory burden on industry. </w:t>
      </w:r>
    </w:p>
    <w:p w14:paraId="7F1992E3" w14:textId="71889E79" w:rsidR="005077CA" w:rsidRDefault="005077CA" w:rsidP="005077CA">
      <w:pPr>
        <w:pStyle w:val="BodyText"/>
      </w:pPr>
      <w:r w:rsidRPr="00E5315D">
        <w:t>A total of 15 submissions, including 11 from stakeholder organisations and four individual submissions were received. Submissions received have been published on the Department of Communications’ website.</w:t>
      </w:r>
      <w:r w:rsidRPr="00E5315D">
        <w:rPr>
          <w:rStyle w:val="FootnoteReference"/>
        </w:rPr>
        <w:footnoteReference w:id="6"/>
      </w:r>
      <w:r w:rsidRPr="00E5315D">
        <w:t xml:space="preserve"> The views expressed in submissions informed the recommendations in this report on the future for digital radio in Australia.</w:t>
      </w:r>
    </w:p>
    <w:p w14:paraId="39043596" w14:textId="77777777" w:rsidR="00B46A4C" w:rsidRPr="00E5315D" w:rsidRDefault="00B46A4C" w:rsidP="005077CA">
      <w:pPr>
        <w:pStyle w:val="BodyText"/>
      </w:pPr>
    </w:p>
    <w:p w14:paraId="0462110D" w14:textId="77777777" w:rsidR="005077CA" w:rsidRPr="00E5315D" w:rsidRDefault="005077CA" w:rsidP="005077CA">
      <w:pPr>
        <w:pStyle w:val="Heading1"/>
      </w:pPr>
      <w:bookmarkStart w:id="36" w:name="_Toc398128702"/>
      <w:bookmarkStart w:id="37" w:name="_Toc398130864"/>
      <w:bookmarkStart w:id="38" w:name="_Toc398128703"/>
      <w:bookmarkStart w:id="39" w:name="_Toc398130865"/>
      <w:bookmarkStart w:id="40" w:name="_Toc396212043"/>
      <w:bookmarkStart w:id="41" w:name="_Toc397517866"/>
      <w:bookmarkStart w:id="42" w:name="_Toc423532088"/>
      <w:bookmarkStart w:id="43" w:name="_Toc382493211"/>
      <w:bookmarkEnd w:id="36"/>
      <w:bookmarkEnd w:id="37"/>
      <w:bookmarkEnd w:id="38"/>
      <w:bookmarkEnd w:id="39"/>
      <w:r w:rsidRPr="00E5315D">
        <w:t>Should Australia set a switchover</w:t>
      </w:r>
      <w:bookmarkEnd w:id="40"/>
      <w:bookmarkEnd w:id="41"/>
      <w:r w:rsidRPr="00E5315D">
        <w:t xml:space="preserve"> date for </w:t>
      </w:r>
      <w:r w:rsidR="001E6FD9">
        <w:t xml:space="preserve">digital </w:t>
      </w:r>
      <w:r w:rsidRPr="00E5315D">
        <w:t>radio?</w:t>
      </w:r>
      <w:bookmarkEnd w:id="42"/>
    </w:p>
    <w:p w14:paraId="4134DAD7" w14:textId="77777777" w:rsidR="005077CA" w:rsidRPr="00E5315D" w:rsidRDefault="005077CA" w:rsidP="005077CA">
      <w:pPr>
        <w:pStyle w:val="Heading2"/>
        <w:rPr>
          <w:i/>
        </w:rPr>
      </w:pPr>
      <w:bookmarkStart w:id="44" w:name="_Toc423532089"/>
      <w:r w:rsidRPr="00E5315D">
        <w:rPr>
          <w:i/>
        </w:rPr>
        <w:t>Background</w:t>
      </w:r>
      <w:bookmarkEnd w:id="44"/>
    </w:p>
    <w:p w14:paraId="23BC5003" w14:textId="77777777" w:rsidR="005077CA" w:rsidRPr="00E5315D" w:rsidRDefault="005077CA" w:rsidP="005077CA">
      <w:pPr>
        <w:pStyle w:val="BodyText"/>
        <w:rPr>
          <w:rStyle w:val="DONOTUSE-DescriptionChar"/>
          <w:rFonts w:asciiTheme="minorHAnsi" w:eastAsiaTheme="minorHAnsi" w:hAnsiTheme="minorHAnsi" w:cstheme="minorHAnsi"/>
          <w:color w:val="auto"/>
          <w:sz w:val="22"/>
          <w:szCs w:val="22"/>
          <w:lang w:eastAsia="en-US"/>
        </w:rPr>
      </w:pPr>
      <w:r w:rsidRPr="00E5315D">
        <w:rPr>
          <w:rFonts w:asciiTheme="minorHAnsi" w:hAnsiTheme="minorHAnsi" w:cstheme="minorHAnsi"/>
        </w:rPr>
        <w:t xml:space="preserve">The digital radio framework was introduced in the </w:t>
      </w:r>
      <w:r w:rsidRPr="00E5315D">
        <w:rPr>
          <w:rFonts w:asciiTheme="minorHAnsi" w:hAnsiTheme="minorHAnsi" w:cstheme="minorHAnsi"/>
          <w:i/>
        </w:rPr>
        <w:t>Broadcasting Legislation Amendment (Digital Radio) Act 2007</w:t>
      </w:r>
      <w:r w:rsidRPr="00E5315D">
        <w:rPr>
          <w:rFonts w:asciiTheme="minorHAnsi" w:hAnsiTheme="minorHAnsi" w:cstheme="minorHAnsi"/>
        </w:rPr>
        <w:t xml:space="preserve">, which was passed by the Australian Parliament in May 2007. This amended the BSA and the Radiocommunications Act, to allow the licensing, planning and regulation of digital radio services. The following year, the framework was modified slightly by the </w:t>
      </w:r>
      <w:r w:rsidRPr="00E5315D">
        <w:rPr>
          <w:rFonts w:asciiTheme="minorHAnsi" w:hAnsiTheme="minorHAnsi" w:cstheme="minorHAnsi"/>
          <w:i/>
        </w:rPr>
        <w:t>Broadcasting Legislation Amendment (Digital Radio) Act 2008</w:t>
      </w:r>
      <w:r w:rsidRPr="00E5315D">
        <w:rPr>
          <w:rFonts w:asciiTheme="minorHAnsi" w:hAnsiTheme="minorHAnsi" w:cstheme="minorHAnsi"/>
        </w:rPr>
        <w:t>.</w:t>
      </w:r>
      <w:r w:rsidRPr="00E5315D" w:rsidDel="00D150E1">
        <w:rPr>
          <w:rStyle w:val="DONOTUSE-DescriptionChar"/>
          <w:rFonts w:asciiTheme="minorHAnsi" w:eastAsiaTheme="minorHAnsi" w:hAnsiTheme="minorHAnsi" w:cstheme="minorHAnsi"/>
          <w:color w:val="auto"/>
          <w:sz w:val="22"/>
          <w:szCs w:val="22"/>
          <w:lang w:eastAsia="en-US"/>
        </w:rPr>
        <w:t xml:space="preserve"> </w:t>
      </w:r>
    </w:p>
    <w:p w14:paraId="0A5637C5" w14:textId="716E9A9D" w:rsidR="005077CA" w:rsidRDefault="005077CA" w:rsidP="005077CA">
      <w:pPr>
        <w:pStyle w:val="BodyText"/>
        <w:rPr>
          <w:rFonts w:asciiTheme="minorHAnsi" w:hAnsiTheme="minorHAnsi" w:cstheme="minorHAnsi"/>
        </w:rPr>
      </w:pPr>
      <w:bookmarkStart w:id="45" w:name="_Toc397517867"/>
      <w:r w:rsidRPr="00E5315D">
        <w:t>National and commercial d</w:t>
      </w:r>
      <w:bookmarkEnd w:id="45"/>
      <w:r w:rsidRPr="00E5315D">
        <w:rPr>
          <w:rFonts w:asciiTheme="minorHAnsi" w:hAnsiTheme="minorHAnsi" w:cstheme="minorHAnsi"/>
        </w:rPr>
        <w:t>igital radio services have been available in Australia since 1 July 2009. Services are now available in Adelaide, Brisbane, Melbourne, Perth and Sydney and digital radio trials are currently being conducted in Canberra and Darwin. Community radio broadcasters formally launched their digital radio services in the mainland state capital</w:t>
      </w:r>
      <w:r w:rsidR="003A6F41">
        <w:rPr>
          <w:rFonts w:asciiTheme="minorHAnsi" w:hAnsiTheme="minorHAnsi" w:cstheme="minorHAnsi"/>
        </w:rPr>
        <w:t xml:space="preserve"> citie</w:t>
      </w:r>
      <w:r w:rsidRPr="00E5315D">
        <w:rPr>
          <w:rFonts w:asciiTheme="minorHAnsi" w:hAnsiTheme="minorHAnsi" w:cstheme="minorHAnsi"/>
        </w:rPr>
        <w:t>s in May 2011. The extent of the rollout of digital radio services can be illustrated by the Sydney market, which has the largest population, where there are 29 commercial digital radio services (18 of which are digital-only and 11</w:t>
      </w:r>
      <w:r w:rsidR="00B46A4C">
        <w:rPr>
          <w:rFonts w:asciiTheme="minorHAnsi" w:hAnsiTheme="minorHAnsi" w:cstheme="minorHAnsi"/>
        </w:rPr>
        <w:t> </w:t>
      </w:r>
      <w:r w:rsidRPr="00E5315D">
        <w:rPr>
          <w:rFonts w:asciiTheme="minorHAnsi" w:hAnsiTheme="minorHAnsi" w:cstheme="minorHAnsi"/>
        </w:rPr>
        <w:t xml:space="preserve">are simulcasts of existing </w:t>
      </w:r>
      <w:r w:rsidR="00851788" w:rsidRPr="00E5315D">
        <w:rPr>
          <w:rFonts w:asciiTheme="minorHAnsi" w:hAnsiTheme="minorHAnsi" w:cstheme="minorHAnsi"/>
        </w:rPr>
        <w:t>analogue</w:t>
      </w:r>
      <w:r w:rsidRPr="00E5315D">
        <w:rPr>
          <w:rFonts w:asciiTheme="minorHAnsi" w:hAnsiTheme="minorHAnsi" w:cstheme="minorHAnsi"/>
        </w:rPr>
        <w:t xml:space="preserve"> services)</w:t>
      </w:r>
      <w:r w:rsidR="00553102">
        <w:rPr>
          <w:rFonts w:asciiTheme="minorHAnsi" w:hAnsiTheme="minorHAnsi" w:cstheme="minorHAnsi"/>
        </w:rPr>
        <w:t>,</w:t>
      </w:r>
      <w:r w:rsidRPr="00E5315D">
        <w:rPr>
          <w:rFonts w:asciiTheme="minorHAnsi" w:hAnsiTheme="minorHAnsi" w:cstheme="minorHAnsi"/>
        </w:rPr>
        <w:t xml:space="preserve"> eight community digit</w:t>
      </w:r>
      <w:r w:rsidR="00EC5378">
        <w:rPr>
          <w:rFonts w:asciiTheme="minorHAnsi" w:hAnsiTheme="minorHAnsi" w:cstheme="minorHAnsi"/>
        </w:rPr>
        <w:t>al radio services (three of which are digital-only, three are simulcast and two are a hybrid of digital-only and simulcast content</w:t>
      </w:r>
      <w:r w:rsidRPr="00E5315D">
        <w:rPr>
          <w:rFonts w:asciiTheme="minorHAnsi" w:hAnsiTheme="minorHAnsi" w:cstheme="minorHAnsi"/>
        </w:rPr>
        <w:t xml:space="preserve">) </w:t>
      </w:r>
      <w:r w:rsidR="00553102">
        <w:rPr>
          <w:rFonts w:asciiTheme="minorHAnsi" w:hAnsiTheme="minorHAnsi" w:cstheme="minorHAnsi"/>
        </w:rPr>
        <w:t xml:space="preserve">and </w:t>
      </w:r>
      <w:r w:rsidRPr="00E5315D">
        <w:rPr>
          <w:rFonts w:asciiTheme="minorHAnsi" w:hAnsiTheme="minorHAnsi" w:cstheme="minorHAnsi"/>
        </w:rPr>
        <w:t xml:space="preserve">the national broadcasters </w:t>
      </w:r>
      <w:r w:rsidR="00553102">
        <w:rPr>
          <w:rFonts w:asciiTheme="minorHAnsi" w:hAnsiTheme="minorHAnsi" w:cstheme="minorHAnsi"/>
        </w:rPr>
        <w:t xml:space="preserve">collectively </w:t>
      </w:r>
      <w:r w:rsidRPr="00E5315D">
        <w:rPr>
          <w:rFonts w:asciiTheme="minorHAnsi" w:hAnsiTheme="minorHAnsi" w:cstheme="minorHAnsi"/>
        </w:rPr>
        <w:t xml:space="preserve">provide </w:t>
      </w:r>
      <w:r w:rsidR="00500959" w:rsidRPr="00270767">
        <w:rPr>
          <w:rFonts w:asciiTheme="minorHAnsi" w:hAnsiTheme="minorHAnsi" w:cstheme="minorHAnsi"/>
        </w:rPr>
        <w:t>20</w:t>
      </w:r>
      <w:r w:rsidRPr="00E5315D">
        <w:rPr>
          <w:rFonts w:asciiTheme="minorHAnsi" w:hAnsiTheme="minorHAnsi" w:cstheme="minorHAnsi"/>
        </w:rPr>
        <w:t xml:space="preserve"> digital radio services (1</w:t>
      </w:r>
      <w:r w:rsidR="00500959">
        <w:rPr>
          <w:rFonts w:asciiTheme="minorHAnsi" w:hAnsiTheme="minorHAnsi" w:cstheme="minorHAnsi"/>
        </w:rPr>
        <w:t>3</w:t>
      </w:r>
      <w:r w:rsidRPr="00E5315D">
        <w:rPr>
          <w:rFonts w:asciiTheme="minorHAnsi" w:hAnsiTheme="minorHAnsi" w:cstheme="minorHAnsi"/>
        </w:rPr>
        <w:t xml:space="preserve"> of which are digital-only and seven are simulcast).</w:t>
      </w:r>
      <w:r w:rsidRPr="00E5315D">
        <w:rPr>
          <w:rStyle w:val="FootnoteReference"/>
          <w:rFonts w:asciiTheme="minorHAnsi" w:hAnsiTheme="minorHAnsi" w:cstheme="minorHAnsi"/>
        </w:rPr>
        <w:footnoteReference w:id="7"/>
      </w:r>
      <w:r w:rsidR="003A6F41">
        <w:rPr>
          <w:rFonts w:asciiTheme="minorHAnsi" w:hAnsiTheme="minorHAnsi" w:cstheme="minorHAnsi"/>
        </w:rPr>
        <w:t xml:space="preserve"> </w:t>
      </w:r>
    </w:p>
    <w:p w14:paraId="553423A2" w14:textId="79B50070" w:rsidR="003A6F41" w:rsidRDefault="003A6F41" w:rsidP="005077CA">
      <w:pPr>
        <w:pStyle w:val="BodyText"/>
        <w:rPr>
          <w:rFonts w:asciiTheme="minorHAnsi" w:hAnsiTheme="minorHAnsi" w:cstheme="minorHAnsi"/>
        </w:rPr>
      </w:pPr>
      <w:r>
        <w:rPr>
          <w:rFonts w:asciiTheme="minorHAnsi" w:hAnsiTheme="minorHAnsi" w:cstheme="minorHAnsi"/>
        </w:rPr>
        <w:t xml:space="preserve">While the national broadcasters terrestrially transmit their digital </w:t>
      </w:r>
      <w:r w:rsidR="00306EF8">
        <w:rPr>
          <w:rFonts w:asciiTheme="minorHAnsi" w:hAnsiTheme="minorHAnsi" w:cstheme="minorHAnsi"/>
        </w:rPr>
        <w:t xml:space="preserve">radio services to the mainland state capital cities and a selection of their services to Canberra, </w:t>
      </w:r>
      <w:r w:rsidR="001B17F4">
        <w:rPr>
          <w:rFonts w:asciiTheme="minorHAnsi" w:hAnsiTheme="minorHAnsi" w:cstheme="minorHAnsi"/>
        </w:rPr>
        <w:t>a</w:t>
      </w:r>
      <w:r w:rsidR="001B17F4" w:rsidRPr="001B17F4">
        <w:rPr>
          <w:rFonts w:asciiTheme="minorHAnsi" w:hAnsiTheme="minorHAnsi" w:cstheme="minorHAnsi"/>
        </w:rPr>
        <w:t xml:space="preserve"> limited number of national broadcaster digital radio services are also transmitted </w:t>
      </w:r>
      <w:r w:rsidR="00771D38">
        <w:rPr>
          <w:rFonts w:asciiTheme="minorHAnsi" w:hAnsiTheme="minorHAnsi" w:cstheme="minorHAnsi"/>
        </w:rPr>
        <w:t>with their</w:t>
      </w:r>
      <w:r w:rsidR="00771D38" w:rsidRPr="001B17F4">
        <w:rPr>
          <w:rFonts w:asciiTheme="minorHAnsi" w:hAnsiTheme="minorHAnsi" w:cstheme="minorHAnsi"/>
        </w:rPr>
        <w:t xml:space="preserve"> </w:t>
      </w:r>
      <w:r w:rsidR="001B17F4" w:rsidRPr="001B17F4">
        <w:rPr>
          <w:rFonts w:asciiTheme="minorHAnsi" w:hAnsiTheme="minorHAnsi" w:cstheme="minorHAnsi"/>
        </w:rPr>
        <w:t>terrestrial digital television services</w:t>
      </w:r>
      <w:r w:rsidR="001B17F4">
        <w:rPr>
          <w:rFonts w:asciiTheme="minorHAnsi" w:hAnsiTheme="minorHAnsi" w:cstheme="minorHAnsi"/>
        </w:rPr>
        <w:t>.</w:t>
      </w:r>
      <w:r w:rsidR="001B17F4" w:rsidRPr="001B17F4">
        <w:rPr>
          <w:rFonts w:asciiTheme="minorHAnsi" w:hAnsiTheme="minorHAnsi" w:cstheme="minorHAnsi"/>
        </w:rPr>
        <w:t xml:space="preserve"> </w:t>
      </w:r>
      <w:r w:rsidR="001B17F4">
        <w:rPr>
          <w:rFonts w:asciiTheme="minorHAnsi" w:hAnsiTheme="minorHAnsi" w:cstheme="minorHAnsi"/>
        </w:rPr>
        <w:t xml:space="preserve">In addition, </w:t>
      </w:r>
      <w:r w:rsidR="001B17F4" w:rsidRPr="001B17F4">
        <w:rPr>
          <w:rFonts w:asciiTheme="minorHAnsi" w:hAnsiTheme="minorHAnsi" w:cstheme="minorHAnsi"/>
        </w:rPr>
        <w:t xml:space="preserve">the Viewer Access Satellite Television (VAST) service provides access to, among others, a range of national broadcaster radio services, some of which are digital-only. </w:t>
      </w:r>
    </w:p>
    <w:p w14:paraId="09640FFA" w14:textId="77777777" w:rsidR="005077CA" w:rsidRPr="00E5315D" w:rsidRDefault="00763D44" w:rsidP="005077CA">
      <w:pPr>
        <w:pStyle w:val="BodyText"/>
        <w:rPr>
          <w:rFonts w:asciiTheme="minorHAnsi" w:hAnsiTheme="minorHAnsi" w:cstheme="minorHAnsi"/>
        </w:rPr>
      </w:pPr>
      <w:r>
        <w:rPr>
          <w:rFonts w:asciiTheme="minorHAnsi" w:hAnsiTheme="minorHAnsi" w:cstheme="minorHAnsi"/>
        </w:rPr>
        <w:t>It is open to</w:t>
      </w:r>
      <w:r w:rsidR="005077CA" w:rsidRPr="00E5315D">
        <w:rPr>
          <w:rFonts w:asciiTheme="minorHAnsi" w:hAnsiTheme="minorHAnsi" w:cstheme="minorHAnsi"/>
        </w:rPr>
        <w:t xml:space="preserve"> broadcasters in regional areas to </w:t>
      </w:r>
      <w:r>
        <w:rPr>
          <w:rFonts w:asciiTheme="minorHAnsi" w:hAnsiTheme="minorHAnsi" w:cstheme="minorHAnsi"/>
        </w:rPr>
        <w:t xml:space="preserve">seek </w:t>
      </w:r>
      <w:r w:rsidR="005077CA" w:rsidRPr="00E5315D">
        <w:rPr>
          <w:rFonts w:asciiTheme="minorHAnsi" w:hAnsiTheme="minorHAnsi" w:cstheme="minorHAnsi"/>
        </w:rPr>
        <w:t>the planning of digital radio services. Under the BSA, the Minister for Communications can specify a digital radio start-up day in a regional licence area by means of a legislative instrument. Once certain pre-conditions are met, the ACMA must in turn declare the same digital radio start-up day.</w:t>
      </w:r>
      <w:r w:rsidR="005077CA" w:rsidRPr="00E5315D">
        <w:rPr>
          <w:rStyle w:val="FootnoteReference"/>
          <w:rFonts w:asciiTheme="minorHAnsi" w:hAnsiTheme="minorHAnsi" w:cstheme="minorHAnsi"/>
        </w:rPr>
        <w:footnoteReference w:id="8"/>
      </w:r>
      <w:r w:rsidR="005077CA" w:rsidRPr="00E5315D">
        <w:rPr>
          <w:rFonts w:asciiTheme="minorHAnsi" w:hAnsiTheme="minorHAnsi" w:cstheme="minorHAnsi"/>
        </w:rPr>
        <w:t xml:space="preserve"> To date, broadcasters apart from those in Canberra and Darwin, have not </w:t>
      </w:r>
      <w:r>
        <w:rPr>
          <w:rFonts w:asciiTheme="minorHAnsi" w:hAnsiTheme="minorHAnsi" w:cstheme="minorHAnsi"/>
        </w:rPr>
        <w:t>sought</w:t>
      </w:r>
      <w:r w:rsidR="005077CA" w:rsidRPr="00E5315D">
        <w:rPr>
          <w:rFonts w:asciiTheme="minorHAnsi" w:hAnsiTheme="minorHAnsi" w:cstheme="minorHAnsi"/>
        </w:rPr>
        <w:t xml:space="preserve"> the planning of digital radio services in any specific regional licence areas</w:t>
      </w:r>
      <w:r w:rsidR="00D05976">
        <w:rPr>
          <w:rFonts w:asciiTheme="minorHAnsi" w:hAnsiTheme="minorHAnsi" w:cstheme="minorHAnsi"/>
        </w:rPr>
        <w:t>, and</w:t>
      </w:r>
      <w:r w:rsidR="006A26D5">
        <w:rPr>
          <w:rFonts w:asciiTheme="minorHAnsi" w:hAnsiTheme="minorHAnsi" w:cstheme="minorHAnsi"/>
        </w:rPr>
        <w:t>, hence,</w:t>
      </w:r>
      <w:r w:rsidR="00D05976">
        <w:rPr>
          <w:rFonts w:asciiTheme="minorHAnsi" w:hAnsiTheme="minorHAnsi" w:cstheme="minorHAnsi"/>
        </w:rPr>
        <w:t xml:space="preserve"> the ACMA has yet to commence detailed channel planning for regional digital radio services in most areas.</w:t>
      </w:r>
    </w:p>
    <w:p w14:paraId="5D45B629" w14:textId="61394285" w:rsidR="0023367D" w:rsidRDefault="005077CA" w:rsidP="005077CA">
      <w:pPr>
        <w:pStyle w:val="BodyText"/>
        <w:rPr>
          <w:rFonts w:asciiTheme="minorHAnsi" w:hAnsiTheme="minorHAnsi" w:cstheme="minorHAnsi"/>
        </w:rPr>
      </w:pPr>
      <w:r w:rsidRPr="00E5315D">
        <w:rPr>
          <w:rFonts w:asciiTheme="minorHAnsi" w:hAnsiTheme="minorHAnsi" w:cstheme="minorHAnsi"/>
        </w:rPr>
        <w:t>The technology currently being used to provide digital</w:t>
      </w:r>
      <w:r w:rsidR="00107AB7">
        <w:rPr>
          <w:rFonts w:asciiTheme="minorHAnsi" w:hAnsiTheme="minorHAnsi" w:cstheme="minorHAnsi"/>
        </w:rPr>
        <w:t xml:space="preserve"> terrestrial</w:t>
      </w:r>
      <w:r w:rsidRPr="00E5315D">
        <w:rPr>
          <w:rFonts w:asciiTheme="minorHAnsi" w:hAnsiTheme="minorHAnsi" w:cstheme="minorHAnsi"/>
        </w:rPr>
        <w:t xml:space="preserve"> radio services in Australia is </w:t>
      </w:r>
      <w:r w:rsidR="00270767">
        <w:rPr>
          <w:rFonts w:asciiTheme="minorHAnsi" w:hAnsiTheme="minorHAnsi" w:cstheme="minorHAnsi"/>
        </w:rPr>
        <w:t>DAB+</w:t>
      </w:r>
      <w:r w:rsidR="0023367D">
        <w:rPr>
          <w:rFonts w:asciiTheme="minorHAnsi" w:hAnsiTheme="minorHAnsi" w:cstheme="minorHAnsi"/>
        </w:rPr>
        <w:t xml:space="preserve">, </w:t>
      </w:r>
      <w:r w:rsidRPr="00E5315D">
        <w:rPr>
          <w:rFonts w:asciiTheme="minorHAnsi" w:hAnsiTheme="minorHAnsi" w:cstheme="minorHAnsi"/>
        </w:rPr>
        <w:t xml:space="preserve">an advanced form of DAB technology. The radio industry has consistently supported the adoption of DAB+ technology for digital radio as it is the most mature of the digital radio technologies and currently the one that can most readily provide audiences with affordable receivers. </w:t>
      </w:r>
      <w:r w:rsidR="00822EB9">
        <w:rPr>
          <w:rFonts w:asciiTheme="minorHAnsi" w:hAnsiTheme="minorHAnsi" w:cstheme="minorHAnsi"/>
        </w:rPr>
        <w:t>To date, all planning for digital radio has been focussed on the use of DAB+.</w:t>
      </w:r>
    </w:p>
    <w:p w14:paraId="196D5D98" w14:textId="3F15E81E" w:rsidR="0023367D" w:rsidRDefault="008029C5" w:rsidP="005077CA">
      <w:pPr>
        <w:pStyle w:val="BodyText"/>
        <w:rPr>
          <w:rFonts w:asciiTheme="minorHAnsi" w:hAnsiTheme="minorHAnsi" w:cstheme="minorHAnsi"/>
        </w:rPr>
      </w:pPr>
      <w:r>
        <w:rPr>
          <w:rFonts w:asciiTheme="minorHAnsi" w:hAnsiTheme="minorHAnsi" w:cstheme="minorHAnsi"/>
        </w:rPr>
        <w:t xml:space="preserve">Use of DAB+ technology involves sharing spectrum </w:t>
      </w:r>
      <w:r w:rsidR="0023367D">
        <w:rPr>
          <w:rFonts w:asciiTheme="minorHAnsi" w:hAnsiTheme="minorHAnsi" w:cstheme="minorHAnsi"/>
        </w:rPr>
        <w:t xml:space="preserve">and infrastructure </w:t>
      </w:r>
      <w:r>
        <w:rPr>
          <w:rFonts w:asciiTheme="minorHAnsi" w:hAnsiTheme="minorHAnsi" w:cstheme="minorHAnsi"/>
        </w:rPr>
        <w:t>(i</w:t>
      </w:r>
      <w:r w:rsidR="00AA2097">
        <w:rPr>
          <w:rFonts w:asciiTheme="minorHAnsi" w:hAnsiTheme="minorHAnsi" w:cstheme="minorHAnsi"/>
        </w:rPr>
        <w:t>.</w:t>
      </w:r>
      <w:r>
        <w:rPr>
          <w:rFonts w:asciiTheme="minorHAnsi" w:hAnsiTheme="minorHAnsi" w:cstheme="minorHAnsi"/>
        </w:rPr>
        <w:t>e</w:t>
      </w:r>
      <w:r w:rsidR="00AA2097">
        <w:rPr>
          <w:rFonts w:asciiTheme="minorHAnsi" w:hAnsiTheme="minorHAnsi" w:cstheme="minorHAnsi"/>
        </w:rPr>
        <w:t>.</w:t>
      </w:r>
      <w:r>
        <w:rPr>
          <w:rFonts w:asciiTheme="minorHAnsi" w:hAnsiTheme="minorHAnsi" w:cstheme="minorHAnsi"/>
        </w:rPr>
        <w:t xml:space="preserve"> a multiplex) between broadcasters in a</w:t>
      </w:r>
      <w:r w:rsidR="00691E3D">
        <w:rPr>
          <w:rFonts w:asciiTheme="minorHAnsi" w:hAnsiTheme="minorHAnsi" w:cstheme="minorHAnsi"/>
        </w:rPr>
        <w:t xml:space="preserve"> particular</w:t>
      </w:r>
      <w:r>
        <w:rPr>
          <w:rFonts w:asciiTheme="minorHAnsi" w:hAnsiTheme="minorHAnsi" w:cstheme="minorHAnsi"/>
        </w:rPr>
        <w:t xml:space="preserve"> area, and as a result</w:t>
      </w:r>
      <w:r w:rsidR="00691E3D">
        <w:rPr>
          <w:rFonts w:asciiTheme="minorHAnsi" w:hAnsiTheme="minorHAnsi" w:cstheme="minorHAnsi"/>
        </w:rPr>
        <w:t>,</w:t>
      </w:r>
      <w:r>
        <w:rPr>
          <w:rFonts w:asciiTheme="minorHAnsi" w:hAnsiTheme="minorHAnsi" w:cstheme="minorHAnsi"/>
        </w:rPr>
        <w:t xml:space="preserve"> it has consequences for the planning and timing of service roll out in </w:t>
      </w:r>
      <w:r w:rsidR="00691E3D">
        <w:rPr>
          <w:rFonts w:asciiTheme="minorHAnsi" w:hAnsiTheme="minorHAnsi" w:cstheme="minorHAnsi"/>
        </w:rPr>
        <w:t xml:space="preserve">an </w:t>
      </w:r>
      <w:r>
        <w:rPr>
          <w:rFonts w:asciiTheme="minorHAnsi" w:hAnsiTheme="minorHAnsi" w:cstheme="minorHAnsi"/>
        </w:rPr>
        <w:t>area.</w:t>
      </w:r>
      <w:r w:rsidR="00AA2097">
        <w:rPr>
          <w:rFonts w:asciiTheme="minorHAnsi" w:hAnsiTheme="minorHAnsi" w:cstheme="minorHAnsi"/>
        </w:rPr>
        <w:t xml:space="preserve"> </w:t>
      </w:r>
      <w:r w:rsidR="00AA2097" w:rsidRPr="00AA2097">
        <w:rPr>
          <w:rFonts w:asciiTheme="minorHAnsi" w:hAnsiTheme="minorHAnsi" w:cstheme="minorHAnsi"/>
        </w:rPr>
        <w:t xml:space="preserve">The legislative framework </w:t>
      </w:r>
      <w:r w:rsidR="0023367D">
        <w:rPr>
          <w:rFonts w:asciiTheme="minorHAnsi" w:hAnsiTheme="minorHAnsi" w:cstheme="minorHAnsi"/>
        </w:rPr>
        <w:t xml:space="preserve">in the Radiocommunications Act </w:t>
      </w:r>
      <w:r w:rsidR="00AA2097" w:rsidRPr="00AA2097">
        <w:rPr>
          <w:rFonts w:asciiTheme="minorHAnsi" w:hAnsiTheme="minorHAnsi" w:cstheme="minorHAnsi"/>
        </w:rPr>
        <w:t xml:space="preserve">provides for </w:t>
      </w:r>
      <w:r w:rsidR="004545BE">
        <w:rPr>
          <w:rFonts w:asciiTheme="minorHAnsi" w:hAnsiTheme="minorHAnsi" w:cstheme="minorHAnsi"/>
        </w:rPr>
        <w:t xml:space="preserve">the following </w:t>
      </w:r>
      <w:r w:rsidR="00AA2097" w:rsidRPr="00AA2097">
        <w:rPr>
          <w:rFonts w:asciiTheme="minorHAnsi" w:hAnsiTheme="minorHAnsi" w:cstheme="minorHAnsi"/>
        </w:rPr>
        <w:t xml:space="preserve">categories of </w:t>
      </w:r>
      <w:r w:rsidR="0023367D">
        <w:rPr>
          <w:rFonts w:asciiTheme="minorHAnsi" w:hAnsiTheme="minorHAnsi" w:cstheme="minorHAnsi"/>
        </w:rPr>
        <w:t>D</w:t>
      </w:r>
      <w:r w:rsidR="00AA2097" w:rsidRPr="00AA2097">
        <w:rPr>
          <w:rFonts w:asciiTheme="minorHAnsi" w:hAnsiTheme="minorHAnsi" w:cstheme="minorHAnsi"/>
        </w:rPr>
        <w:t xml:space="preserve">igital </w:t>
      </w:r>
      <w:r w:rsidR="0023367D">
        <w:rPr>
          <w:rFonts w:asciiTheme="minorHAnsi" w:hAnsiTheme="minorHAnsi" w:cstheme="minorHAnsi"/>
        </w:rPr>
        <w:t>R</w:t>
      </w:r>
      <w:r w:rsidR="00AA2097" w:rsidRPr="00AA2097">
        <w:rPr>
          <w:rFonts w:asciiTheme="minorHAnsi" w:hAnsiTheme="minorHAnsi" w:cstheme="minorHAnsi"/>
        </w:rPr>
        <w:t xml:space="preserve">adio </w:t>
      </w:r>
      <w:r w:rsidR="0023367D">
        <w:rPr>
          <w:rFonts w:asciiTheme="minorHAnsi" w:hAnsiTheme="minorHAnsi" w:cstheme="minorHAnsi"/>
        </w:rPr>
        <w:t>M</w:t>
      </w:r>
      <w:r w:rsidR="00AA2097" w:rsidRPr="00AA2097">
        <w:rPr>
          <w:rFonts w:asciiTheme="minorHAnsi" w:hAnsiTheme="minorHAnsi" w:cstheme="minorHAnsi"/>
        </w:rPr>
        <w:t xml:space="preserve">ultiplex </w:t>
      </w:r>
      <w:r w:rsidR="0023367D">
        <w:rPr>
          <w:rFonts w:asciiTheme="minorHAnsi" w:hAnsiTheme="minorHAnsi" w:cstheme="minorHAnsi"/>
        </w:rPr>
        <w:t>T</w:t>
      </w:r>
      <w:r w:rsidR="00AA2097" w:rsidRPr="00AA2097">
        <w:rPr>
          <w:rFonts w:asciiTheme="minorHAnsi" w:hAnsiTheme="minorHAnsi" w:cstheme="minorHAnsi"/>
        </w:rPr>
        <w:t xml:space="preserve">ransmitter </w:t>
      </w:r>
      <w:r w:rsidR="00270767">
        <w:rPr>
          <w:rFonts w:asciiTheme="minorHAnsi" w:hAnsiTheme="minorHAnsi" w:cstheme="minorHAnsi"/>
        </w:rPr>
        <w:t xml:space="preserve">(DRMT) </w:t>
      </w:r>
      <w:r w:rsidR="00AA2097" w:rsidRPr="00AA2097">
        <w:rPr>
          <w:rFonts w:asciiTheme="minorHAnsi" w:hAnsiTheme="minorHAnsi" w:cstheme="minorHAnsi"/>
        </w:rPr>
        <w:t>licences</w:t>
      </w:r>
      <w:r w:rsidR="0023367D">
        <w:rPr>
          <w:rFonts w:asciiTheme="minorHAnsi" w:hAnsiTheme="minorHAnsi" w:cstheme="minorHAnsi"/>
        </w:rPr>
        <w:t>:</w:t>
      </w:r>
    </w:p>
    <w:p w14:paraId="646CEA53" w14:textId="3E0606F6" w:rsidR="0023367D" w:rsidRDefault="00DA1BC6" w:rsidP="00E06B8A">
      <w:pPr>
        <w:pStyle w:val="BodyText"/>
        <w:numPr>
          <w:ilvl w:val="0"/>
          <w:numId w:val="103"/>
        </w:numPr>
        <w:rPr>
          <w:rFonts w:asciiTheme="minorHAnsi" w:hAnsiTheme="minorHAnsi" w:cstheme="minorHAnsi"/>
        </w:rPr>
      </w:pPr>
      <w:r>
        <w:rPr>
          <w:rFonts w:asciiTheme="minorHAnsi" w:hAnsiTheme="minorHAnsi" w:cstheme="minorHAnsi"/>
        </w:rPr>
        <w:t>c</w:t>
      </w:r>
      <w:r w:rsidR="00AA2097" w:rsidRPr="00AA2097">
        <w:rPr>
          <w:rFonts w:asciiTheme="minorHAnsi" w:hAnsiTheme="minorHAnsi" w:cstheme="minorHAnsi"/>
        </w:rPr>
        <w:t xml:space="preserve">ategory 1 </w:t>
      </w:r>
      <w:r w:rsidR="00E06B8A">
        <w:rPr>
          <w:rFonts w:asciiTheme="minorHAnsi" w:hAnsiTheme="minorHAnsi" w:cstheme="minorHAnsi"/>
        </w:rPr>
        <w:t>– commercial and community broadcasters sharing a multiplex</w:t>
      </w:r>
      <w:r w:rsidR="00AA2097" w:rsidRPr="00AA2097">
        <w:rPr>
          <w:rFonts w:asciiTheme="minorHAnsi" w:hAnsiTheme="minorHAnsi" w:cstheme="minorHAnsi"/>
        </w:rPr>
        <w:t>;</w:t>
      </w:r>
    </w:p>
    <w:p w14:paraId="2F22421B" w14:textId="0845CF42" w:rsidR="0023367D" w:rsidRDefault="00DA1BC6" w:rsidP="00E06B8A">
      <w:pPr>
        <w:pStyle w:val="BodyText"/>
        <w:numPr>
          <w:ilvl w:val="0"/>
          <w:numId w:val="103"/>
        </w:numPr>
        <w:rPr>
          <w:rFonts w:asciiTheme="minorHAnsi" w:hAnsiTheme="minorHAnsi" w:cstheme="minorHAnsi"/>
        </w:rPr>
      </w:pPr>
      <w:r>
        <w:rPr>
          <w:rFonts w:asciiTheme="minorHAnsi" w:hAnsiTheme="minorHAnsi" w:cstheme="minorHAnsi"/>
        </w:rPr>
        <w:t>c</w:t>
      </w:r>
      <w:r w:rsidR="00AA2097" w:rsidRPr="00AA2097">
        <w:rPr>
          <w:rFonts w:asciiTheme="minorHAnsi" w:hAnsiTheme="minorHAnsi" w:cstheme="minorHAnsi"/>
        </w:rPr>
        <w:t xml:space="preserve">ategory 2 </w:t>
      </w:r>
      <w:r w:rsidR="00E06B8A">
        <w:rPr>
          <w:rFonts w:asciiTheme="minorHAnsi" w:hAnsiTheme="minorHAnsi" w:cstheme="minorHAnsi"/>
        </w:rPr>
        <w:t xml:space="preserve">– </w:t>
      </w:r>
      <w:r w:rsidR="00AA2097" w:rsidRPr="00AA2097">
        <w:rPr>
          <w:rFonts w:asciiTheme="minorHAnsi" w:hAnsiTheme="minorHAnsi" w:cstheme="minorHAnsi"/>
        </w:rPr>
        <w:t>commercial, community and national broadcasters</w:t>
      </w:r>
      <w:r w:rsidR="00E06B8A">
        <w:rPr>
          <w:rFonts w:asciiTheme="minorHAnsi" w:hAnsiTheme="minorHAnsi" w:cstheme="minorHAnsi"/>
        </w:rPr>
        <w:t xml:space="preserve"> sharing a multiplex</w:t>
      </w:r>
      <w:r w:rsidR="00AA2097" w:rsidRPr="00AA2097">
        <w:rPr>
          <w:rFonts w:asciiTheme="minorHAnsi" w:hAnsiTheme="minorHAnsi" w:cstheme="minorHAnsi"/>
        </w:rPr>
        <w:t xml:space="preserve">; and </w:t>
      </w:r>
    </w:p>
    <w:p w14:paraId="2BE109D2" w14:textId="792CB9D1" w:rsidR="0023367D" w:rsidRDefault="00DA1BC6" w:rsidP="00E06B8A">
      <w:pPr>
        <w:pStyle w:val="BodyText"/>
        <w:numPr>
          <w:ilvl w:val="0"/>
          <w:numId w:val="103"/>
        </w:numPr>
        <w:rPr>
          <w:rFonts w:asciiTheme="minorHAnsi" w:hAnsiTheme="minorHAnsi" w:cstheme="minorHAnsi"/>
        </w:rPr>
      </w:pPr>
      <w:r>
        <w:rPr>
          <w:rFonts w:asciiTheme="minorHAnsi" w:hAnsiTheme="minorHAnsi" w:cstheme="minorHAnsi"/>
        </w:rPr>
        <w:t>c</w:t>
      </w:r>
      <w:r w:rsidR="00AA2097" w:rsidRPr="00AA2097">
        <w:rPr>
          <w:rFonts w:asciiTheme="minorHAnsi" w:hAnsiTheme="minorHAnsi" w:cstheme="minorHAnsi"/>
        </w:rPr>
        <w:t xml:space="preserve">ategory 3 </w:t>
      </w:r>
      <w:r w:rsidR="00E06B8A">
        <w:rPr>
          <w:rFonts w:asciiTheme="minorHAnsi" w:hAnsiTheme="minorHAnsi" w:cstheme="minorHAnsi"/>
        </w:rPr>
        <w:t>– national broadcasters sharing a multiplex</w:t>
      </w:r>
      <w:r w:rsidR="00AA2097" w:rsidRPr="00AA2097">
        <w:rPr>
          <w:rFonts w:asciiTheme="minorHAnsi" w:hAnsiTheme="minorHAnsi" w:cstheme="minorHAnsi"/>
        </w:rPr>
        <w:t xml:space="preserve">. </w:t>
      </w:r>
    </w:p>
    <w:p w14:paraId="4D98BD46" w14:textId="3C5F7F7C" w:rsidR="00E06B8A" w:rsidRDefault="00AA2097" w:rsidP="0023367D">
      <w:pPr>
        <w:pStyle w:val="BodyText"/>
        <w:rPr>
          <w:rFonts w:asciiTheme="minorHAnsi" w:hAnsiTheme="minorHAnsi" w:cstheme="minorHAnsi"/>
        </w:rPr>
      </w:pPr>
      <w:r w:rsidRPr="00AA2097">
        <w:rPr>
          <w:rFonts w:asciiTheme="minorHAnsi" w:hAnsiTheme="minorHAnsi" w:cstheme="minorHAnsi"/>
        </w:rPr>
        <w:t>The services currently provided in the mainland state capital</w:t>
      </w:r>
      <w:r w:rsidR="0023367D">
        <w:rPr>
          <w:rFonts w:asciiTheme="minorHAnsi" w:hAnsiTheme="minorHAnsi" w:cstheme="minorHAnsi"/>
        </w:rPr>
        <w:t xml:space="preserve"> cities</w:t>
      </w:r>
      <w:r w:rsidRPr="00AA2097">
        <w:rPr>
          <w:rFonts w:asciiTheme="minorHAnsi" w:hAnsiTheme="minorHAnsi" w:cstheme="minorHAnsi"/>
        </w:rPr>
        <w:t xml:space="preserve"> use a combination of </w:t>
      </w:r>
      <w:r w:rsidR="00DA1BC6">
        <w:rPr>
          <w:rFonts w:asciiTheme="minorHAnsi" w:hAnsiTheme="minorHAnsi" w:cstheme="minorHAnsi"/>
        </w:rPr>
        <w:t>c</w:t>
      </w:r>
      <w:r w:rsidRPr="00AA2097">
        <w:rPr>
          <w:rFonts w:asciiTheme="minorHAnsi" w:hAnsiTheme="minorHAnsi" w:cstheme="minorHAnsi"/>
        </w:rPr>
        <w:t xml:space="preserve">ategory 1 and </w:t>
      </w:r>
      <w:r w:rsidR="00DA1BC6">
        <w:rPr>
          <w:rFonts w:asciiTheme="minorHAnsi" w:hAnsiTheme="minorHAnsi" w:cstheme="minorHAnsi"/>
        </w:rPr>
        <w:t>c</w:t>
      </w:r>
      <w:r w:rsidR="0023367D">
        <w:rPr>
          <w:rFonts w:asciiTheme="minorHAnsi" w:hAnsiTheme="minorHAnsi" w:cstheme="minorHAnsi"/>
        </w:rPr>
        <w:t xml:space="preserve">ategory </w:t>
      </w:r>
      <w:r w:rsidRPr="00AA2097">
        <w:rPr>
          <w:rFonts w:asciiTheme="minorHAnsi" w:hAnsiTheme="minorHAnsi" w:cstheme="minorHAnsi"/>
        </w:rPr>
        <w:t xml:space="preserve">3 </w:t>
      </w:r>
      <w:r w:rsidR="0023367D">
        <w:rPr>
          <w:rFonts w:asciiTheme="minorHAnsi" w:hAnsiTheme="minorHAnsi" w:cstheme="minorHAnsi"/>
        </w:rPr>
        <w:t>DRMT licences</w:t>
      </w:r>
      <w:r w:rsidRPr="00AA2097">
        <w:rPr>
          <w:rFonts w:asciiTheme="minorHAnsi" w:hAnsiTheme="minorHAnsi" w:cstheme="minorHAnsi"/>
        </w:rPr>
        <w:t>. T</w:t>
      </w:r>
      <w:r w:rsidR="0023367D">
        <w:rPr>
          <w:rFonts w:asciiTheme="minorHAnsi" w:hAnsiTheme="minorHAnsi" w:cstheme="minorHAnsi"/>
        </w:rPr>
        <w:t xml:space="preserve">o date, </w:t>
      </w:r>
      <w:r w:rsidRPr="00AA2097">
        <w:rPr>
          <w:rFonts w:asciiTheme="minorHAnsi" w:hAnsiTheme="minorHAnsi" w:cstheme="minorHAnsi"/>
        </w:rPr>
        <w:t xml:space="preserve">no </w:t>
      </w:r>
      <w:r w:rsidR="00DA1BC6">
        <w:rPr>
          <w:rFonts w:asciiTheme="minorHAnsi" w:hAnsiTheme="minorHAnsi" w:cstheme="minorHAnsi"/>
        </w:rPr>
        <w:t>c</w:t>
      </w:r>
      <w:r w:rsidRPr="00AA2097">
        <w:rPr>
          <w:rFonts w:asciiTheme="minorHAnsi" w:hAnsiTheme="minorHAnsi" w:cstheme="minorHAnsi"/>
        </w:rPr>
        <w:t xml:space="preserve">ategory 2 </w:t>
      </w:r>
      <w:r w:rsidR="0023367D">
        <w:rPr>
          <w:rFonts w:asciiTheme="minorHAnsi" w:hAnsiTheme="minorHAnsi" w:cstheme="minorHAnsi"/>
        </w:rPr>
        <w:t>DRMT licences have been issued</w:t>
      </w:r>
      <w:r w:rsidR="00E06B8A">
        <w:rPr>
          <w:rFonts w:asciiTheme="minorHAnsi" w:hAnsiTheme="minorHAnsi" w:cstheme="minorHAnsi"/>
        </w:rPr>
        <w:t xml:space="preserve">. This may change in the future, however, </w:t>
      </w:r>
      <w:r w:rsidR="004545BE">
        <w:rPr>
          <w:rFonts w:asciiTheme="minorHAnsi" w:hAnsiTheme="minorHAnsi" w:cstheme="minorHAnsi"/>
        </w:rPr>
        <w:t xml:space="preserve">if </w:t>
      </w:r>
      <w:r w:rsidR="00E06B8A">
        <w:rPr>
          <w:rFonts w:asciiTheme="minorHAnsi" w:hAnsiTheme="minorHAnsi" w:cstheme="minorHAnsi"/>
        </w:rPr>
        <w:t>it prove</w:t>
      </w:r>
      <w:r w:rsidR="004545BE">
        <w:rPr>
          <w:rFonts w:asciiTheme="minorHAnsi" w:hAnsiTheme="minorHAnsi" w:cstheme="minorHAnsi"/>
        </w:rPr>
        <w:t>s</w:t>
      </w:r>
      <w:r w:rsidR="00E06B8A">
        <w:rPr>
          <w:rFonts w:asciiTheme="minorHAnsi" w:hAnsiTheme="minorHAnsi" w:cstheme="minorHAnsi"/>
        </w:rPr>
        <w:t xml:space="preserve"> more cost effective in certain parts of regional Australia for all </w:t>
      </w:r>
      <w:r w:rsidR="004545BE">
        <w:rPr>
          <w:rFonts w:asciiTheme="minorHAnsi" w:hAnsiTheme="minorHAnsi" w:cstheme="minorHAnsi"/>
        </w:rPr>
        <w:t xml:space="preserve">digital radio </w:t>
      </w:r>
      <w:r w:rsidR="00E06B8A">
        <w:rPr>
          <w:rFonts w:asciiTheme="minorHAnsi" w:hAnsiTheme="minorHAnsi" w:cstheme="minorHAnsi"/>
        </w:rPr>
        <w:t>broadcasters to share a single multiplex</w:t>
      </w:r>
      <w:r w:rsidR="00EE407D">
        <w:rPr>
          <w:rFonts w:asciiTheme="minorHAnsi" w:hAnsiTheme="minorHAnsi" w:cstheme="minorHAnsi"/>
        </w:rPr>
        <w:t xml:space="preserve">. </w:t>
      </w:r>
    </w:p>
    <w:p w14:paraId="5D58A7FB" w14:textId="11C4653B" w:rsidR="005077CA" w:rsidRPr="00E5315D" w:rsidRDefault="0023367D" w:rsidP="0023367D">
      <w:pPr>
        <w:pStyle w:val="BodyText"/>
        <w:rPr>
          <w:rFonts w:asciiTheme="minorHAnsi" w:hAnsiTheme="minorHAnsi" w:cstheme="minorHAnsi"/>
        </w:rPr>
      </w:pPr>
      <w:r w:rsidRPr="00691E3D">
        <w:rPr>
          <w:rFonts w:asciiTheme="minorHAnsi" w:hAnsiTheme="minorHAnsi" w:cstheme="minorHAnsi"/>
        </w:rPr>
        <w:t>The Canberra and Darwin</w:t>
      </w:r>
      <w:r w:rsidR="004545BE">
        <w:rPr>
          <w:rFonts w:asciiTheme="minorHAnsi" w:hAnsiTheme="minorHAnsi" w:cstheme="minorHAnsi"/>
        </w:rPr>
        <w:t xml:space="preserve"> digital radio trials do not involve DRMT licences</w:t>
      </w:r>
      <w:r w:rsidR="00FD4509">
        <w:rPr>
          <w:rFonts w:asciiTheme="minorHAnsi" w:hAnsiTheme="minorHAnsi" w:cstheme="minorHAnsi"/>
        </w:rPr>
        <w:t>, but are instead licensed using scientific apparatus licences</w:t>
      </w:r>
      <w:r w:rsidR="004545BE">
        <w:rPr>
          <w:rFonts w:asciiTheme="minorHAnsi" w:hAnsiTheme="minorHAnsi" w:cstheme="minorHAnsi"/>
        </w:rPr>
        <w:t xml:space="preserve">. In these cities, a single multiplex is used to deliver a combination of commercial and national broadcaster services (Canberra) or </w:t>
      </w:r>
      <w:r w:rsidR="004E773C">
        <w:rPr>
          <w:rFonts w:asciiTheme="minorHAnsi" w:hAnsiTheme="minorHAnsi" w:cstheme="minorHAnsi"/>
        </w:rPr>
        <w:t xml:space="preserve">only </w:t>
      </w:r>
      <w:r w:rsidR="004545BE">
        <w:rPr>
          <w:rFonts w:asciiTheme="minorHAnsi" w:hAnsiTheme="minorHAnsi" w:cstheme="minorHAnsi"/>
        </w:rPr>
        <w:t>commercial broadcast</w:t>
      </w:r>
      <w:r w:rsidR="004E773C">
        <w:rPr>
          <w:rFonts w:asciiTheme="minorHAnsi" w:hAnsiTheme="minorHAnsi" w:cstheme="minorHAnsi"/>
        </w:rPr>
        <w:t>er</w:t>
      </w:r>
      <w:r w:rsidR="004545BE">
        <w:rPr>
          <w:rFonts w:asciiTheme="minorHAnsi" w:hAnsiTheme="minorHAnsi" w:cstheme="minorHAnsi"/>
        </w:rPr>
        <w:t xml:space="preserve"> services </w:t>
      </w:r>
      <w:r w:rsidR="004E773C">
        <w:rPr>
          <w:rFonts w:asciiTheme="minorHAnsi" w:hAnsiTheme="minorHAnsi" w:cstheme="minorHAnsi"/>
        </w:rPr>
        <w:t>(</w:t>
      </w:r>
      <w:r w:rsidR="004545BE">
        <w:rPr>
          <w:rFonts w:asciiTheme="minorHAnsi" w:hAnsiTheme="minorHAnsi" w:cstheme="minorHAnsi"/>
        </w:rPr>
        <w:t>Darwin</w:t>
      </w:r>
      <w:r w:rsidR="004E773C">
        <w:rPr>
          <w:rFonts w:asciiTheme="minorHAnsi" w:hAnsiTheme="minorHAnsi" w:cstheme="minorHAnsi"/>
        </w:rPr>
        <w:t>).</w:t>
      </w:r>
      <w:r w:rsidR="00105E2B">
        <w:rPr>
          <w:rFonts w:asciiTheme="minorHAnsi" w:hAnsiTheme="minorHAnsi" w:cstheme="minorHAnsi"/>
        </w:rPr>
        <w:t xml:space="preserve"> Neither of these multiplex configurations </w:t>
      </w:r>
      <w:r w:rsidR="00771D38">
        <w:rPr>
          <w:rFonts w:asciiTheme="minorHAnsi" w:hAnsiTheme="minorHAnsi" w:cstheme="minorHAnsi"/>
        </w:rPr>
        <w:t xml:space="preserve">currently </w:t>
      </w:r>
      <w:r w:rsidR="00105E2B">
        <w:rPr>
          <w:rFonts w:asciiTheme="minorHAnsi" w:hAnsiTheme="minorHAnsi" w:cstheme="minorHAnsi"/>
        </w:rPr>
        <w:t>reflect the sharing arrangements provided by the legislative framework for digital radio.</w:t>
      </w:r>
    </w:p>
    <w:p w14:paraId="2D3123BF"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Some submissions to the review raised the possibility of a switch off of </w:t>
      </w:r>
      <w:r w:rsidR="00851788" w:rsidRPr="00E5315D">
        <w:rPr>
          <w:rFonts w:asciiTheme="minorHAnsi" w:hAnsiTheme="minorHAnsi" w:cstheme="minorHAnsi"/>
        </w:rPr>
        <w:t>analogue</w:t>
      </w:r>
      <w:r w:rsidRPr="00E5315D">
        <w:rPr>
          <w:rFonts w:asciiTheme="minorHAnsi" w:hAnsiTheme="minorHAnsi" w:cstheme="minorHAnsi"/>
        </w:rPr>
        <w:t xml:space="preserve"> radio (particularly AM services). Both the Australian Broadcasting Corporation (ABC) and the Special Broadcasting Service (SBS) noted in their submissions that the planning process for digital radio had </w:t>
      </w:r>
      <w:r w:rsidR="00571909">
        <w:rPr>
          <w:rFonts w:asciiTheme="minorHAnsi" w:hAnsiTheme="minorHAnsi" w:cstheme="minorHAnsi"/>
        </w:rPr>
        <w:t>not progressed</w:t>
      </w:r>
      <w:r w:rsidRPr="00E5315D">
        <w:rPr>
          <w:rFonts w:asciiTheme="minorHAnsi" w:hAnsiTheme="minorHAnsi" w:cstheme="minorHAnsi"/>
        </w:rPr>
        <w:t>.</w:t>
      </w:r>
      <w:r w:rsidRPr="00E5315D">
        <w:rPr>
          <w:rStyle w:val="FootnoteReference"/>
          <w:rFonts w:asciiTheme="minorHAnsi" w:hAnsiTheme="minorHAnsi" w:cstheme="minorHAnsi"/>
        </w:rPr>
        <w:footnoteReference w:id="9"/>
      </w:r>
      <w:r w:rsidRPr="00E5315D">
        <w:rPr>
          <w:rFonts w:asciiTheme="minorHAnsi" w:hAnsiTheme="minorHAnsi" w:cstheme="minorHAnsi"/>
        </w:rPr>
        <w:t xml:space="preserve"> SBS was of the view that, in order to take advantage of the benefits of digital radio, Australia must start preparing for an </w:t>
      </w:r>
      <w:r w:rsidR="00851788" w:rsidRPr="00E5315D">
        <w:rPr>
          <w:rFonts w:asciiTheme="minorHAnsi" w:hAnsiTheme="minorHAnsi" w:cstheme="minorHAnsi"/>
        </w:rPr>
        <w:t>analogue</w:t>
      </w:r>
      <w:r w:rsidRPr="00E5315D">
        <w:rPr>
          <w:rFonts w:asciiTheme="minorHAnsi" w:hAnsiTheme="minorHAnsi" w:cstheme="minorHAnsi"/>
        </w:rPr>
        <w:t xml:space="preserve"> switch off, based on a population priority basis, as soon as possible.</w:t>
      </w:r>
      <w:r w:rsidRPr="00E5315D">
        <w:rPr>
          <w:rStyle w:val="FootnoteReference"/>
          <w:rFonts w:asciiTheme="minorHAnsi" w:hAnsiTheme="minorHAnsi" w:cstheme="minorHAnsi"/>
        </w:rPr>
        <w:footnoteReference w:id="10"/>
      </w:r>
      <w:r w:rsidRPr="00E5315D">
        <w:rPr>
          <w:rFonts w:asciiTheme="minorHAnsi" w:hAnsiTheme="minorHAnsi" w:cstheme="minorHAnsi"/>
        </w:rPr>
        <w:t xml:space="preserve"> This view was further supported by submissions by Commercial Radio Australia (CRA) and Broadcast Australia (BA). However, submissions from the Australian Narrowcasting Radio Association (ANRA) and the Community Broadcasting Association of Australia (CBAA) advocated a multi-technology delivery ap</w:t>
      </w:r>
      <w:r w:rsidR="00822EB9">
        <w:rPr>
          <w:rFonts w:asciiTheme="minorHAnsi" w:hAnsiTheme="minorHAnsi" w:cstheme="minorHAnsi"/>
        </w:rPr>
        <w:t>proach.</w:t>
      </w:r>
    </w:p>
    <w:p w14:paraId="3984CA62" w14:textId="77777777" w:rsidR="001E6FD9" w:rsidRDefault="005077CA" w:rsidP="005077CA">
      <w:pPr>
        <w:pStyle w:val="BodyText"/>
      </w:pPr>
      <w:r w:rsidRPr="00E5315D">
        <w:rPr>
          <w:rFonts w:asciiTheme="minorHAnsi" w:hAnsiTheme="minorHAnsi" w:cstheme="minorHAnsi"/>
        </w:rPr>
        <w:t xml:space="preserve">Digital radio was originally introduced to supplement, not replace, traditional </w:t>
      </w:r>
      <w:r w:rsidR="00851788" w:rsidRPr="00E5315D">
        <w:rPr>
          <w:rFonts w:asciiTheme="minorHAnsi" w:hAnsiTheme="minorHAnsi" w:cstheme="minorHAnsi"/>
        </w:rPr>
        <w:t>analogue</w:t>
      </w:r>
      <w:r w:rsidRPr="00E5315D">
        <w:rPr>
          <w:rFonts w:asciiTheme="minorHAnsi" w:hAnsiTheme="minorHAnsi" w:cstheme="minorHAnsi"/>
        </w:rPr>
        <w:t xml:space="preserve"> AM and FM radio services. The market for </w:t>
      </w:r>
      <w:r w:rsidR="00851788" w:rsidRPr="00E5315D">
        <w:rPr>
          <w:rFonts w:asciiTheme="minorHAnsi" w:hAnsiTheme="minorHAnsi" w:cstheme="minorHAnsi"/>
        </w:rPr>
        <w:t>analogue</w:t>
      </w:r>
      <w:r w:rsidRPr="00E5315D">
        <w:rPr>
          <w:rFonts w:asciiTheme="minorHAnsi" w:hAnsiTheme="minorHAnsi" w:cstheme="minorHAnsi"/>
        </w:rPr>
        <w:t xml:space="preserve"> AM and FM services is robust and is likely to remain so in Australia</w:t>
      </w:r>
      <w:r w:rsidRPr="00E5315D">
        <w:t xml:space="preserve"> for some time to come.</w:t>
      </w:r>
      <w:r w:rsidR="001E6FD9">
        <w:t xml:space="preserve"> In 2014, the average weekly cumulative audience for commercial radio services in </w:t>
      </w:r>
      <w:r w:rsidR="001A3560">
        <w:t xml:space="preserve">the five </w:t>
      </w:r>
      <w:r w:rsidR="001E6FD9">
        <w:t>metropolitan areas increased by 4.13 per cent to 10.1 million.</w:t>
      </w:r>
      <w:r w:rsidR="001E6FD9">
        <w:rPr>
          <w:rStyle w:val="FootnoteReference"/>
        </w:rPr>
        <w:footnoteReference w:id="11"/>
      </w:r>
      <w:r w:rsidR="001A3560">
        <w:t xml:space="preserve"> The average weekly reach in these areas for ABC Radio was a record 4.7 million people in 2013-14, an increase of 155,000 listeners on 2012-13.</w:t>
      </w:r>
      <w:r w:rsidR="001A3560">
        <w:rPr>
          <w:rStyle w:val="FootnoteReference"/>
        </w:rPr>
        <w:footnoteReference w:id="12"/>
      </w:r>
    </w:p>
    <w:p w14:paraId="0767658F" w14:textId="205D9A56" w:rsidR="008029C5" w:rsidRDefault="005077CA" w:rsidP="005077CA">
      <w:pPr>
        <w:pStyle w:val="BodyText"/>
      </w:pPr>
      <w:r w:rsidRPr="00E5315D">
        <w:t xml:space="preserve">As at 30 June 2014, there were a total of 273 </w:t>
      </w:r>
      <w:r w:rsidR="00851788" w:rsidRPr="00E5315D">
        <w:t>analogue</w:t>
      </w:r>
      <w:r w:rsidRPr="00E5315D">
        <w:t xml:space="preserve"> commercial radio services (104 AM services, 152 FM services and 12 services outside the broadcasting services bands</w:t>
      </w:r>
      <w:r w:rsidR="00C52DA4">
        <w:t>)</w:t>
      </w:r>
      <w:r w:rsidRPr="00E5315D">
        <w:rPr>
          <w:rStyle w:val="FootnoteReference"/>
        </w:rPr>
        <w:footnoteReference w:id="13"/>
      </w:r>
      <w:r w:rsidRPr="00E5315D">
        <w:t xml:space="preserve"> and 142 commercial digital radio services in the </w:t>
      </w:r>
      <w:r w:rsidR="002F6FC4">
        <w:t xml:space="preserve">mainland </w:t>
      </w:r>
      <w:r w:rsidR="004E773C">
        <w:t>state</w:t>
      </w:r>
      <w:r w:rsidR="004E773C" w:rsidRPr="00E5315D">
        <w:t xml:space="preserve"> </w:t>
      </w:r>
      <w:r w:rsidRPr="00E5315D">
        <w:t>capital cities and in Canberra and Darwin. As at 5</w:t>
      </w:r>
      <w:r w:rsidR="001E6FD9">
        <w:t> </w:t>
      </w:r>
      <w:r w:rsidRPr="00E5315D">
        <w:t xml:space="preserve">September 2014, 357 </w:t>
      </w:r>
      <w:r w:rsidR="00851788" w:rsidRPr="00E5315D">
        <w:t>analogue</w:t>
      </w:r>
      <w:r w:rsidRPr="00E5315D">
        <w:t xml:space="preserve"> community radio services were operating (13 AM services and 344 FM services)</w:t>
      </w:r>
      <w:r w:rsidR="00EE407D">
        <w:t xml:space="preserve">. </w:t>
      </w:r>
      <w:r w:rsidRPr="00E5315D">
        <w:t xml:space="preserve">As at </w:t>
      </w:r>
      <w:r w:rsidR="00571909">
        <w:t>December 2014</w:t>
      </w:r>
      <w:r w:rsidRPr="00E5315D">
        <w:t>, 2</w:t>
      </w:r>
      <w:r w:rsidR="00571909">
        <w:t>44</w:t>
      </w:r>
      <w:r w:rsidRPr="00E5315D">
        <w:t xml:space="preserve"> </w:t>
      </w:r>
      <w:r w:rsidR="00851788" w:rsidRPr="00E5315D">
        <w:t>analogue</w:t>
      </w:r>
      <w:r w:rsidRPr="00E5315D">
        <w:t xml:space="preserve"> open narrowcasters were licensed (3</w:t>
      </w:r>
      <w:r w:rsidR="00571909">
        <w:t>3 AM services and 211</w:t>
      </w:r>
      <w:r w:rsidRPr="00E5315D">
        <w:t xml:space="preserve"> FM services).</w:t>
      </w:r>
      <w:r w:rsidR="001E2C67">
        <w:t xml:space="preserve"> </w:t>
      </w:r>
    </w:p>
    <w:p w14:paraId="18629C3D" w14:textId="6A22DC6A" w:rsidR="00026432" w:rsidRDefault="00012912" w:rsidP="005077CA">
      <w:pPr>
        <w:pStyle w:val="BodyText"/>
        <w:rPr>
          <w:rFonts w:asciiTheme="minorHAnsi" w:hAnsiTheme="minorHAnsi" w:cstheme="minorHAnsi"/>
        </w:rPr>
      </w:pPr>
      <w:r>
        <w:rPr>
          <w:rFonts w:asciiTheme="minorHAnsi" w:hAnsiTheme="minorHAnsi" w:cstheme="minorHAnsi"/>
        </w:rPr>
        <w:t>Th</w:t>
      </w:r>
      <w:r w:rsidR="001E2C67">
        <w:rPr>
          <w:rFonts w:asciiTheme="minorHAnsi" w:hAnsiTheme="minorHAnsi" w:cstheme="minorHAnsi"/>
        </w:rPr>
        <w:t xml:space="preserve">e diversity in sourcing programming is also supported by the continued growth of </w:t>
      </w:r>
      <w:r>
        <w:rPr>
          <w:rFonts w:asciiTheme="minorHAnsi" w:hAnsiTheme="minorHAnsi" w:cstheme="minorHAnsi"/>
        </w:rPr>
        <w:t>the music streaming service Spotify and internet radio service Pandora</w:t>
      </w:r>
      <w:r w:rsidR="00EE407D">
        <w:rPr>
          <w:rFonts w:asciiTheme="minorHAnsi" w:hAnsiTheme="minorHAnsi" w:cstheme="minorHAnsi"/>
        </w:rPr>
        <w:t xml:space="preserve">. </w:t>
      </w:r>
      <w:r>
        <w:rPr>
          <w:rFonts w:asciiTheme="minorHAnsi" w:hAnsiTheme="minorHAnsi" w:cstheme="minorHAnsi"/>
        </w:rPr>
        <w:t>Spotify claims to be adding 60</w:t>
      </w:r>
      <w:r w:rsidR="00B506D5">
        <w:rPr>
          <w:rFonts w:asciiTheme="minorHAnsi" w:hAnsiTheme="minorHAnsi" w:cstheme="minorHAnsi"/>
        </w:rPr>
        <w:t>,</w:t>
      </w:r>
      <w:r>
        <w:rPr>
          <w:rFonts w:asciiTheme="minorHAnsi" w:hAnsiTheme="minorHAnsi" w:cstheme="minorHAnsi"/>
        </w:rPr>
        <w:t>000 users per week in Australia</w:t>
      </w:r>
      <w:r w:rsidR="00A01B07">
        <w:rPr>
          <w:rFonts w:asciiTheme="minorHAnsi" w:hAnsiTheme="minorHAnsi" w:cstheme="minorHAnsi"/>
        </w:rPr>
        <w:t>,</w:t>
      </w:r>
      <w:r>
        <w:rPr>
          <w:rFonts w:asciiTheme="minorHAnsi" w:hAnsiTheme="minorHAnsi" w:cstheme="minorHAnsi"/>
        </w:rPr>
        <w:t xml:space="preserve"> with 25 per cent of Australians </w:t>
      </w:r>
      <w:r w:rsidR="00B506D5">
        <w:rPr>
          <w:rFonts w:asciiTheme="minorHAnsi" w:hAnsiTheme="minorHAnsi" w:cstheme="minorHAnsi"/>
        </w:rPr>
        <w:t>having</w:t>
      </w:r>
      <w:r>
        <w:rPr>
          <w:rFonts w:asciiTheme="minorHAnsi" w:hAnsiTheme="minorHAnsi" w:cstheme="minorHAnsi"/>
        </w:rPr>
        <w:t xml:space="preserve"> tried the service</w:t>
      </w:r>
      <w:r w:rsidR="00B506D5">
        <w:rPr>
          <w:rFonts w:asciiTheme="minorHAnsi" w:hAnsiTheme="minorHAnsi" w:cstheme="minorHAnsi"/>
        </w:rPr>
        <w:t>, while</w:t>
      </w:r>
      <w:r w:rsidR="00EE407D">
        <w:rPr>
          <w:rFonts w:asciiTheme="minorHAnsi" w:hAnsiTheme="minorHAnsi" w:cstheme="minorHAnsi"/>
        </w:rPr>
        <w:t xml:space="preserve"> </w:t>
      </w:r>
      <w:r>
        <w:rPr>
          <w:rFonts w:asciiTheme="minorHAnsi" w:hAnsiTheme="minorHAnsi" w:cstheme="minorHAnsi"/>
        </w:rPr>
        <w:t xml:space="preserve">Pandora </w:t>
      </w:r>
      <w:r w:rsidR="00B506D5">
        <w:rPr>
          <w:rFonts w:asciiTheme="minorHAnsi" w:hAnsiTheme="minorHAnsi" w:cstheme="minorHAnsi"/>
        </w:rPr>
        <w:t>claims to be adding between 20,</w:t>
      </w:r>
      <w:r w:rsidR="001E2C67">
        <w:rPr>
          <w:rFonts w:asciiTheme="minorHAnsi" w:hAnsiTheme="minorHAnsi" w:cstheme="minorHAnsi"/>
        </w:rPr>
        <w:t>000 and 30</w:t>
      </w:r>
      <w:r w:rsidR="00B506D5">
        <w:rPr>
          <w:rFonts w:asciiTheme="minorHAnsi" w:hAnsiTheme="minorHAnsi" w:cstheme="minorHAnsi"/>
        </w:rPr>
        <w:t>,</w:t>
      </w:r>
      <w:r w:rsidR="001E2C67">
        <w:rPr>
          <w:rFonts w:asciiTheme="minorHAnsi" w:hAnsiTheme="minorHAnsi" w:cstheme="minorHAnsi"/>
        </w:rPr>
        <w:t xml:space="preserve">000 </w:t>
      </w:r>
      <w:r w:rsidR="00A01B07">
        <w:rPr>
          <w:rFonts w:asciiTheme="minorHAnsi" w:hAnsiTheme="minorHAnsi" w:cstheme="minorHAnsi"/>
        </w:rPr>
        <w:t xml:space="preserve">users </w:t>
      </w:r>
      <w:r w:rsidR="001E2C67">
        <w:rPr>
          <w:rFonts w:asciiTheme="minorHAnsi" w:hAnsiTheme="minorHAnsi" w:cstheme="minorHAnsi"/>
        </w:rPr>
        <w:t>weekly with more than 2 million users</w:t>
      </w:r>
      <w:r w:rsidR="00A01B07">
        <w:rPr>
          <w:rFonts w:asciiTheme="minorHAnsi" w:hAnsiTheme="minorHAnsi" w:cstheme="minorHAnsi"/>
        </w:rPr>
        <w:t xml:space="preserve"> in total</w:t>
      </w:r>
      <w:r w:rsidR="00EE407D">
        <w:rPr>
          <w:rFonts w:asciiTheme="minorHAnsi" w:hAnsiTheme="minorHAnsi" w:cstheme="minorHAnsi"/>
        </w:rPr>
        <w:t>.</w:t>
      </w:r>
      <w:r w:rsidR="001E2C67">
        <w:rPr>
          <w:rStyle w:val="FootnoteReference"/>
          <w:rFonts w:asciiTheme="minorHAnsi" w:hAnsiTheme="minorHAnsi" w:cstheme="minorHAnsi"/>
        </w:rPr>
        <w:footnoteReference w:id="14"/>
      </w:r>
      <w:r>
        <w:rPr>
          <w:rFonts w:asciiTheme="minorHAnsi" w:hAnsiTheme="minorHAnsi" w:cstheme="minorHAnsi"/>
        </w:rPr>
        <w:t xml:space="preserve"> </w:t>
      </w:r>
      <w:r w:rsidR="00B506D5">
        <w:rPr>
          <w:rFonts w:asciiTheme="minorHAnsi" w:hAnsiTheme="minorHAnsi" w:cstheme="minorHAnsi"/>
        </w:rPr>
        <w:t>On 8 June </w:t>
      </w:r>
      <w:r w:rsidR="008029C5">
        <w:rPr>
          <w:rFonts w:asciiTheme="minorHAnsi" w:hAnsiTheme="minorHAnsi" w:cstheme="minorHAnsi"/>
        </w:rPr>
        <w:t>2015</w:t>
      </w:r>
      <w:r w:rsidR="00B506D5">
        <w:rPr>
          <w:rFonts w:asciiTheme="minorHAnsi" w:hAnsiTheme="minorHAnsi" w:cstheme="minorHAnsi"/>
        </w:rPr>
        <w:t>,</w:t>
      </w:r>
      <w:r w:rsidR="008029C5">
        <w:rPr>
          <w:rFonts w:asciiTheme="minorHAnsi" w:hAnsiTheme="minorHAnsi" w:cstheme="minorHAnsi"/>
        </w:rPr>
        <w:t xml:space="preserve"> Apple unveiled Apple Music, including music streaming and</w:t>
      </w:r>
      <w:r w:rsidR="003F01FF">
        <w:rPr>
          <w:rFonts w:asciiTheme="minorHAnsi" w:hAnsiTheme="minorHAnsi" w:cstheme="minorHAnsi"/>
        </w:rPr>
        <w:t xml:space="preserve"> a worldwide 24 </w:t>
      </w:r>
      <w:r w:rsidR="008029C5">
        <w:rPr>
          <w:rFonts w:asciiTheme="minorHAnsi" w:hAnsiTheme="minorHAnsi" w:cstheme="minorHAnsi"/>
        </w:rPr>
        <w:t>hour radio broadcasting station</w:t>
      </w:r>
      <w:r w:rsidR="00EE407D">
        <w:rPr>
          <w:rFonts w:asciiTheme="minorHAnsi" w:hAnsiTheme="minorHAnsi" w:cstheme="minorHAnsi"/>
        </w:rPr>
        <w:t xml:space="preserve">. </w:t>
      </w:r>
      <w:r w:rsidR="008029C5">
        <w:rPr>
          <w:rFonts w:asciiTheme="minorHAnsi" w:hAnsiTheme="minorHAnsi" w:cstheme="minorHAnsi"/>
        </w:rPr>
        <w:t>The service commence</w:t>
      </w:r>
      <w:r w:rsidR="00482F2D">
        <w:rPr>
          <w:rFonts w:asciiTheme="minorHAnsi" w:hAnsiTheme="minorHAnsi" w:cstheme="minorHAnsi"/>
        </w:rPr>
        <w:t>d</w:t>
      </w:r>
      <w:r w:rsidR="008029C5">
        <w:rPr>
          <w:rFonts w:asciiTheme="minorHAnsi" w:hAnsiTheme="minorHAnsi" w:cstheme="minorHAnsi"/>
        </w:rPr>
        <w:t xml:space="preserve"> on </w:t>
      </w:r>
      <w:r w:rsidR="00D816A9">
        <w:rPr>
          <w:rFonts w:asciiTheme="minorHAnsi" w:hAnsiTheme="minorHAnsi" w:cstheme="minorHAnsi"/>
        </w:rPr>
        <w:t xml:space="preserve">30 </w:t>
      </w:r>
      <w:r w:rsidR="008029C5">
        <w:rPr>
          <w:rFonts w:asciiTheme="minorHAnsi" w:hAnsiTheme="minorHAnsi" w:cstheme="minorHAnsi"/>
        </w:rPr>
        <w:t xml:space="preserve">June 2015 and </w:t>
      </w:r>
      <w:r w:rsidR="00482F2D">
        <w:rPr>
          <w:rFonts w:asciiTheme="minorHAnsi" w:hAnsiTheme="minorHAnsi" w:cstheme="minorHAnsi"/>
        </w:rPr>
        <w:t xml:space="preserve">is </w:t>
      </w:r>
      <w:r w:rsidR="008029C5">
        <w:rPr>
          <w:rFonts w:asciiTheme="minorHAnsi" w:hAnsiTheme="minorHAnsi" w:cstheme="minorHAnsi"/>
        </w:rPr>
        <w:t>subscription-based.</w:t>
      </w:r>
      <w:r w:rsidR="008029C5">
        <w:rPr>
          <w:rStyle w:val="FootnoteReference"/>
          <w:rFonts w:asciiTheme="minorHAnsi" w:hAnsiTheme="minorHAnsi" w:cstheme="minorHAnsi"/>
        </w:rPr>
        <w:footnoteReference w:id="15"/>
      </w:r>
      <w:r w:rsidR="00B6286E">
        <w:rPr>
          <w:rFonts w:asciiTheme="minorHAnsi" w:hAnsiTheme="minorHAnsi" w:cstheme="minorHAnsi"/>
        </w:rPr>
        <w:t xml:space="preserve">  </w:t>
      </w:r>
    </w:p>
    <w:p w14:paraId="5FF4D7C1" w14:textId="055BBA4B" w:rsidR="00771D38" w:rsidRDefault="00771D38" w:rsidP="005077CA">
      <w:pPr>
        <w:pStyle w:val="BodyText"/>
        <w:rPr>
          <w:rFonts w:asciiTheme="minorHAnsi" w:hAnsiTheme="minorHAnsi" w:cstheme="minorHAnsi"/>
        </w:rPr>
      </w:pPr>
      <w:r w:rsidRPr="001B17F4">
        <w:rPr>
          <w:rFonts w:asciiTheme="minorHAnsi" w:hAnsiTheme="minorHAnsi" w:cstheme="minorHAnsi"/>
        </w:rPr>
        <w:t>Foxtel also offers its satellite (and cable) subscribers access to more than 30 advertising-free music channels.</w:t>
      </w:r>
    </w:p>
    <w:p w14:paraId="714D0B8E" w14:textId="1A10A176"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When considering whether Australia could or should switch to digital-only radio broadcasting there are several issues that must be considered including:</w:t>
      </w:r>
    </w:p>
    <w:p w14:paraId="33C14BF6" w14:textId="77777777" w:rsidR="005077CA" w:rsidRPr="00E5315D" w:rsidRDefault="005077CA" w:rsidP="005077CA">
      <w:pPr>
        <w:pStyle w:val="Bodybullet-Level3"/>
        <w:ind w:left="1020" w:hanging="340"/>
      </w:pPr>
      <w:r w:rsidRPr="00E5315D">
        <w:t>the ability of digital radio technologies to provide coverage to all Australians</w:t>
      </w:r>
      <w:r w:rsidR="00D05976">
        <w:t xml:space="preserve"> for all current services</w:t>
      </w:r>
      <w:r w:rsidRPr="00E5315D">
        <w:t xml:space="preserve">; </w:t>
      </w:r>
    </w:p>
    <w:p w14:paraId="198BDC22" w14:textId="77777777" w:rsidR="005077CA" w:rsidRPr="00E5315D" w:rsidRDefault="005077CA" w:rsidP="005077CA">
      <w:pPr>
        <w:pStyle w:val="Bodybullet-Level3"/>
        <w:ind w:left="1020" w:hanging="340"/>
      </w:pPr>
      <w:r w:rsidRPr="00E5315D">
        <w:t xml:space="preserve">the rate of audience take up; and </w:t>
      </w:r>
    </w:p>
    <w:p w14:paraId="2588CDEF" w14:textId="77777777" w:rsidR="005077CA" w:rsidRPr="00E5315D" w:rsidRDefault="005077CA" w:rsidP="005077CA">
      <w:pPr>
        <w:pStyle w:val="Bodybullet-Level3"/>
        <w:ind w:left="1020" w:hanging="340"/>
      </w:pPr>
      <w:r w:rsidRPr="00E5315D">
        <w:t xml:space="preserve">international plans and developments. </w:t>
      </w:r>
    </w:p>
    <w:p w14:paraId="0C510B8A" w14:textId="77777777" w:rsidR="005077CA" w:rsidRPr="00E5315D" w:rsidRDefault="005077CA" w:rsidP="005077CA">
      <w:pPr>
        <w:pStyle w:val="Heading2"/>
        <w:rPr>
          <w:i/>
        </w:rPr>
      </w:pPr>
      <w:bookmarkStart w:id="46" w:name="_Toc423532090"/>
      <w:r w:rsidRPr="00E5315D">
        <w:rPr>
          <w:i/>
        </w:rPr>
        <w:t>Geography and technology</w:t>
      </w:r>
      <w:bookmarkEnd w:id="46"/>
    </w:p>
    <w:p w14:paraId="1C346C13" w14:textId="77777777" w:rsidR="005077CA" w:rsidRPr="00E5315D" w:rsidRDefault="005077CA" w:rsidP="005077CA">
      <w:pPr>
        <w:pStyle w:val="BodyText"/>
        <w:rPr>
          <w:rFonts w:asciiTheme="minorHAnsi" w:hAnsiTheme="minorHAnsi" w:cstheme="minorHAnsi"/>
        </w:rPr>
      </w:pPr>
      <w:bookmarkStart w:id="47" w:name="_Toc397517868"/>
      <w:bookmarkEnd w:id="47"/>
      <w:r w:rsidRPr="00E5315D">
        <w:rPr>
          <w:rFonts w:asciiTheme="minorHAnsi" w:hAnsiTheme="minorHAnsi" w:cstheme="minorHAnsi"/>
        </w:rPr>
        <w:t xml:space="preserve">One of the major challenges when considering the possibility of a switchover to digital-only radio in Australia is the need to provide coverage over a very large geographic area with areas of challenging terrain, particularly in inland regions, with limited spectrum in which to do so (particularly in regional areas close to major metropolitan centres). </w:t>
      </w:r>
    </w:p>
    <w:p w14:paraId="2222DE8F"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In recognition of the problems associated with spectrum and geographic coverage, the Department conducted a review of technologies for digital</w:t>
      </w:r>
      <w:r w:rsidR="004224E5">
        <w:rPr>
          <w:rFonts w:asciiTheme="minorHAnsi" w:hAnsiTheme="minorHAnsi" w:cstheme="minorHAnsi"/>
        </w:rPr>
        <w:t xml:space="preserve"> terrestrial</w:t>
      </w:r>
      <w:r w:rsidRPr="00E5315D">
        <w:rPr>
          <w:rFonts w:asciiTheme="minorHAnsi" w:hAnsiTheme="minorHAnsi" w:cstheme="minorHAnsi"/>
        </w:rPr>
        <w:t xml:space="preserve"> radio in regional Australia in 2011</w:t>
      </w:r>
      <w:r w:rsidR="00822EB9">
        <w:rPr>
          <w:rFonts w:asciiTheme="minorHAnsi" w:hAnsiTheme="minorHAnsi" w:cstheme="minorHAnsi"/>
        </w:rPr>
        <w:t xml:space="preserve"> (2011 review)</w:t>
      </w:r>
      <w:r w:rsidRPr="00E5315D">
        <w:rPr>
          <w:rFonts w:asciiTheme="minorHAnsi" w:hAnsiTheme="minorHAnsi" w:cstheme="minorHAnsi"/>
        </w:rPr>
        <w:t xml:space="preserve">. The </w:t>
      </w:r>
      <w:r w:rsidR="00822EB9">
        <w:rPr>
          <w:rFonts w:asciiTheme="minorHAnsi" w:hAnsiTheme="minorHAnsi" w:cstheme="minorHAnsi"/>
        </w:rPr>
        <w:t>2011 review</w:t>
      </w:r>
      <w:r w:rsidRPr="00E5315D">
        <w:rPr>
          <w:rFonts w:asciiTheme="minorHAnsi" w:hAnsiTheme="minorHAnsi" w:cstheme="minorHAnsi"/>
        </w:rPr>
        <w:t xml:space="preserve"> </w:t>
      </w:r>
      <w:r w:rsidR="00642AE7">
        <w:rPr>
          <w:rFonts w:asciiTheme="minorHAnsi" w:hAnsiTheme="minorHAnsi" w:cstheme="minorHAnsi"/>
        </w:rPr>
        <w:t xml:space="preserve">report </w:t>
      </w:r>
      <w:r w:rsidRPr="00E5315D">
        <w:rPr>
          <w:rFonts w:asciiTheme="minorHAnsi" w:hAnsiTheme="minorHAnsi" w:cstheme="minorHAnsi"/>
        </w:rPr>
        <w:t xml:space="preserve">concluded that DAB+ would have the potential to reach most of the population using a similar number of transmitters to the current FM services, but would struggle to match the coverage of high and medium powered AM transmitters that reach the remaining population. </w:t>
      </w:r>
    </w:p>
    <w:p w14:paraId="2EC0DCA2" w14:textId="76A995CD"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This is acknowledged by the ABC in its submission to this current review in which it noted that the ABC’s very high powered AM services broadcast local regional radio services to large areas of regional Australia.</w:t>
      </w:r>
      <w:r w:rsidRPr="00E5315D">
        <w:rPr>
          <w:rStyle w:val="FootnoteReference"/>
          <w:rFonts w:asciiTheme="minorHAnsi" w:hAnsiTheme="minorHAnsi" w:cstheme="minorHAnsi"/>
        </w:rPr>
        <w:footnoteReference w:id="16"/>
      </w:r>
      <w:r w:rsidRPr="00E5315D">
        <w:rPr>
          <w:rFonts w:asciiTheme="minorHAnsi" w:hAnsiTheme="minorHAnsi" w:cstheme="minorHAnsi"/>
        </w:rPr>
        <w:t xml:space="preserve"> While BA in its submission considered that DAB+ would be an effective transmission technology for the majority of regional areas, alternative technologies would need to be considered if digital radio were to be provided in other areas of Australia</w:t>
      </w:r>
      <w:r w:rsidR="002C58CD">
        <w:rPr>
          <w:rFonts w:asciiTheme="minorHAnsi" w:hAnsiTheme="minorHAnsi" w:cstheme="minorHAnsi"/>
        </w:rPr>
        <w:t>.</w:t>
      </w:r>
      <w:r w:rsidRPr="00E5315D">
        <w:rPr>
          <w:rStyle w:val="FootnoteReference"/>
          <w:rFonts w:asciiTheme="minorHAnsi" w:hAnsiTheme="minorHAnsi" w:cstheme="minorHAnsi"/>
        </w:rPr>
        <w:footnoteReference w:id="17"/>
      </w:r>
      <w:r w:rsidRPr="00E5315D">
        <w:rPr>
          <w:rFonts w:asciiTheme="minorHAnsi" w:hAnsiTheme="minorHAnsi" w:cstheme="minorHAnsi"/>
        </w:rPr>
        <w:t xml:space="preserve"> The submission by the ANRA noted that new technologies should be utilised by the radio industry, with digital services continuing to be complementary to </w:t>
      </w:r>
      <w:r w:rsidR="00851788" w:rsidRPr="00E5315D">
        <w:rPr>
          <w:rFonts w:asciiTheme="minorHAnsi" w:hAnsiTheme="minorHAnsi" w:cstheme="minorHAnsi"/>
        </w:rPr>
        <w:t>analogue</w:t>
      </w:r>
      <w:r w:rsidRPr="00E5315D">
        <w:rPr>
          <w:rFonts w:asciiTheme="minorHAnsi" w:hAnsiTheme="minorHAnsi" w:cstheme="minorHAnsi"/>
        </w:rPr>
        <w:t xml:space="preserve"> services to best suit the Australian conditions.</w:t>
      </w:r>
      <w:r w:rsidRPr="00E5315D">
        <w:rPr>
          <w:rStyle w:val="FootnoteReference"/>
          <w:rFonts w:asciiTheme="minorHAnsi" w:hAnsiTheme="minorHAnsi" w:cstheme="minorHAnsi"/>
        </w:rPr>
        <w:footnoteReference w:id="18"/>
      </w:r>
    </w:p>
    <w:p w14:paraId="0BE20F1E"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At present, DAB+ radio services cover </w:t>
      </w:r>
      <w:r w:rsidR="00AD4752">
        <w:rPr>
          <w:rFonts w:asciiTheme="minorHAnsi" w:hAnsiTheme="minorHAnsi" w:cstheme="minorHAnsi"/>
        </w:rPr>
        <w:t xml:space="preserve">up to </w:t>
      </w:r>
      <w:r w:rsidRPr="00E5315D">
        <w:rPr>
          <w:rFonts w:asciiTheme="minorHAnsi" w:hAnsiTheme="minorHAnsi" w:cstheme="minorHAnsi"/>
        </w:rPr>
        <w:t xml:space="preserve">an estimated 0.4 per cent of geographical Australia. Even extending DAB+ radio services to the larger </w:t>
      </w:r>
      <w:r w:rsidRPr="00E5315D">
        <w:t xml:space="preserve">regional population centres, towns and cities would leave a significant percentage of the population and </w:t>
      </w:r>
      <w:r w:rsidRPr="00E5315D">
        <w:rPr>
          <w:rFonts w:asciiTheme="minorHAnsi" w:hAnsiTheme="minorHAnsi" w:cstheme="minorHAnsi"/>
        </w:rPr>
        <w:t xml:space="preserve">the Australian landmass without digital radio services. The only digital radio technologies capable of completely covering the remaining geographic areas </w:t>
      </w:r>
      <w:r w:rsidR="00D26E2A">
        <w:rPr>
          <w:rFonts w:asciiTheme="minorHAnsi" w:hAnsiTheme="minorHAnsi" w:cstheme="minorHAnsi"/>
        </w:rPr>
        <w:t xml:space="preserve">that are currently covered by AM radio services </w:t>
      </w:r>
      <w:r w:rsidRPr="00E5315D">
        <w:rPr>
          <w:rFonts w:asciiTheme="minorHAnsi" w:hAnsiTheme="minorHAnsi" w:cstheme="minorHAnsi"/>
        </w:rPr>
        <w:t xml:space="preserve">include Digital Radio Mondiale (DRM) and/or satellite digital radio technologies. </w:t>
      </w:r>
    </w:p>
    <w:p w14:paraId="7A6A9796"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DRM is unlikely to be a viable option in the short to medium term in Australia as there are only a few receivers currently available in the market. In addition, the prospect of dual DAB and DRM receivers being introduced into the Australian market is low.</w:t>
      </w:r>
      <w:r w:rsidRPr="00E5315D" w:rsidDel="00663EC4">
        <w:rPr>
          <w:rFonts w:asciiTheme="minorHAnsi" w:hAnsiTheme="minorHAnsi" w:cstheme="minorHAnsi"/>
        </w:rPr>
        <w:t xml:space="preserve"> </w:t>
      </w:r>
      <w:r w:rsidRPr="00E5315D">
        <w:rPr>
          <w:rFonts w:asciiTheme="minorHAnsi" w:hAnsiTheme="minorHAnsi" w:cstheme="minorHAnsi"/>
        </w:rPr>
        <w:t>Rebel Media’s submission cautioned against creating an overlap in digital radio technology through the use of a mix of DAB+ and DRM technologies, which has the potential to create a digital divide which could favour services using one technology over another.</w:t>
      </w:r>
      <w:r w:rsidRPr="00E5315D">
        <w:rPr>
          <w:rStyle w:val="FootnoteReference"/>
          <w:rFonts w:asciiTheme="minorHAnsi" w:hAnsiTheme="minorHAnsi" w:cstheme="minorHAnsi"/>
        </w:rPr>
        <w:footnoteReference w:id="19"/>
      </w:r>
      <w:r w:rsidRPr="00E5315D">
        <w:rPr>
          <w:rFonts w:asciiTheme="minorHAnsi" w:hAnsiTheme="minorHAnsi" w:cstheme="minorHAnsi"/>
        </w:rPr>
        <w:t xml:space="preserve"> SBS in its submission also expressed concern about radio standards other than DAB+ entering the market at this point as this could lead to consumer confusion and the need for multiple receivers.</w:t>
      </w:r>
      <w:r w:rsidRPr="00E5315D">
        <w:rPr>
          <w:rStyle w:val="FootnoteReference"/>
          <w:rFonts w:asciiTheme="minorHAnsi" w:hAnsiTheme="minorHAnsi" w:cstheme="minorHAnsi"/>
        </w:rPr>
        <w:footnoteReference w:id="20"/>
      </w:r>
    </w:p>
    <w:p w14:paraId="2BD99165" w14:textId="1D50A091" w:rsidR="00B6286E" w:rsidRDefault="0016076F" w:rsidP="005077CA">
      <w:pPr>
        <w:pStyle w:val="BodyText"/>
        <w:rPr>
          <w:rFonts w:asciiTheme="minorHAnsi" w:hAnsiTheme="minorHAnsi" w:cstheme="minorHAnsi"/>
        </w:rPr>
      </w:pPr>
      <w:r>
        <w:rPr>
          <w:rFonts w:asciiTheme="minorHAnsi" w:hAnsiTheme="minorHAnsi" w:cstheme="minorHAnsi"/>
        </w:rPr>
        <w:t xml:space="preserve">There is no evidence that satellite delivery and reception of digital radio services will provide a realistic alternative to terrestrial radio platforms in Australia, beyond its current use in remote </w:t>
      </w:r>
      <w:r w:rsidR="00B7760F">
        <w:rPr>
          <w:rFonts w:asciiTheme="minorHAnsi" w:hAnsiTheme="minorHAnsi" w:cstheme="minorHAnsi"/>
        </w:rPr>
        <w:t>or</w:t>
      </w:r>
      <w:r w:rsidR="00CA5DE5">
        <w:rPr>
          <w:rFonts w:asciiTheme="minorHAnsi" w:hAnsiTheme="minorHAnsi" w:cstheme="minorHAnsi"/>
        </w:rPr>
        <w:t xml:space="preserve"> </w:t>
      </w:r>
      <w:r w:rsidR="00CA5DE5" w:rsidRPr="00387F91">
        <w:rPr>
          <w:rFonts w:asciiTheme="minorHAnsi" w:hAnsiTheme="minorHAnsi" w:cstheme="minorHAnsi"/>
        </w:rPr>
        <w:t xml:space="preserve">reception black spot </w:t>
      </w:r>
      <w:r w:rsidRPr="00387F91">
        <w:rPr>
          <w:rFonts w:asciiTheme="minorHAnsi" w:hAnsiTheme="minorHAnsi" w:cstheme="minorHAnsi"/>
        </w:rPr>
        <w:t>households</w:t>
      </w:r>
      <w:r w:rsidR="00482F2D">
        <w:rPr>
          <w:rFonts w:asciiTheme="minorHAnsi" w:hAnsiTheme="minorHAnsi" w:cstheme="minorHAnsi"/>
        </w:rPr>
        <w:t>. A</w:t>
      </w:r>
      <w:r w:rsidR="00387F91" w:rsidRPr="00387F91">
        <w:rPr>
          <w:rFonts w:asciiTheme="minorHAnsi" w:hAnsiTheme="minorHAnsi" w:cstheme="minorHAnsi"/>
        </w:rPr>
        <w:t>s noted earlier,</w:t>
      </w:r>
      <w:r w:rsidR="00CA5DE5" w:rsidRPr="00387F91">
        <w:rPr>
          <w:rFonts w:asciiTheme="minorHAnsi" w:hAnsiTheme="minorHAnsi" w:cstheme="minorHAnsi"/>
        </w:rPr>
        <w:t xml:space="preserve"> </w:t>
      </w:r>
      <w:r w:rsidR="00387F91" w:rsidRPr="00387F91">
        <w:rPr>
          <w:rFonts w:asciiTheme="minorHAnsi" w:hAnsiTheme="minorHAnsi" w:cstheme="minorHAnsi"/>
        </w:rPr>
        <w:t xml:space="preserve">both </w:t>
      </w:r>
      <w:r w:rsidR="00482F2D">
        <w:rPr>
          <w:rFonts w:asciiTheme="minorHAnsi" w:hAnsiTheme="minorHAnsi" w:cstheme="minorHAnsi"/>
        </w:rPr>
        <w:t xml:space="preserve">Foxtel and </w:t>
      </w:r>
      <w:r w:rsidR="00CA5DE5" w:rsidRPr="00387F91">
        <w:rPr>
          <w:rFonts w:asciiTheme="minorHAnsi" w:hAnsiTheme="minorHAnsi" w:cstheme="minorHAnsi"/>
        </w:rPr>
        <w:t>the VAST service provide access to</w:t>
      </w:r>
      <w:r w:rsidR="00B7760F" w:rsidRPr="00387F91">
        <w:rPr>
          <w:rFonts w:asciiTheme="minorHAnsi" w:hAnsiTheme="minorHAnsi" w:cstheme="minorHAnsi"/>
        </w:rPr>
        <w:t xml:space="preserve"> a</w:t>
      </w:r>
      <w:r w:rsidR="00CA5DE5" w:rsidRPr="00387F91">
        <w:rPr>
          <w:rFonts w:asciiTheme="minorHAnsi" w:hAnsiTheme="minorHAnsi" w:cstheme="minorHAnsi"/>
        </w:rPr>
        <w:t xml:space="preserve"> range of radio services, </w:t>
      </w:r>
      <w:r w:rsidR="00482F2D">
        <w:rPr>
          <w:rFonts w:asciiTheme="minorHAnsi" w:hAnsiTheme="minorHAnsi" w:cstheme="minorHAnsi"/>
        </w:rPr>
        <w:t xml:space="preserve">including </w:t>
      </w:r>
      <w:r w:rsidR="00CA5DE5" w:rsidRPr="00387F91">
        <w:rPr>
          <w:rFonts w:asciiTheme="minorHAnsi" w:hAnsiTheme="minorHAnsi" w:cstheme="minorHAnsi"/>
        </w:rPr>
        <w:t xml:space="preserve">some </w:t>
      </w:r>
      <w:r w:rsidR="00B7760F" w:rsidRPr="00387F91">
        <w:rPr>
          <w:rFonts w:asciiTheme="minorHAnsi" w:hAnsiTheme="minorHAnsi" w:cstheme="minorHAnsi"/>
        </w:rPr>
        <w:t>digital-</w:t>
      </w:r>
      <w:r w:rsidR="00CA5DE5" w:rsidRPr="00387F91">
        <w:rPr>
          <w:rFonts w:asciiTheme="minorHAnsi" w:hAnsiTheme="minorHAnsi" w:cstheme="minorHAnsi"/>
        </w:rPr>
        <w:t>only</w:t>
      </w:r>
      <w:r w:rsidR="00482F2D">
        <w:rPr>
          <w:rFonts w:asciiTheme="minorHAnsi" w:hAnsiTheme="minorHAnsi" w:cstheme="minorHAnsi"/>
        </w:rPr>
        <w:t xml:space="preserve"> national broadcaster </w:t>
      </w:r>
      <w:r w:rsidR="00856180">
        <w:rPr>
          <w:rFonts w:asciiTheme="minorHAnsi" w:hAnsiTheme="minorHAnsi" w:cstheme="minorHAnsi"/>
        </w:rPr>
        <w:t xml:space="preserve">radio </w:t>
      </w:r>
      <w:r w:rsidR="00482F2D">
        <w:rPr>
          <w:rFonts w:asciiTheme="minorHAnsi" w:hAnsiTheme="minorHAnsi" w:cstheme="minorHAnsi"/>
        </w:rPr>
        <w:t>services on VAST</w:t>
      </w:r>
      <w:r w:rsidR="005077CA" w:rsidRPr="00387F91">
        <w:rPr>
          <w:rFonts w:asciiTheme="minorHAnsi" w:hAnsiTheme="minorHAnsi" w:cstheme="minorHAnsi"/>
        </w:rPr>
        <w:t>.</w:t>
      </w:r>
    </w:p>
    <w:p w14:paraId="7AC190E7" w14:textId="359FAFA4" w:rsidR="005077CA" w:rsidRDefault="00DA1BC6" w:rsidP="005077CA">
      <w:pPr>
        <w:pStyle w:val="BodyText"/>
        <w:rPr>
          <w:rFonts w:asciiTheme="minorHAnsi" w:hAnsiTheme="minorHAnsi" w:cstheme="minorHAnsi"/>
        </w:rPr>
      </w:pPr>
      <w:r>
        <w:rPr>
          <w:rFonts w:asciiTheme="minorHAnsi" w:hAnsiTheme="minorHAnsi" w:cstheme="minorHAnsi"/>
        </w:rPr>
        <w:t xml:space="preserve">The </w:t>
      </w:r>
      <w:r w:rsidR="005077CA" w:rsidRPr="00E5315D">
        <w:rPr>
          <w:rFonts w:asciiTheme="minorHAnsi" w:hAnsiTheme="minorHAnsi" w:cstheme="minorHAnsi"/>
        </w:rPr>
        <w:t>CRA’s submission notes that satellite broadcasting is barely viable in the United States, even after the merger of Sirius and XM, with only 6 per cent of the population subscribing.</w:t>
      </w:r>
      <w:r w:rsidR="005077CA" w:rsidRPr="00E5315D">
        <w:rPr>
          <w:rStyle w:val="FootnoteReference"/>
          <w:rFonts w:asciiTheme="minorHAnsi" w:hAnsiTheme="minorHAnsi" w:cstheme="minorHAnsi"/>
        </w:rPr>
        <w:footnoteReference w:id="21"/>
      </w:r>
      <w:r w:rsidR="005077CA" w:rsidRPr="00E5315D">
        <w:rPr>
          <w:rFonts w:asciiTheme="minorHAnsi" w:hAnsiTheme="minorHAnsi" w:cstheme="minorHAnsi"/>
        </w:rPr>
        <w:t xml:space="preserve"> BA in its submission also noted that some areas in Australia would not be able to receive satellite-delivered signals.</w:t>
      </w:r>
      <w:r w:rsidR="005077CA" w:rsidRPr="00E5315D">
        <w:rPr>
          <w:rStyle w:val="FootnoteReference"/>
          <w:rFonts w:asciiTheme="minorHAnsi" w:hAnsiTheme="minorHAnsi" w:cstheme="minorHAnsi"/>
        </w:rPr>
        <w:footnoteReference w:id="22"/>
      </w:r>
      <w:r w:rsidR="005077CA" w:rsidRPr="00E5315D">
        <w:rPr>
          <w:rFonts w:asciiTheme="minorHAnsi" w:hAnsiTheme="minorHAnsi" w:cstheme="minorHAnsi"/>
        </w:rPr>
        <w:t xml:space="preserve"> Transmission arrangements for satellite-delivered digital radio generally require the use of terrestrial repeaters in cities to compensate for satellite signal shadowing. </w:t>
      </w:r>
      <w:r w:rsidR="004224E5">
        <w:rPr>
          <w:rFonts w:asciiTheme="minorHAnsi" w:hAnsiTheme="minorHAnsi" w:cstheme="minorHAnsi"/>
        </w:rPr>
        <w:t>Internationally, a</w:t>
      </w:r>
      <w:r w:rsidR="005077CA" w:rsidRPr="00E5315D">
        <w:rPr>
          <w:rFonts w:asciiTheme="minorHAnsi" w:hAnsiTheme="minorHAnsi" w:cstheme="minorHAnsi"/>
        </w:rPr>
        <w:t>ccess to satellite-delivered digital radio is generally subscription based and domestic reception of satellite-delivered digital radio generally requires receivers to have outdoor antennas to ensure in-home operation. The ANRA commented that while satellite radio may be a future opportunity for the delivery of digital radio, Australia’s relatively small population may not make it a viable option.</w:t>
      </w:r>
      <w:r w:rsidR="005077CA" w:rsidRPr="00E5315D">
        <w:rPr>
          <w:rStyle w:val="FootnoteReference"/>
          <w:rFonts w:asciiTheme="minorHAnsi" w:hAnsiTheme="minorHAnsi" w:cstheme="minorHAnsi"/>
        </w:rPr>
        <w:footnoteReference w:id="23"/>
      </w:r>
    </w:p>
    <w:p w14:paraId="6989E400" w14:textId="62E4BDE0"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There are approximately 50 million radio sets across Australia, with an average of 5 sets per household</w:t>
      </w:r>
      <w:r w:rsidR="0001627E">
        <w:rPr>
          <w:rFonts w:asciiTheme="minorHAnsi" w:hAnsiTheme="minorHAnsi" w:cstheme="minorHAnsi"/>
        </w:rPr>
        <w:t>.</w:t>
      </w:r>
      <w:r w:rsidRPr="00E5315D">
        <w:rPr>
          <w:rStyle w:val="FootnoteReference"/>
          <w:rFonts w:asciiTheme="minorHAnsi" w:hAnsiTheme="minorHAnsi" w:cstheme="minorHAnsi"/>
        </w:rPr>
        <w:footnoteReference w:id="24"/>
      </w:r>
      <w:r w:rsidR="00542027">
        <w:rPr>
          <w:rFonts w:asciiTheme="minorHAnsi" w:hAnsiTheme="minorHAnsi" w:cstheme="minorHAnsi"/>
        </w:rPr>
        <w:t xml:space="preserve"> It is likely that </w:t>
      </w:r>
      <w:r w:rsidRPr="00E5315D">
        <w:rPr>
          <w:rFonts w:asciiTheme="minorHAnsi" w:hAnsiTheme="minorHAnsi" w:cstheme="minorHAnsi"/>
        </w:rPr>
        <w:t xml:space="preserve">consumers will </w:t>
      </w:r>
      <w:r w:rsidR="00AD4752">
        <w:rPr>
          <w:rFonts w:asciiTheme="minorHAnsi" w:hAnsiTheme="minorHAnsi" w:cstheme="minorHAnsi"/>
        </w:rPr>
        <w:t>expect the same digital radio technology to be used to provide coverage in their homes, offices and where they travel</w:t>
      </w:r>
      <w:r w:rsidRPr="00E5315D">
        <w:rPr>
          <w:rFonts w:asciiTheme="minorHAnsi" w:hAnsiTheme="minorHAnsi" w:cstheme="minorHAnsi"/>
        </w:rPr>
        <w:t xml:space="preserve">, or </w:t>
      </w:r>
      <w:r w:rsidR="00542027">
        <w:rPr>
          <w:rFonts w:asciiTheme="minorHAnsi" w:hAnsiTheme="minorHAnsi" w:cstheme="minorHAnsi"/>
        </w:rPr>
        <w:t xml:space="preserve">alternatively </w:t>
      </w:r>
      <w:r w:rsidRPr="00E5315D">
        <w:rPr>
          <w:rFonts w:asciiTheme="minorHAnsi" w:hAnsiTheme="minorHAnsi" w:cstheme="minorHAnsi"/>
        </w:rPr>
        <w:t>will expect a</w:t>
      </w:r>
      <w:r w:rsidR="00542027">
        <w:rPr>
          <w:rFonts w:asciiTheme="minorHAnsi" w:hAnsiTheme="minorHAnsi" w:cstheme="minorHAnsi"/>
        </w:rPr>
        <w:t>n affordable</w:t>
      </w:r>
      <w:r w:rsidR="0016076F">
        <w:rPr>
          <w:rFonts w:asciiTheme="minorHAnsi" w:hAnsiTheme="minorHAnsi" w:cstheme="minorHAnsi"/>
        </w:rPr>
        <w:t xml:space="preserve"> and portable</w:t>
      </w:r>
      <w:r w:rsidRPr="00E5315D">
        <w:rPr>
          <w:rFonts w:asciiTheme="minorHAnsi" w:hAnsiTheme="minorHAnsi" w:cstheme="minorHAnsi"/>
        </w:rPr>
        <w:t xml:space="preserve"> device that receives all digital </w:t>
      </w:r>
      <w:r w:rsidR="00542027">
        <w:rPr>
          <w:rFonts w:asciiTheme="minorHAnsi" w:hAnsiTheme="minorHAnsi" w:cstheme="minorHAnsi"/>
        </w:rPr>
        <w:t xml:space="preserve">radio </w:t>
      </w:r>
      <w:r w:rsidRPr="00E5315D">
        <w:rPr>
          <w:rFonts w:asciiTheme="minorHAnsi" w:hAnsiTheme="minorHAnsi" w:cstheme="minorHAnsi"/>
        </w:rPr>
        <w:t>services available to them</w:t>
      </w:r>
      <w:r w:rsidR="004224E5">
        <w:rPr>
          <w:rFonts w:asciiTheme="minorHAnsi" w:hAnsiTheme="minorHAnsi" w:cstheme="minorHAnsi"/>
        </w:rPr>
        <w:t xml:space="preserve"> and provides seamless transfer between services</w:t>
      </w:r>
      <w:r w:rsidRPr="00E5315D">
        <w:rPr>
          <w:rFonts w:asciiTheme="minorHAnsi" w:hAnsiTheme="minorHAnsi" w:cstheme="minorHAnsi"/>
        </w:rPr>
        <w:t xml:space="preserve">. It is </w:t>
      </w:r>
      <w:r w:rsidR="004224E5">
        <w:rPr>
          <w:rFonts w:asciiTheme="minorHAnsi" w:hAnsiTheme="minorHAnsi" w:cstheme="minorHAnsi"/>
        </w:rPr>
        <w:t>less likely</w:t>
      </w:r>
      <w:r w:rsidR="004224E5" w:rsidRPr="00E5315D">
        <w:rPr>
          <w:rFonts w:asciiTheme="minorHAnsi" w:hAnsiTheme="minorHAnsi" w:cstheme="minorHAnsi"/>
        </w:rPr>
        <w:t xml:space="preserve"> </w:t>
      </w:r>
      <w:r w:rsidRPr="00E5315D">
        <w:rPr>
          <w:rFonts w:asciiTheme="minorHAnsi" w:hAnsiTheme="minorHAnsi" w:cstheme="minorHAnsi"/>
        </w:rPr>
        <w:t xml:space="preserve">that consumers would want to purchase one receiver for DAB+ and another receiver for a different technology such as DRM (even if such receivers were available on the Australian market). </w:t>
      </w:r>
    </w:p>
    <w:p w14:paraId="23939E7F" w14:textId="77777777" w:rsidR="005077CA" w:rsidRPr="00E5315D" w:rsidRDefault="005077CA" w:rsidP="005077CA">
      <w:pPr>
        <w:pStyle w:val="BodyText"/>
        <w:rPr>
          <w:rFonts w:asciiTheme="minorHAnsi" w:hAnsiTheme="minorHAnsi" w:cstheme="minorHAnsi"/>
          <w:i/>
        </w:rPr>
      </w:pPr>
      <w:r w:rsidRPr="00E5315D">
        <w:rPr>
          <w:rFonts w:asciiTheme="minorHAnsi" w:hAnsiTheme="minorHAnsi" w:cstheme="minorHAnsi"/>
          <w:i/>
        </w:rPr>
        <w:t>Streamed platforms</w:t>
      </w:r>
    </w:p>
    <w:p w14:paraId="798703DB" w14:textId="73C32EBA" w:rsidR="005077CA" w:rsidRDefault="00642AE7" w:rsidP="005077CA">
      <w:pPr>
        <w:rPr>
          <w:rFonts w:asciiTheme="minorHAnsi" w:hAnsiTheme="minorHAnsi" w:cstheme="minorHAnsi"/>
        </w:rPr>
      </w:pPr>
      <w:r>
        <w:rPr>
          <w:rFonts w:asciiTheme="minorHAnsi" w:hAnsiTheme="minorHAnsi" w:cstheme="minorHAnsi"/>
        </w:rPr>
        <w:t>The 2011 r</w:t>
      </w:r>
      <w:r w:rsidR="005077CA" w:rsidRPr="00E5315D">
        <w:rPr>
          <w:rFonts w:asciiTheme="minorHAnsi" w:hAnsiTheme="minorHAnsi" w:cstheme="minorHAnsi"/>
        </w:rPr>
        <w:t xml:space="preserve">eview </w:t>
      </w:r>
      <w:r>
        <w:rPr>
          <w:rFonts w:asciiTheme="minorHAnsi" w:hAnsiTheme="minorHAnsi" w:cstheme="minorHAnsi"/>
        </w:rPr>
        <w:t xml:space="preserve">report </w:t>
      </w:r>
      <w:r w:rsidR="005077CA" w:rsidRPr="00E5315D">
        <w:rPr>
          <w:rFonts w:asciiTheme="minorHAnsi" w:hAnsiTheme="minorHAnsi" w:cstheme="minorHAnsi"/>
        </w:rPr>
        <w:t>noted that technological developments such as MP3 players and the internet were starting to influence listening patterns</w:t>
      </w:r>
      <w:r w:rsidR="00A60C12">
        <w:rPr>
          <w:rFonts w:asciiTheme="minorHAnsi" w:hAnsiTheme="minorHAnsi" w:cstheme="minorHAnsi"/>
        </w:rPr>
        <w:t>.</w:t>
      </w:r>
      <w:r w:rsidR="005077CA" w:rsidRPr="00E5315D">
        <w:rPr>
          <w:rStyle w:val="FootnoteReference"/>
          <w:rFonts w:asciiTheme="minorHAnsi" w:hAnsiTheme="minorHAnsi" w:cstheme="minorHAnsi"/>
        </w:rPr>
        <w:footnoteReference w:id="25"/>
      </w:r>
      <w:r w:rsidR="00A60C12">
        <w:rPr>
          <w:rFonts w:asciiTheme="minorHAnsi" w:hAnsiTheme="minorHAnsi" w:cstheme="minorHAnsi"/>
        </w:rPr>
        <w:t xml:space="preserve"> </w:t>
      </w:r>
      <w:r w:rsidR="005077CA" w:rsidRPr="00E5315D">
        <w:rPr>
          <w:rFonts w:asciiTheme="minorHAnsi" w:hAnsiTheme="minorHAnsi" w:cstheme="minorHAnsi"/>
        </w:rPr>
        <w:t>A</w:t>
      </w:r>
      <w:r w:rsidR="00C7714F">
        <w:rPr>
          <w:rFonts w:asciiTheme="minorHAnsi" w:hAnsiTheme="minorHAnsi" w:cstheme="minorHAnsi"/>
        </w:rPr>
        <w:t>s already highlighted in this report, a</w:t>
      </w:r>
      <w:r w:rsidR="005077CA" w:rsidRPr="00E5315D">
        <w:rPr>
          <w:rFonts w:asciiTheme="minorHAnsi" w:hAnsiTheme="minorHAnsi" w:cstheme="minorHAnsi"/>
        </w:rPr>
        <w:t xml:space="preserve"> range of new audio services are becoming available through internet and mobile platforms, providing increasing competition for traditional </w:t>
      </w:r>
      <w:r w:rsidR="00851788" w:rsidRPr="00E5315D">
        <w:rPr>
          <w:rFonts w:asciiTheme="minorHAnsi" w:hAnsiTheme="minorHAnsi" w:cstheme="minorHAnsi"/>
        </w:rPr>
        <w:t>analogue</w:t>
      </w:r>
      <w:r w:rsidR="005077CA" w:rsidRPr="00E5315D">
        <w:rPr>
          <w:rFonts w:asciiTheme="minorHAnsi" w:hAnsiTheme="minorHAnsi" w:cstheme="minorHAnsi"/>
        </w:rPr>
        <w:t xml:space="preserve"> and DAB+ radio services. The growth of internet and mobile use has been accompanied by significant changes in the types of services available such as Spotify, Pandora, TuneIn Radio, iHeartRadio</w:t>
      </w:r>
      <w:r w:rsidR="00F953CD">
        <w:rPr>
          <w:rFonts w:asciiTheme="minorHAnsi" w:hAnsiTheme="minorHAnsi" w:cstheme="minorHAnsi"/>
        </w:rPr>
        <w:t>,</w:t>
      </w:r>
      <w:r w:rsidR="005077CA" w:rsidRPr="00E5315D">
        <w:rPr>
          <w:rFonts w:asciiTheme="minorHAnsi" w:hAnsiTheme="minorHAnsi" w:cstheme="minorHAnsi"/>
        </w:rPr>
        <w:t xml:space="preserve"> iTunes radio</w:t>
      </w:r>
      <w:r w:rsidR="00F953CD">
        <w:rPr>
          <w:rFonts w:asciiTheme="minorHAnsi" w:hAnsiTheme="minorHAnsi" w:cstheme="minorHAnsi"/>
        </w:rPr>
        <w:t xml:space="preserve"> </w:t>
      </w:r>
      <w:r w:rsidR="00F953CD" w:rsidRPr="00F953CD">
        <w:rPr>
          <w:rFonts w:asciiTheme="minorHAnsi" w:hAnsiTheme="minorHAnsi" w:cstheme="minorHAnsi"/>
        </w:rPr>
        <w:t>and Apple Music</w:t>
      </w:r>
      <w:r w:rsidR="005077CA" w:rsidRPr="00E5315D">
        <w:rPr>
          <w:rFonts w:asciiTheme="minorHAnsi" w:hAnsiTheme="minorHAnsi" w:cstheme="minorHAnsi"/>
        </w:rPr>
        <w:t xml:space="preserve">. These services allow listeners to access accounts through multiple devices, wirelessly integrate them through Bluetooth or other applications and provide an additional platform for streaming music and listening to radio services. Some platforms (e.g. Spotify) also allow listeners to download audio and stream it offline for </w:t>
      </w:r>
      <w:r w:rsidR="00874F5E">
        <w:rPr>
          <w:rFonts w:asciiTheme="minorHAnsi" w:hAnsiTheme="minorHAnsi" w:cstheme="minorHAnsi"/>
        </w:rPr>
        <w:t>limited</w:t>
      </w:r>
      <w:r w:rsidR="00874F5E" w:rsidRPr="00E5315D">
        <w:rPr>
          <w:rFonts w:asciiTheme="minorHAnsi" w:hAnsiTheme="minorHAnsi" w:cstheme="minorHAnsi"/>
        </w:rPr>
        <w:t xml:space="preserve"> </w:t>
      </w:r>
      <w:r w:rsidR="005077CA" w:rsidRPr="00E5315D">
        <w:rPr>
          <w:rFonts w:asciiTheme="minorHAnsi" w:hAnsiTheme="minorHAnsi" w:cstheme="minorHAnsi"/>
        </w:rPr>
        <w:t>periods.</w:t>
      </w:r>
    </w:p>
    <w:p w14:paraId="1DFEC7BA" w14:textId="24DC2207" w:rsidR="00A30D49" w:rsidRDefault="006D45D0" w:rsidP="00F953CD">
      <w:pPr>
        <w:rPr>
          <w:rFonts w:asciiTheme="minorHAnsi" w:hAnsiTheme="minorHAnsi" w:cstheme="minorHAnsi"/>
        </w:rPr>
      </w:pPr>
      <w:r>
        <w:rPr>
          <w:rFonts w:asciiTheme="minorHAnsi" w:hAnsiTheme="minorHAnsi" w:cstheme="minorHAnsi"/>
        </w:rPr>
        <w:t>The business model</w:t>
      </w:r>
      <w:r w:rsidR="000C3D3B">
        <w:rPr>
          <w:rFonts w:asciiTheme="minorHAnsi" w:hAnsiTheme="minorHAnsi" w:cstheme="minorHAnsi"/>
        </w:rPr>
        <w:t xml:space="preserve"> for music streaming</w:t>
      </w:r>
      <w:r>
        <w:rPr>
          <w:rFonts w:asciiTheme="minorHAnsi" w:hAnsiTheme="minorHAnsi" w:cstheme="minorHAnsi"/>
        </w:rPr>
        <w:t xml:space="preserve"> is still evolving</w:t>
      </w:r>
      <w:r w:rsidR="00EE407D">
        <w:rPr>
          <w:rFonts w:asciiTheme="minorHAnsi" w:hAnsiTheme="minorHAnsi" w:cstheme="minorHAnsi"/>
        </w:rPr>
        <w:t xml:space="preserve">. </w:t>
      </w:r>
      <w:r w:rsidR="001E2C67">
        <w:rPr>
          <w:rFonts w:asciiTheme="minorHAnsi" w:hAnsiTheme="minorHAnsi" w:cstheme="minorHAnsi"/>
        </w:rPr>
        <w:t xml:space="preserve">While subscriber growth continues, </w:t>
      </w:r>
      <w:r w:rsidR="00A30D49">
        <w:rPr>
          <w:rFonts w:asciiTheme="minorHAnsi" w:hAnsiTheme="minorHAnsi" w:cstheme="minorHAnsi"/>
        </w:rPr>
        <w:t>Spotify has reported it has tripled its losses in 2014 to $231.08 million compared to $79.74 million in 2013</w:t>
      </w:r>
      <w:r w:rsidR="00EE407D">
        <w:rPr>
          <w:rFonts w:asciiTheme="minorHAnsi" w:hAnsiTheme="minorHAnsi" w:cstheme="minorHAnsi"/>
        </w:rPr>
        <w:t xml:space="preserve">. </w:t>
      </w:r>
      <w:r w:rsidR="00A30D49">
        <w:rPr>
          <w:rFonts w:asciiTheme="minorHAnsi" w:hAnsiTheme="minorHAnsi" w:cstheme="minorHAnsi"/>
        </w:rPr>
        <w:t>This was attributed to substantial investments to enable streaming of videos</w:t>
      </w:r>
      <w:r w:rsidR="00EE407D">
        <w:rPr>
          <w:rFonts w:asciiTheme="minorHAnsi" w:hAnsiTheme="minorHAnsi" w:cstheme="minorHAnsi"/>
        </w:rPr>
        <w:t>.</w:t>
      </w:r>
      <w:r w:rsidR="00EE407D" w:rsidDel="00A60C12">
        <w:rPr>
          <w:rFonts w:asciiTheme="minorHAnsi" w:hAnsiTheme="minorHAnsi" w:cstheme="minorHAnsi"/>
        </w:rPr>
        <w:t xml:space="preserve"> </w:t>
      </w:r>
      <w:r w:rsidR="00A30D49">
        <w:rPr>
          <w:rFonts w:asciiTheme="minorHAnsi" w:hAnsiTheme="minorHAnsi" w:cstheme="minorHAnsi"/>
        </w:rPr>
        <w:t xml:space="preserve">Of </w:t>
      </w:r>
      <w:r w:rsidR="000C3D3B">
        <w:rPr>
          <w:rFonts w:asciiTheme="minorHAnsi" w:hAnsiTheme="minorHAnsi" w:cstheme="minorHAnsi"/>
        </w:rPr>
        <w:t>Spotify’s</w:t>
      </w:r>
      <w:r w:rsidR="00A30D49">
        <w:rPr>
          <w:rFonts w:asciiTheme="minorHAnsi" w:hAnsiTheme="minorHAnsi" w:cstheme="minorHAnsi"/>
        </w:rPr>
        <w:t xml:space="preserve"> 60 million</w:t>
      </w:r>
      <w:r w:rsidR="00A60C12">
        <w:rPr>
          <w:rFonts w:asciiTheme="minorHAnsi" w:hAnsiTheme="minorHAnsi" w:cstheme="minorHAnsi"/>
        </w:rPr>
        <w:t xml:space="preserve"> </w:t>
      </w:r>
      <w:r w:rsidR="00A30D49">
        <w:rPr>
          <w:rFonts w:asciiTheme="minorHAnsi" w:hAnsiTheme="minorHAnsi" w:cstheme="minorHAnsi"/>
        </w:rPr>
        <w:t xml:space="preserve">users, </w:t>
      </w:r>
      <w:r w:rsidR="00295F08">
        <w:rPr>
          <w:rFonts w:asciiTheme="minorHAnsi" w:hAnsiTheme="minorHAnsi" w:cstheme="minorHAnsi"/>
        </w:rPr>
        <w:t xml:space="preserve">only 15 million are paying subscribers and account for 91 per cent of the company’s </w:t>
      </w:r>
      <w:r>
        <w:rPr>
          <w:rFonts w:asciiTheme="minorHAnsi" w:hAnsiTheme="minorHAnsi" w:cstheme="minorHAnsi"/>
        </w:rPr>
        <w:t>revenue</w:t>
      </w:r>
      <w:r w:rsidR="00EE407D">
        <w:rPr>
          <w:rFonts w:asciiTheme="minorHAnsi" w:hAnsiTheme="minorHAnsi" w:cstheme="minorHAnsi"/>
        </w:rPr>
        <w:t>.</w:t>
      </w:r>
      <w:r w:rsidR="00A30D49" w:rsidRPr="0060119C">
        <w:rPr>
          <w:rStyle w:val="FootnoteReference"/>
          <w:rFonts w:asciiTheme="minorHAnsi" w:hAnsiTheme="minorHAnsi" w:cstheme="minorHAnsi"/>
        </w:rPr>
        <w:footnoteReference w:id="26"/>
      </w:r>
      <w:r w:rsidR="00F953CD">
        <w:rPr>
          <w:rFonts w:asciiTheme="minorHAnsi" w:hAnsiTheme="minorHAnsi" w:cstheme="minorHAnsi"/>
        </w:rPr>
        <w:t xml:space="preserve"> </w:t>
      </w:r>
      <w:r w:rsidR="00F953CD" w:rsidRPr="00F953CD">
        <w:rPr>
          <w:rFonts w:asciiTheme="minorHAnsi" w:hAnsiTheme="minorHAnsi" w:cstheme="minorHAnsi"/>
        </w:rPr>
        <w:t>Apple Music is a paid subscription streaming music service which allow</w:t>
      </w:r>
      <w:r w:rsidR="00C32CE1">
        <w:rPr>
          <w:rFonts w:asciiTheme="minorHAnsi" w:hAnsiTheme="minorHAnsi" w:cstheme="minorHAnsi"/>
        </w:rPr>
        <w:t>s</w:t>
      </w:r>
      <w:r w:rsidR="00F953CD" w:rsidRPr="00F953CD">
        <w:rPr>
          <w:rFonts w:asciiTheme="minorHAnsi" w:hAnsiTheme="minorHAnsi" w:cstheme="minorHAnsi"/>
        </w:rPr>
        <w:t xml:space="preserve"> users to access the Apple Music catalogue as well as Apple Music Radio and Apple Music Connect (a social network for music). Apple Music radio include</w:t>
      </w:r>
      <w:r w:rsidR="00C32CE1">
        <w:rPr>
          <w:rFonts w:asciiTheme="minorHAnsi" w:hAnsiTheme="minorHAnsi" w:cstheme="minorHAnsi"/>
        </w:rPr>
        <w:t>s</w:t>
      </w:r>
      <w:r w:rsidR="00F953CD" w:rsidRPr="00F953CD">
        <w:rPr>
          <w:rFonts w:asciiTheme="minorHAnsi" w:hAnsiTheme="minorHAnsi" w:cstheme="minorHAnsi"/>
        </w:rPr>
        <w:t xml:space="preserve"> a 24 hour global radio station, Beats 1. Apple Music may be attractive to consumers who are already familiar with Apple’s hardware (such as the iPhone), software platforms (including iOS) and cloud storage and cloud computing service (iCloud).</w:t>
      </w:r>
    </w:p>
    <w:p w14:paraId="071AD1CF" w14:textId="4EFE1803" w:rsidR="001B0F8E" w:rsidRPr="00E5315D" w:rsidRDefault="00501FC0" w:rsidP="005077CA">
      <w:pPr>
        <w:rPr>
          <w:rFonts w:asciiTheme="minorHAnsi" w:hAnsiTheme="minorHAnsi" w:cstheme="minorHAnsi"/>
        </w:rPr>
      </w:pPr>
      <w:r w:rsidRPr="00E5315D">
        <w:rPr>
          <w:rFonts w:asciiTheme="minorHAnsi" w:hAnsiTheme="minorHAnsi" w:cstheme="minorHAnsi"/>
        </w:rPr>
        <w:t>The</w:t>
      </w:r>
      <w:r>
        <w:rPr>
          <w:rFonts w:asciiTheme="minorHAnsi" w:hAnsiTheme="minorHAnsi" w:cstheme="minorHAnsi"/>
        </w:rPr>
        <w:t xml:space="preserve"> review notes that the</w:t>
      </w:r>
      <w:r w:rsidRPr="00E5315D">
        <w:rPr>
          <w:rFonts w:asciiTheme="minorHAnsi" w:hAnsiTheme="minorHAnsi" w:cstheme="minorHAnsi"/>
        </w:rPr>
        <w:t xml:space="preserve"> ABC has developed a number of smartphone apps to respond to the growth in online listening</w:t>
      </w:r>
      <w:r w:rsidR="00EE407D">
        <w:rPr>
          <w:rFonts w:asciiTheme="minorHAnsi" w:hAnsiTheme="minorHAnsi" w:cstheme="minorHAnsi"/>
        </w:rPr>
        <w:t xml:space="preserve">. </w:t>
      </w:r>
      <w:r>
        <w:rPr>
          <w:rFonts w:asciiTheme="minorHAnsi" w:hAnsiTheme="minorHAnsi" w:cstheme="minorHAnsi"/>
        </w:rPr>
        <w:t>The ABC recently announced that ABC radio will stream an additional 14</w:t>
      </w:r>
      <w:r w:rsidR="00E44AB5">
        <w:rPr>
          <w:rFonts w:asciiTheme="minorHAnsi" w:hAnsiTheme="minorHAnsi" w:cstheme="minorHAnsi"/>
        </w:rPr>
        <w:t xml:space="preserve"> </w:t>
      </w:r>
      <w:r>
        <w:rPr>
          <w:rFonts w:asciiTheme="minorHAnsi" w:hAnsiTheme="minorHAnsi" w:cstheme="minorHAnsi"/>
        </w:rPr>
        <w:t>regional services across Australia from 1 July 2015 as part of its digital commitment to rural and regional Australia.</w:t>
      </w:r>
      <w:r>
        <w:rPr>
          <w:rStyle w:val="FootnoteReference"/>
          <w:rFonts w:asciiTheme="minorHAnsi" w:hAnsiTheme="minorHAnsi" w:cstheme="minorHAnsi"/>
        </w:rPr>
        <w:footnoteReference w:id="27"/>
      </w:r>
      <w:r>
        <w:rPr>
          <w:rFonts w:asciiTheme="minorHAnsi" w:hAnsiTheme="minorHAnsi" w:cstheme="minorHAnsi"/>
        </w:rPr>
        <w:t xml:space="preserve"> </w:t>
      </w:r>
      <w:r w:rsidRPr="00E5315D">
        <w:rPr>
          <w:rFonts w:asciiTheme="minorHAnsi" w:hAnsiTheme="minorHAnsi" w:cstheme="minorHAnsi"/>
        </w:rPr>
        <w:t>SBS</w:t>
      </w:r>
      <w:r w:rsidR="00874F5E">
        <w:rPr>
          <w:rFonts w:asciiTheme="minorHAnsi" w:hAnsiTheme="minorHAnsi" w:cstheme="minorHAnsi"/>
        </w:rPr>
        <w:t xml:space="preserve"> also provides apps for radio (</w:t>
      </w:r>
      <w:r w:rsidR="00F20B07">
        <w:rPr>
          <w:rFonts w:asciiTheme="minorHAnsi" w:hAnsiTheme="minorHAnsi" w:cstheme="minorHAnsi"/>
        </w:rPr>
        <w:t>e.g.</w:t>
      </w:r>
      <w:r w:rsidR="00874F5E">
        <w:rPr>
          <w:rFonts w:asciiTheme="minorHAnsi" w:hAnsiTheme="minorHAnsi" w:cstheme="minorHAnsi"/>
        </w:rPr>
        <w:t xml:space="preserve"> SBS Chill) and</w:t>
      </w:r>
      <w:r w:rsidRPr="00E5315D">
        <w:rPr>
          <w:rFonts w:asciiTheme="minorHAnsi" w:hAnsiTheme="minorHAnsi" w:cstheme="minorHAnsi"/>
        </w:rPr>
        <w:t xml:space="preserve"> streams its language programs online </w:t>
      </w:r>
      <w:r w:rsidR="00874F5E">
        <w:rPr>
          <w:rFonts w:asciiTheme="minorHAnsi" w:hAnsiTheme="minorHAnsi" w:cstheme="minorHAnsi"/>
        </w:rPr>
        <w:t>including through</w:t>
      </w:r>
      <w:r w:rsidRPr="00E5315D">
        <w:rPr>
          <w:rFonts w:asciiTheme="minorHAnsi" w:hAnsiTheme="minorHAnsi" w:cstheme="minorHAnsi"/>
        </w:rPr>
        <w:t xml:space="preserve"> the SBS Your Language app, which is now available for both iOS and Android mobile operating systems.</w:t>
      </w:r>
    </w:p>
    <w:p w14:paraId="2A2A710B" w14:textId="13FAFC3E" w:rsidR="005077CA" w:rsidRPr="00E5315D" w:rsidRDefault="005077CA" w:rsidP="005077CA">
      <w:pPr>
        <w:rPr>
          <w:rFonts w:asciiTheme="minorHAnsi" w:hAnsiTheme="minorHAnsi" w:cstheme="minorHAnsi"/>
        </w:rPr>
      </w:pPr>
      <w:r w:rsidRPr="00E5315D">
        <w:rPr>
          <w:rFonts w:asciiTheme="minorHAnsi" w:hAnsiTheme="minorHAnsi" w:cstheme="minorHAnsi"/>
        </w:rPr>
        <w:t xml:space="preserve">A key issue is the extent to which such services can replace the easy portability of terrestrial radio broadcasts and allow radio services to be received in </w:t>
      </w:r>
      <w:r w:rsidR="00E8208F">
        <w:rPr>
          <w:rFonts w:asciiTheme="minorHAnsi" w:hAnsiTheme="minorHAnsi" w:cstheme="minorHAnsi"/>
        </w:rPr>
        <w:t>motor vehicles</w:t>
      </w:r>
      <w:r w:rsidRPr="00E5315D">
        <w:rPr>
          <w:rFonts w:asciiTheme="minorHAnsi" w:hAnsiTheme="minorHAnsi" w:cstheme="minorHAnsi"/>
        </w:rPr>
        <w:t>. A relevant consideration in this context is the way in which services are used in the online environment. With the move to new platforms and types of services, listeners are interacting differently with streamed audio and are expecting far greater levels of choice and personalisation of content at times of their choosing. New technologies are</w:t>
      </w:r>
      <w:r w:rsidR="00324501">
        <w:rPr>
          <w:rFonts w:asciiTheme="minorHAnsi" w:hAnsiTheme="minorHAnsi" w:cstheme="minorHAnsi"/>
        </w:rPr>
        <w:t xml:space="preserve"> generally</w:t>
      </w:r>
      <w:r w:rsidRPr="00E5315D">
        <w:rPr>
          <w:rFonts w:asciiTheme="minorHAnsi" w:hAnsiTheme="minorHAnsi" w:cstheme="minorHAnsi"/>
        </w:rPr>
        <w:t xml:space="preserve"> not simply about replacing traditional radio with an identical product</w:t>
      </w:r>
      <w:r w:rsidR="00EE407D">
        <w:rPr>
          <w:rFonts w:asciiTheme="minorHAnsi" w:hAnsiTheme="minorHAnsi" w:cstheme="minorHAnsi"/>
        </w:rPr>
        <w:t xml:space="preserve">. </w:t>
      </w:r>
    </w:p>
    <w:p w14:paraId="393F832C" w14:textId="77777777" w:rsidR="005077CA" w:rsidRPr="00E5315D" w:rsidRDefault="005077CA" w:rsidP="005077CA">
      <w:pPr>
        <w:rPr>
          <w:rFonts w:ascii="Times New Roman" w:hAnsi="Times New Roman" w:cs="Times New Roman"/>
          <w:sz w:val="24"/>
          <w:szCs w:val="24"/>
        </w:rPr>
      </w:pPr>
      <w:r w:rsidRPr="00E5315D">
        <w:rPr>
          <w:rFonts w:asciiTheme="minorHAnsi" w:hAnsiTheme="minorHAnsi" w:cstheme="minorHAnsi"/>
        </w:rPr>
        <w:t>In 2013, a Swedish research paper</w:t>
      </w:r>
      <w:r w:rsidRPr="00E5315D">
        <w:rPr>
          <w:rStyle w:val="FootnoteReference"/>
          <w:rFonts w:asciiTheme="minorHAnsi" w:hAnsiTheme="minorHAnsi" w:cstheme="minorHAnsi"/>
        </w:rPr>
        <w:footnoteReference w:id="28"/>
      </w:r>
      <w:r w:rsidRPr="00E5315D">
        <w:rPr>
          <w:rFonts w:asciiTheme="minorHAnsi" w:hAnsiTheme="minorHAnsi" w:cstheme="minorHAnsi"/>
        </w:rPr>
        <w:t xml:space="preserve"> was released that considered the replacement of a terrestrial radio broadcasting network with the use of cellular networks for the distribution of radio throughout Sweden. The paper concluded that the use of a cellular distribution network would not be a realistic alternative for multiple reasons, including high data costs. Similarly, the </w:t>
      </w:r>
      <w:r w:rsidRPr="00E5315D">
        <w:rPr>
          <w:rFonts w:asciiTheme="minorHAnsi" w:hAnsiTheme="minorHAnsi" w:cstheme="minorHAnsi"/>
          <w:i/>
        </w:rPr>
        <w:t>Broadcast or broadband</w:t>
      </w:r>
      <w:r w:rsidRPr="00E5315D">
        <w:rPr>
          <w:rFonts w:asciiTheme="minorHAnsi" w:hAnsiTheme="minorHAnsi" w:cstheme="minorHAnsi"/>
        </w:rPr>
        <w:t xml:space="preserve">? report commissioned in March 2014 by </w:t>
      </w:r>
      <w:r w:rsidR="00C265D8">
        <w:rPr>
          <w:rFonts w:asciiTheme="minorHAnsi" w:hAnsiTheme="minorHAnsi" w:cstheme="minorHAnsi"/>
        </w:rPr>
        <w:t>t</w:t>
      </w:r>
      <w:r w:rsidR="00C265D8" w:rsidRPr="00C265D8">
        <w:rPr>
          <w:rFonts w:asciiTheme="minorHAnsi" w:hAnsiTheme="minorHAnsi" w:cstheme="minorHAnsi"/>
        </w:rPr>
        <w:t xml:space="preserve">he Bavarian public broadcaster, Bayerischer Rundfunk, and the </w:t>
      </w:r>
      <w:r w:rsidR="00C265D8">
        <w:rPr>
          <w:rFonts w:asciiTheme="minorHAnsi" w:hAnsiTheme="minorHAnsi" w:cstheme="minorHAnsi"/>
        </w:rPr>
        <w:t xml:space="preserve">Bavarian </w:t>
      </w:r>
      <w:r w:rsidR="00C265D8" w:rsidRPr="00C265D8">
        <w:rPr>
          <w:rFonts w:asciiTheme="minorHAnsi" w:hAnsiTheme="minorHAnsi" w:cstheme="minorHAnsi"/>
        </w:rPr>
        <w:t xml:space="preserve">commercial broadcasting </w:t>
      </w:r>
      <w:r w:rsidR="00C265D8">
        <w:rPr>
          <w:rFonts w:asciiTheme="minorHAnsi" w:hAnsiTheme="minorHAnsi" w:cstheme="minorHAnsi"/>
        </w:rPr>
        <w:t>organisation</w:t>
      </w:r>
      <w:r w:rsidR="00C265D8" w:rsidRPr="00C265D8">
        <w:rPr>
          <w:rFonts w:asciiTheme="minorHAnsi" w:hAnsiTheme="minorHAnsi" w:cstheme="minorHAnsi"/>
        </w:rPr>
        <w:t>, Bayerische Landeszentrale fur neue Medien</w:t>
      </w:r>
      <w:r w:rsidR="00C265D8">
        <w:rPr>
          <w:rFonts w:asciiTheme="minorHAnsi" w:hAnsiTheme="minorHAnsi" w:cstheme="minorHAnsi"/>
        </w:rPr>
        <w:t>,</w:t>
      </w:r>
      <w:r w:rsidRPr="00E5315D">
        <w:rPr>
          <w:rFonts w:asciiTheme="minorHAnsi" w:hAnsiTheme="minorHAnsi" w:cstheme="minorHAnsi"/>
        </w:rPr>
        <w:t xml:space="preserve"> provided an analysis of radio transmission in Germany through DAB+ or Long Term Evolution (LTE) technologies. The report found that the costs of streamed radio services, roaming charges and the lack of anonymity for listeners to be significant disadvantages of both a LTE and a multimedia broadcast multicast service (eMBMS) distribution network.</w:t>
      </w:r>
      <w:r w:rsidRPr="00E5315D">
        <w:rPr>
          <w:rStyle w:val="FootnoteReference"/>
          <w:rFonts w:asciiTheme="minorHAnsi" w:hAnsiTheme="minorHAnsi" w:cstheme="minorHAnsi"/>
        </w:rPr>
        <w:footnoteReference w:id="29"/>
      </w:r>
      <w:r w:rsidR="0016076F">
        <w:rPr>
          <w:rFonts w:asciiTheme="minorHAnsi" w:hAnsiTheme="minorHAnsi" w:cstheme="minorHAnsi"/>
        </w:rPr>
        <w:t xml:space="preserve"> </w:t>
      </w:r>
    </w:p>
    <w:p w14:paraId="0D5FC1A0" w14:textId="51847713" w:rsidR="005077CA" w:rsidRPr="00E5315D" w:rsidRDefault="005077CA" w:rsidP="005077CA">
      <w:pPr>
        <w:pStyle w:val="BodyText"/>
        <w:rPr>
          <w:rFonts w:asciiTheme="minorHAnsi" w:hAnsiTheme="minorHAnsi" w:cstheme="minorHAnsi"/>
          <w:strike/>
        </w:rPr>
      </w:pPr>
      <w:r w:rsidRPr="00E5315D">
        <w:rPr>
          <w:rFonts w:asciiTheme="minorHAnsi" w:hAnsiTheme="minorHAnsi" w:cstheme="minorHAnsi"/>
        </w:rPr>
        <w:t xml:space="preserve">Public </w:t>
      </w:r>
      <w:r w:rsidR="0016076F">
        <w:rPr>
          <w:rFonts w:asciiTheme="minorHAnsi" w:hAnsiTheme="minorHAnsi" w:cstheme="minorHAnsi"/>
        </w:rPr>
        <w:t xml:space="preserve">and private </w:t>
      </w:r>
      <w:r w:rsidRPr="00E5315D">
        <w:rPr>
          <w:rFonts w:asciiTheme="minorHAnsi" w:hAnsiTheme="minorHAnsi" w:cstheme="minorHAnsi"/>
        </w:rPr>
        <w:t>wi-fi networks could provide an alternative to cellular networks for streamed delivery of audio services. In May 2014</w:t>
      </w:r>
      <w:r w:rsidR="002464F8">
        <w:rPr>
          <w:rFonts w:asciiTheme="minorHAnsi" w:hAnsiTheme="minorHAnsi" w:cstheme="minorHAnsi"/>
        </w:rPr>
        <w:t>,</w:t>
      </w:r>
      <w:r w:rsidRPr="00E5315D">
        <w:rPr>
          <w:rStyle w:val="FootnoteReference"/>
          <w:rFonts w:asciiTheme="minorHAnsi" w:hAnsiTheme="minorHAnsi" w:cstheme="minorHAnsi"/>
        </w:rPr>
        <w:footnoteReference w:id="30"/>
      </w:r>
      <w:r w:rsidRPr="00E5315D">
        <w:rPr>
          <w:rFonts w:asciiTheme="minorHAnsi" w:hAnsiTheme="minorHAnsi" w:cstheme="minorHAnsi"/>
        </w:rPr>
        <w:t xml:space="preserve"> Telstra announced that it was in the process of creating one of the world’s largest wi-fi networks to increase connectivity to all Australians, irrespective of whether they are a Telstra customer or not. Telstra expected that access would be available to two million </w:t>
      </w:r>
      <w:r w:rsidR="005B7590">
        <w:rPr>
          <w:rFonts w:asciiTheme="minorHAnsi" w:hAnsiTheme="minorHAnsi" w:cstheme="minorHAnsi"/>
        </w:rPr>
        <w:t>wi-fi</w:t>
      </w:r>
      <w:r w:rsidRPr="00E5315D">
        <w:rPr>
          <w:rFonts w:asciiTheme="minorHAnsi" w:hAnsiTheme="minorHAnsi" w:cstheme="minorHAnsi"/>
        </w:rPr>
        <w:t xml:space="preserve"> hotspots across the nation within five years. There are a wide range of other public wi-fi initiatives across Australia. For example, the Australian Capital Territory (ACT) government is rolling out free wi-fi services in town centres and commercial areas across the ACT in stages over 2014-15.</w:t>
      </w:r>
      <w:r w:rsidRPr="00E5315D">
        <w:rPr>
          <w:rStyle w:val="FootnoteReference"/>
          <w:rFonts w:asciiTheme="minorHAnsi" w:hAnsiTheme="minorHAnsi" w:cstheme="minorHAnsi"/>
        </w:rPr>
        <w:footnoteReference w:id="31"/>
      </w:r>
      <w:r w:rsidR="0016076F">
        <w:rPr>
          <w:rFonts w:asciiTheme="minorHAnsi" w:hAnsiTheme="minorHAnsi" w:cstheme="minorHAnsi"/>
        </w:rPr>
        <w:t xml:space="preserve"> Similarly</w:t>
      </w:r>
      <w:r w:rsidR="006A26D5">
        <w:rPr>
          <w:rFonts w:asciiTheme="minorHAnsi" w:hAnsiTheme="minorHAnsi" w:cstheme="minorHAnsi"/>
        </w:rPr>
        <w:t>,</w:t>
      </w:r>
      <w:r w:rsidR="0016076F">
        <w:rPr>
          <w:rFonts w:asciiTheme="minorHAnsi" w:hAnsiTheme="minorHAnsi" w:cstheme="minorHAnsi"/>
        </w:rPr>
        <w:t xml:space="preserve"> private wi</w:t>
      </w:r>
      <w:r w:rsidR="006A26D5">
        <w:rPr>
          <w:rFonts w:asciiTheme="minorHAnsi" w:hAnsiTheme="minorHAnsi" w:cstheme="minorHAnsi"/>
        </w:rPr>
        <w:t>-</w:t>
      </w:r>
      <w:r w:rsidR="0016076F">
        <w:rPr>
          <w:rFonts w:asciiTheme="minorHAnsi" w:hAnsiTheme="minorHAnsi" w:cstheme="minorHAnsi"/>
        </w:rPr>
        <w:t>fi could provide access to streamed audio in homes and businesses on mobile and fixed devices.</w:t>
      </w:r>
    </w:p>
    <w:p w14:paraId="132ED539"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BA’s submission cautioned that some groups may be unable to access streamed radio services either for socio-economic reasons or lack of mobile coverage, so that terrestrially delivered radio services would have continuing importance.</w:t>
      </w:r>
      <w:r w:rsidRPr="00E5315D">
        <w:rPr>
          <w:rStyle w:val="FootnoteReference"/>
          <w:rFonts w:asciiTheme="minorHAnsi" w:hAnsiTheme="minorHAnsi" w:cstheme="minorHAnsi"/>
        </w:rPr>
        <w:footnoteReference w:id="32"/>
      </w:r>
      <w:r w:rsidRPr="00E5315D">
        <w:rPr>
          <w:rFonts w:asciiTheme="minorHAnsi" w:hAnsiTheme="minorHAnsi" w:cstheme="minorHAnsi"/>
        </w:rPr>
        <w:t xml:space="preserve"> SBS, in its submission to the review, expressed similar reservations on the use of online services providing an equitable alternative to terrestrial services, particularly for listeners who lack digital literacy.</w:t>
      </w:r>
      <w:r w:rsidRPr="00E5315D">
        <w:rPr>
          <w:rStyle w:val="FootnoteReference"/>
          <w:rFonts w:asciiTheme="minorHAnsi" w:hAnsiTheme="minorHAnsi" w:cstheme="minorHAnsi"/>
        </w:rPr>
        <w:footnoteReference w:id="33"/>
      </w:r>
    </w:p>
    <w:p w14:paraId="1FB51FD8" w14:textId="0EC5F33A" w:rsidR="00814460" w:rsidRDefault="005F6065" w:rsidP="009D4AF8">
      <w:pPr>
        <w:rPr>
          <w:rFonts w:asciiTheme="minorHAnsi" w:hAnsiTheme="minorHAnsi" w:cstheme="minorHAnsi"/>
        </w:rPr>
      </w:pPr>
      <w:r>
        <w:rPr>
          <w:rFonts w:asciiTheme="minorHAnsi" w:hAnsiTheme="minorHAnsi" w:cstheme="minorHAnsi"/>
        </w:rPr>
        <w:t xml:space="preserve">The </w:t>
      </w:r>
      <w:r w:rsidR="005077CA" w:rsidRPr="00E5315D">
        <w:rPr>
          <w:rFonts w:asciiTheme="minorHAnsi" w:hAnsiTheme="minorHAnsi" w:cstheme="minorHAnsi"/>
        </w:rPr>
        <w:t xml:space="preserve">CRA also expressed concerns over a reliance solely on a streamed radio delivery platform. </w:t>
      </w:r>
      <w:r>
        <w:rPr>
          <w:rFonts w:asciiTheme="minorHAnsi" w:hAnsiTheme="minorHAnsi" w:cstheme="minorHAnsi"/>
        </w:rPr>
        <w:t>The CRA</w:t>
      </w:r>
      <w:r w:rsidR="005077CA" w:rsidRPr="00E5315D">
        <w:rPr>
          <w:rFonts w:asciiTheme="minorHAnsi" w:hAnsiTheme="minorHAnsi" w:cstheme="minorHAnsi"/>
        </w:rPr>
        <w:t xml:space="preserve"> submission noted a number of disadvantages that streamed radio posed for the listener: radio would not </w:t>
      </w:r>
      <w:r w:rsidR="005077CA" w:rsidRPr="00E5315D">
        <w:rPr>
          <w:rStyle w:val="Text-Normal"/>
          <w:sz w:val="22"/>
          <w:szCs w:val="22"/>
        </w:rPr>
        <w:t>be fr</w:t>
      </w:r>
      <w:r w:rsidR="005B7590">
        <w:rPr>
          <w:rStyle w:val="Text-Normal"/>
          <w:sz w:val="22"/>
          <w:szCs w:val="22"/>
        </w:rPr>
        <w:t>ee-</w:t>
      </w:r>
      <w:r w:rsidR="005077CA" w:rsidRPr="00E5315D">
        <w:rPr>
          <w:rStyle w:val="Text-Normal"/>
          <w:sz w:val="22"/>
          <w:szCs w:val="22"/>
        </w:rPr>
        <w:t>to</w:t>
      </w:r>
      <w:r w:rsidR="005B7590">
        <w:rPr>
          <w:rStyle w:val="Text-Normal"/>
          <w:sz w:val="22"/>
          <w:szCs w:val="22"/>
        </w:rPr>
        <w:t>-</w:t>
      </w:r>
      <w:r w:rsidR="005077CA" w:rsidRPr="00E5315D">
        <w:rPr>
          <w:rStyle w:val="Text-Normal"/>
          <w:sz w:val="22"/>
          <w:szCs w:val="22"/>
        </w:rPr>
        <w:t>air; listening would be restricted to a telecommunications coverage area; at times of high activity, the radio st</w:t>
      </w:r>
      <w:r w:rsidR="005D0FD4">
        <w:rPr>
          <w:rStyle w:val="Text-Normal"/>
          <w:sz w:val="22"/>
          <w:szCs w:val="22"/>
        </w:rPr>
        <w:t>r</w:t>
      </w:r>
      <w:r w:rsidR="005077CA" w:rsidRPr="00E5315D">
        <w:rPr>
          <w:rStyle w:val="Text-Normal"/>
          <w:sz w:val="22"/>
          <w:szCs w:val="22"/>
        </w:rPr>
        <w:t>eam could be subject to interruptions and streamed radio would use up listeners’ data plans and drain phone batteries.</w:t>
      </w:r>
      <w:r w:rsidR="005077CA" w:rsidRPr="00E5315D">
        <w:rPr>
          <w:rStyle w:val="FootnoteReference"/>
          <w:color w:val="000000"/>
        </w:rPr>
        <w:footnoteReference w:id="34"/>
      </w:r>
      <w:r w:rsidR="005077CA" w:rsidRPr="00E5315D">
        <w:rPr>
          <w:rStyle w:val="Text-Normal"/>
          <w:sz w:val="22"/>
          <w:szCs w:val="22"/>
        </w:rPr>
        <w:t xml:space="preserve"> </w:t>
      </w:r>
      <w:r w:rsidR="005077CA" w:rsidRPr="00E5315D">
        <w:t xml:space="preserve">A </w:t>
      </w:r>
      <w:r w:rsidR="00A30D49">
        <w:t>November 2014</w:t>
      </w:r>
      <w:r w:rsidR="005077CA" w:rsidRPr="00E5315D">
        <w:t xml:space="preserve"> report </w:t>
      </w:r>
      <w:r w:rsidR="00C4423D">
        <w:t xml:space="preserve">produced </w:t>
      </w:r>
      <w:r w:rsidR="00E8208F" w:rsidRPr="00E5315D">
        <w:t xml:space="preserve">by Professor Reg Coutts </w:t>
      </w:r>
      <w:r w:rsidR="005077CA" w:rsidRPr="00E5315D">
        <w:t>for</w:t>
      </w:r>
      <w:r>
        <w:t xml:space="preserve"> the</w:t>
      </w:r>
      <w:r w:rsidR="005077CA" w:rsidRPr="00E5315D">
        <w:t xml:space="preserve"> CRA</w:t>
      </w:r>
      <w:r w:rsidR="005077CA" w:rsidRPr="00E5315D">
        <w:rPr>
          <w:rStyle w:val="FootnoteReference"/>
        </w:rPr>
        <w:footnoteReference w:id="35"/>
      </w:r>
      <w:r w:rsidR="005077CA" w:rsidRPr="00E5315D">
        <w:t xml:space="preserve"> concluded that there were technical and economic reasons for radio to use free</w:t>
      </w:r>
      <w:r w:rsidR="005B7590">
        <w:t>-</w:t>
      </w:r>
      <w:r w:rsidR="005077CA" w:rsidRPr="00E5315D">
        <w:t>to</w:t>
      </w:r>
      <w:r w:rsidR="005B7590">
        <w:t>-</w:t>
      </w:r>
      <w:r w:rsidR="005077CA" w:rsidRPr="00E5315D">
        <w:t>air broadcast rather than stream over LTE in both regional and metropolitan areas. Professor Coutts identified a number of reasons for his conclusion, including the limited range of LTE broadcast; the significant impact on mobile cell capacity for other users’ applications; no handover mechanism from LTE broadcast to one to one streaming on 3G or 4G resulting in service drop out at the edge of the LTE broadcast area; and cost impacts on network operators, broadcasters and listeners.</w:t>
      </w:r>
      <w:r w:rsidR="0031351A">
        <w:t xml:space="preserve"> </w:t>
      </w:r>
      <w:r>
        <w:t xml:space="preserve">The </w:t>
      </w:r>
      <w:r w:rsidR="0031351A">
        <w:t>CRA reported that 1.5 million more listeners use a DAB device rather than streaming.</w:t>
      </w:r>
      <w:r w:rsidR="0031351A">
        <w:rPr>
          <w:rStyle w:val="FootnoteReference"/>
        </w:rPr>
        <w:footnoteReference w:id="36"/>
      </w:r>
    </w:p>
    <w:p w14:paraId="2B54E067" w14:textId="04433A61" w:rsidR="00814460" w:rsidRPr="009D4AF8" w:rsidRDefault="00814460" w:rsidP="009D4AF8">
      <w:pPr>
        <w:rPr>
          <w:rFonts w:asciiTheme="minorHAnsi" w:hAnsiTheme="minorHAnsi" w:cstheme="minorHAnsi"/>
          <w:i/>
        </w:rPr>
      </w:pPr>
      <w:r w:rsidRPr="009D4AF8">
        <w:rPr>
          <w:rFonts w:asciiTheme="minorHAnsi" w:hAnsiTheme="minorHAnsi" w:cstheme="minorHAnsi"/>
          <w:i/>
        </w:rPr>
        <w:t xml:space="preserve">Digital </w:t>
      </w:r>
      <w:r w:rsidR="00EF00C5">
        <w:rPr>
          <w:rFonts w:asciiTheme="minorHAnsi" w:hAnsiTheme="minorHAnsi" w:cstheme="minorHAnsi"/>
          <w:i/>
        </w:rPr>
        <w:t>r</w:t>
      </w:r>
      <w:r w:rsidRPr="009D4AF8">
        <w:rPr>
          <w:rFonts w:asciiTheme="minorHAnsi" w:hAnsiTheme="minorHAnsi" w:cstheme="minorHAnsi"/>
          <w:i/>
        </w:rPr>
        <w:t xml:space="preserve">adio in </w:t>
      </w:r>
      <w:r w:rsidR="00EF00C5">
        <w:rPr>
          <w:rFonts w:asciiTheme="minorHAnsi" w:hAnsiTheme="minorHAnsi" w:cstheme="minorHAnsi"/>
          <w:i/>
        </w:rPr>
        <w:t>m</w:t>
      </w:r>
      <w:r w:rsidRPr="009D4AF8">
        <w:rPr>
          <w:rFonts w:asciiTheme="minorHAnsi" w:hAnsiTheme="minorHAnsi" w:cstheme="minorHAnsi"/>
          <w:i/>
        </w:rPr>
        <w:t xml:space="preserve">otor </w:t>
      </w:r>
      <w:r w:rsidR="00EF00C5">
        <w:rPr>
          <w:rFonts w:asciiTheme="minorHAnsi" w:hAnsiTheme="minorHAnsi" w:cstheme="minorHAnsi"/>
          <w:i/>
        </w:rPr>
        <w:t>v</w:t>
      </w:r>
      <w:r w:rsidRPr="009D4AF8">
        <w:rPr>
          <w:rFonts w:asciiTheme="minorHAnsi" w:hAnsiTheme="minorHAnsi" w:cstheme="minorHAnsi"/>
          <w:i/>
        </w:rPr>
        <w:t>ehicles</w:t>
      </w:r>
    </w:p>
    <w:p w14:paraId="723186CA" w14:textId="2CCDC649" w:rsidR="005077CA" w:rsidRPr="00E5315D" w:rsidRDefault="005077CA" w:rsidP="008E51DA">
      <w:pPr>
        <w:rPr>
          <w:rFonts w:asciiTheme="minorHAnsi" w:hAnsiTheme="minorHAnsi" w:cstheme="minorHAnsi"/>
        </w:rPr>
      </w:pPr>
      <w:r w:rsidRPr="00E5315D">
        <w:rPr>
          <w:rFonts w:asciiTheme="minorHAnsi" w:hAnsiTheme="minorHAnsi" w:cstheme="minorHAnsi"/>
        </w:rPr>
        <w:t>Approximately 35 per cent of radio listening in Australia takes place in the car</w:t>
      </w:r>
      <w:r w:rsidRPr="00E5315D">
        <w:rPr>
          <w:rStyle w:val="FootnoteReference"/>
          <w:rFonts w:asciiTheme="minorHAnsi" w:hAnsiTheme="minorHAnsi" w:cstheme="minorHAnsi"/>
        </w:rPr>
        <w:footnoteReference w:id="37"/>
      </w:r>
      <w:r w:rsidRPr="00E5315D">
        <w:rPr>
          <w:rFonts w:asciiTheme="minorHAnsi" w:hAnsiTheme="minorHAnsi" w:cstheme="minorHAnsi"/>
        </w:rPr>
        <w:t xml:space="preserve"> and the adoption of a specific radio technology by car manufacturers can be integral to its take up and success. In its </w:t>
      </w:r>
      <w:r w:rsidR="00372D6F">
        <w:rPr>
          <w:rFonts w:asciiTheme="minorHAnsi" w:hAnsiTheme="minorHAnsi" w:cstheme="minorHAnsi"/>
        </w:rPr>
        <w:t>2014</w:t>
      </w:r>
      <w:r w:rsidR="00372D6F" w:rsidRPr="00E5315D">
        <w:rPr>
          <w:rFonts w:asciiTheme="minorHAnsi" w:hAnsiTheme="minorHAnsi" w:cstheme="minorHAnsi"/>
        </w:rPr>
        <w:t xml:space="preserve"> </w:t>
      </w:r>
      <w:r w:rsidRPr="00E5315D">
        <w:rPr>
          <w:rFonts w:asciiTheme="minorHAnsi" w:hAnsiTheme="minorHAnsi" w:cstheme="minorHAnsi"/>
        </w:rPr>
        <w:t xml:space="preserve">report on digital radio, </w:t>
      </w:r>
      <w:r w:rsidR="005F6065">
        <w:rPr>
          <w:rFonts w:asciiTheme="minorHAnsi" w:hAnsiTheme="minorHAnsi" w:cstheme="minorHAnsi"/>
        </w:rPr>
        <w:t xml:space="preserve">the </w:t>
      </w:r>
      <w:r w:rsidRPr="00E5315D">
        <w:rPr>
          <w:rFonts w:asciiTheme="minorHAnsi" w:hAnsiTheme="minorHAnsi" w:cstheme="minorHAnsi"/>
        </w:rPr>
        <w:t xml:space="preserve">CRA has reported that in-car listening of DAB+ radio </w:t>
      </w:r>
      <w:r w:rsidR="00372D6F">
        <w:rPr>
          <w:rFonts w:asciiTheme="minorHAnsi" w:hAnsiTheme="minorHAnsi" w:cstheme="minorHAnsi"/>
        </w:rPr>
        <w:t xml:space="preserve">was </w:t>
      </w:r>
      <w:r w:rsidRPr="00E5315D">
        <w:rPr>
          <w:rFonts w:asciiTheme="minorHAnsi" w:hAnsiTheme="minorHAnsi" w:cstheme="minorHAnsi"/>
        </w:rPr>
        <w:t>at 10.8</w:t>
      </w:r>
      <w:r w:rsidR="005D0FD4">
        <w:rPr>
          <w:rFonts w:asciiTheme="minorHAnsi" w:hAnsiTheme="minorHAnsi" w:cstheme="minorHAnsi"/>
        </w:rPr>
        <w:t> </w:t>
      </w:r>
      <w:r w:rsidRPr="00E5315D">
        <w:rPr>
          <w:rFonts w:asciiTheme="minorHAnsi" w:hAnsiTheme="minorHAnsi" w:cstheme="minorHAnsi"/>
        </w:rPr>
        <w:t>per</w:t>
      </w:r>
      <w:r w:rsidR="003F01FF">
        <w:rPr>
          <w:rFonts w:asciiTheme="minorHAnsi" w:hAnsiTheme="minorHAnsi" w:cstheme="minorHAnsi"/>
        </w:rPr>
        <w:t> </w:t>
      </w:r>
      <w:r w:rsidRPr="00E5315D">
        <w:rPr>
          <w:rFonts w:asciiTheme="minorHAnsi" w:hAnsiTheme="minorHAnsi" w:cstheme="minorHAnsi"/>
        </w:rPr>
        <w:t>cent of total time spent listening from midnight to midnight of all people aged 10 and over, up from 4.9 per cent in 2011.</w:t>
      </w:r>
      <w:r w:rsidRPr="00E5315D">
        <w:rPr>
          <w:rStyle w:val="FootnoteReference"/>
          <w:rFonts w:asciiTheme="minorHAnsi" w:hAnsiTheme="minorHAnsi" w:cstheme="minorHAnsi"/>
        </w:rPr>
        <w:footnoteReference w:id="38"/>
      </w:r>
      <w:r w:rsidRPr="00E5315D">
        <w:rPr>
          <w:rFonts w:asciiTheme="minorHAnsi" w:hAnsiTheme="minorHAnsi" w:cstheme="minorHAnsi"/>
        </w:rPr>
        <w:t xml:space="preserve"> The CBAA acknowledged that, while progress has been made, further work is needed to encourage integration of DAB+ radios into cars in Australia.</w:t>
      </w:r>
      <w:r w:rsidRPr="00E5315D">
        <w:rPr>
          <w:rStyle w:val="FootnoteReference"/>
          <w:rFonts w:asciiTheme="minorHAnsi" w:hAnsiTheme="minorHAnsi" w:cstheme="minorHAnsi"/>
        </w:rPr>
        <w:footnoteReference w:id="39"/>
      </w:r>
      <w:r w:rsidRPr="00E5315D" w:rsidDel="00254645">
        <w:rPr>
          <w:rFonts w:asciiTheme="minorHAnsi" w:hAnsiTheme="minorHAnsi" w:cstheme="minorHAnsi"/>
        </w:rPr>
        <w:t xml:space="preserve"> </w:t>
      </w:r>
      <w:r w:rsidR="005F6065">
        <w:rPr>
          <w:rFonts w:asciiTheme="minorHAnsi" w:hAnsiTheme="minorHAnsi" w:cstheme="minorHAnsi"/>
        </w:rPr>
        <w:t xml:space="preserve">The </w:t>
      </w:r>
      <w:r w:rsidRPr="00E5315D">
        <w:rPr>
          <w:rFonts w:asciiTheme="minorHAnsi" w:hAnsiTheme="minorHAnsi" w:cstheme="minorHAnsi"/>
        </w:rPr>
        <w:t xml:space="preserve">CRA reported </w:t>
      </w:r>
      <w:r w:rsidR="00922F4D">
        <w:rPr>
          <w:rFonts w:asciiTheme="minorHAnsi" w:hAnsiTheme="minorHAnsi" w:cstheme="minorHAnsi"/>
        </w:rPr>
        <w:t>in 201</w:t>
      </w:r>
      <w:r w:rsidR="0062215C">
        <w:rPr>
          <w:rFonts w:asciiTheme="minorHAnsi" w:hAnsiTheme="minorHAnsi" w:cstheme="minorHAnsi"/>
        </w:rPr>
        <w:t>5</w:t>
      </w:r>
      <w:r w:rsidR="00922F4D">
        <w:rPr>
          <w:rFonts w:asciiTheme="minorHAnsi" w:hAnsiTheme="minorHAnsi" w:cstheme="minorHAnsi"/>
        </w:rPr>
        <w:t xml:space="preserve"> </w:t>
      </w:r>
      <w:r w:rsidRPr="00E5315D">
        <w:rPr>
          <w:rFonts w:asciiTheme="minorHAnsi" w:hAnsiTheme="minorHAnsi" w:cstheme="minorHAnsi"/>
        </w:rPr>
        <w:t>that a total of 15</w:t>
      </w:r>
      <w:r w:rsidR="0062215C">
        <w:rPr>
          <w:rFonts w:asciiTheme="minorHAnsi" w:hAnsiTheme="minorHAnsi" w:cstheme="minorHAnsi"/>
        </w:rPr>
        <w:t>3,000</w:t>
      </w:r>
      <w:r w:rsidRPr="00E5315D">
        <w:rPr>
          <w:rFonts w:asciiTheme="minorHAnsi" w:hAnsiTheme="minorHAnsi" w:cstheme="minorHAnsi"/>
        </w:rPr>
        <w:t xml:space="preserve"> new vehicles have been sold </w:t>
      </w:r>
      <w:r w:rsidR="00E8208F">
        <w:rPr>
          <w:rFonts w:asciiTheme="minorHAnsi" w:hAnsiTheme="minorHAnsi" w:cstheme="minorHAnsi"/>
        </w:rPr>
        <w:t xml:space="preserve">nationwide </w:t>
      </w:r>
      <w:r w:rsidRPr="00E5315D">
        <w:rPr>
          <w:rFonts w:asciiTheme="minorHAnsi" w:hAnsiTheme="minorHAnsi" w:cstheme="minorHAnsi"/>
        </w:rPr>
        <w:t>with DAB+ digital radio included</w:t>
      </w:r>
      <w:r w:rsidR="00EE407D">
        <w:rPr>
          <w:rFonts w:asciiTheme="minorHAnsi" w:hAnsiTheme="minorHAnsi" w:cstheme="minorHAnsi"/>
        </w:rPr>
        <w:t>.</w:t>
      </w:r>
      <w:r w:rsidR="00922F4D">
        <w:rPr>
          <w:rStyle w:val="FootnoteReference"/>
          <w:rFonts w:asciiTheme="minorHAnsi" w:hAnsiTheme="minorHAnsi" w:cstheme="minorHAnsi"/>
        </w:rPr>
        <w:footnoteReference w:id="40"/>
      </w:r>
      <w:r w:rsidR="0062215C">
        <w:rPr>
          <w:rFonts w:asciiTheme="minorHAnsi" w:hAnsiTheme="minorHAnsi" w:cstheme="minorHAnsi"/>
        </w:rPr>
        <w:t xml:space="preserve"> </w:t>
      </w:r>
      <w:r w:rsidRPr="00E5315D">
        <w:rPr>
          <w:rFonts w:asciiTheme="minorHAnsi" w:hAnsiTheme="minorHAnsi" w:cstheme="minorHAnsi"/>
        </w:rPr>
        <w:t xml:space="preserve">DAB+ radios are now a standard feature in Toyota Camry, Aurion, Ford Focus and Nissan X-Trail vehicles and optional in a broad range of other vehicles offered by </w:t>
      </w:r>
      <w:r w:rsidR="007B7D5B">
        <w:rPr>
          <w:rFonts w:asciiTheme="minorHAnsi" w:hAnsiTheme="minorHAnsi" w:cstheme="minorHAnsi"/>
        </w:rPr>
        <w:t>21 car manufacturers in Australia.</w:t>
      </w:r>
      <w:r w:rsidR="007B7D5B">
        <w:rPr>
          <w:rStyle w:val="FootnoteReference"/>
          <w:rFonts w:asciiTheme="minorHAnsi" w:hAnsiTheme="minorHAnsi" w:cstheme="minorHAnsi"/>
        </w:rPr>
        <w:footnoteReference w:id="41"/>
      </w:r>
      <w:r w:rsidR="007B7D5B">
        <w:rPr>
          <w:rFonts w:asciiTheme="minorHAnsi" w:hAnsiTheme="minorHAnsi" w:cstheme="minorHAnsi"/>
        </w:rPr>
        <w:t xml:space="preserve"> </w:t>
      </w:r>
      <w:r w:rsidRPr="00E5315D">
        <w:rPr>
          <w:rFonts w:asciiTheme="minorHAnsi" w:hAnsiTheme="minorHAnsi" w:cstheme="minorHAnsi"/>
        </w:rPr>
        <w:t xml:space="preserve">After-market solutions are </w:t>
      </w:r>
      <w:r w:rsidR="004F0D29">
        <w:rPr>
          <w:rFonts w:asciiTheme="minorHAnsi" w:hAnsiTheme="minorHAnsi" w:cstheme="minorHAnsi"/>
        </w:rPr>
        <w:t xml:space="preserve">also </w:t>
      </w:r>
      <w:r w:rsidRPr="00E5315D">
        <w:rPr>
          <w:rFonts w:asciiTheme="minorHAnsi" w:hAnsiTheme="minorHAnsi" w:cstheme="minorHAnsi"/>
        </w:rPr>
        <w:t>offered by manufacturers including Alpine, JVC, Kenwood, Orion, Pioneer, Sony and Pure. It is estimated that almost half (46 per cent) of heavy vehicles in Australia now support DAB+.</w:t>
      </w:r>
      <w:r w:rsidRPr="00E5315D">
        <w:rPr>
          <w:rStyle w:val="FootnoteReference"/>
          <w:rFonts w:asciiTheme="minorHAnsi" w:hAnsiTheme="minorHAnsi" w:cstheme="minorHAnsi"/>
        </w:rPr>
        <w:footnoteReference w:id="42"/>
      </w:r>
    </w:p>
    <w:p w14:paraId="401FD373" w14:textId="77777777" w:rsidR="00B1638E" w:rsidRDefault="005077CA" w:rsidP="005077CA">
      <w:pPr>
        <w:pStyle w:val="BodyText"/>
        <w:rPr>
          <w:rFonts w:asciiTheme="minorHAnsi" w:hAnsiTheme="minorHAnsi" w:cstheme="minorHAnsi"/>
        </w:rPr>
      </w:pPr>
      <w:r w:rsidRPr="00E5315D">
        <w:rPr>
          <w:rFonts w:asciiTheme="minorHAnsi" w:hAnsiTheme="minorHAnsi" w:cstheme="minorHAnsi"/>
        </w:rPr>
        <w:t xml:space="preserve">Cars sold in Australia are also starting to integrate digital radio applications (apps) into car entertainment systems as standard. Some cars are offering car radios that mirror a smartphone, offering touchscreen experience and integrating services such as Pandora and TuneIn Radio. </w:t>
      </w:r>
    </w:p>
    <w:p w14:paraId="1FFFB354" w14:textId="538538FA" w:rsidR="00B1638E" w:rsidRDefault="005077CA" w:rsidP="005077CA">
      <w:pPr>
        <w:pStyle w:val="BodyText"/>
        <w:rPr>
          <w:rFonts w:asciiTheme="minorHAnsi" w:hAnsiTheme="minorHAnsi" w:cstheme="minorHAnsi"/>
        </w:rPr>
      </w:pPr>
      <w:r w:rsidRPr="00E5315D">
        <w:rPr>
          <w:rFonts w:asciiTheme="minorHAnsi" w:hAnsiTheme="minorHAnsi" w:cstheme="minorHAnsi"/>
        </w:rPr>
        <w:t xml:space="preserve">Significantly, Apple has partnered with </w:t>
      </w:r>
      <w:r w:rsidR="00694ECD">
        <w:rPr>
          <w:rFonts w:asciiTheme="minorHAnsi" w:hAnsiTheme="minorHAnsi" w:cstheme="minorHAnsi"/>
        </w:rPr>
        <w:t xml:space="preserve">31 </w:t>
      </w:r>
      <w:r w:rsidRPr="00E5315D">
        <w:rPr>
          <w:rFonts w:asciiTheme="minorHAnsi" w:hAnsiTheme="minorHAnsi" w:cstheme="minorHAnsi"/>
        </w:rPr>
        <w:t>car manufacturers</w:t>
      </w:r>
      <w:r w:rsidR="009D0DDE">
        <w:rPr>
          <w:rFonts w:asciiTheme="minorHAnsi" w:hAnsiTheme="minorHAnsi" w:cstheme="minorHAnsi"/>
        </w:rPr>
        <w:t xml:space="preserve"> (</w:t>
      </w:r>
      <w:r w:rsidRPr="00E5315D">
        <w:rPr>
          <w:rFonts w:asciiTheme="minorHAnsi" w:hAnsiTheme="minorHAnsi" w:cstheme="minorHAnsi"/>
        </w:rPr>
        <w:t>including Audi, Mercedes-Benz, Volvo, BMW, Ford, Hyundai, GM, and Honda</w:t>
      </w:r>
      <w:r w:rsidR="009D0DDE">
        <w:rPr>
          <w:rFonts w:asciiTheme="minorHAnsi" w:hAnsiTheme="minorHAnsi" w:cstheme="minorHAnsi"/>
        </w:rPr>
        <w:t>)</w:t>
      </w:r>
      <w:r w:rsidRPr="00E5315D">
        <w:rPr>
          <w:rFonts w:asciiTheme="minorHAnsi" w:hAnsiTheme="minorHAnsi" w:cstheme="minorHAnsi"/>
        </w:rPr>
        <w:t xml:space="preserve"> </w:t>
      </w:r>
      <w:r w:rsidR="009D0DDE">
        <w:rPr>
          <w:rFonts w:asciiTheme="minorHAnsi" w:hAnsiTheme="minorHAnsi" w:cstheme="minorHAnsi"/>
        </w:rPr>
        <w:t>and electronics companies (notably Pioneer) to introduce</w:t>
      </w:r>
      <w:r w:rsidRPr="00E5315D">
        <w:rPr>
          <w:rFonts w:asciiTheme="minorHAnsi" w:hAnsiTheme="minorHAnsi" w:cstheme="minorHAnsi"/>
        </w:rPr>
        <w:t xml:space="preserve"> its new CarPlay system </w:t>
      </w:r>
      <w:r w:rsidR="009D0DDE">
        <w:rPr>
          <w:rFonts w:asciiTheme="minorHAnsi" w:hAnsiTheme="minorHAnsi" w:cstheme="minorHAnsi"/>
        </w:rPr>
        <w:t xml:space="preserve">which became available in Australia in late October </w:t>
      </w:r>
      <w:r w:rsidRPr="00E5315D">
        <w:rPr>
          <w:rFonts w:asciiTheme="minorHAnsi" w:hAnsiTheme="minorHAnsi" w:cstheme="minorHAnsi"/>
        </w:rPr>
        <w:t>2014.</w:t>
      </w:r>
      <w:r w:rsidRPr="00E5315D">
        <w:rPr>
          <w:rStyle w:val="FootnoteReference"/>
          <w:rFonts w:asciiTheme="minorHAnsi" w:hAnsiTheme="minorHAnsi" w:cstheme="minorHAnsi"/>
        </w:rPr>
        <w:footnoteReference w:id="43"/>
      </w:r>
      <w:r w:rsidRPr="00E5315D">
        <w:rPr>
          <w:rFonts w:asciiTheme="minorHAnsi" w:hAnsiTheme="minorHAnsi" w:cstheme="minorHAnsi"/>
        </w:rPr>
        <w:t xml:space="preserve"> Designed to overlay an iPhone's display on a car's entertainment system, CarPlay includes support for several different iPhone apps such as Spotify, Beats Music and iHeartRadio. </w:t>
      </w:r>
    </w:p>
    <w:p w14:paraId="29A7007D" w14:textId="49D37714" w:rsidR="009D0DDE" w:rsidRDefault="005077CA" w:rsidP="005077CA">
      <w:pPr>
        <w:pStyle w:val="BodyText"/>
        <w:rPr>
          <w:rFonts w:asciiTheme="minorHAnsi" w:hAnsiTheme="minorHAnsi" w:cstheme="minorHAnsi"/>
        </w:rPr>
      </w:pPr>
      <w:r w:rsidRPr="00E5315D">
        <w:rPr>
          <w:rFonts w:asciiTheme="minorHAnsi" w:hAnsiTheme="minorHAnsi" w:cstheme="minorHAnsi"/>
        </w:rPr>
        <w:t xml:space="preserve">Similarly Google has partnered with </w:t>
      </w:r>
      <w:r w:rsidR="00694ECD">
        <w:rPr>
          <w:rFonts w:asciiTheme="minorHAnsi" w:hAnsiTheme="minorHAnsi" w:cstheme="minorHAnsi"/>
        </w:rPr>
        <w:t>28</w:t>
      </w:r>
      <w:r w:rsidRPr="00E5315D">
        <w:rPr>
          <w:rFonts w:asciiTheme="minorHAnsi" w:hAnsiTheme="minorHAnsi" w:cstheme="minorHAnsi"/>
        </w:rPr>
        <w:t xml:space="preserve"> car manufacturers </w:t>
      </w:r>
      <w:r w:rsidR="00650F95">
        <w:rPr>
          <w:rFonts w:asciiTheme="minorHAnsi" w:hAnsiTheme="minorHAnsi" w:cstheme="minorHAnsi"/>
        </w:rPr>
        <w:t xml:space="preserve">and electronics companies </w:t>
      </w:r>
      <w:r w:rsidR="00694ECD">
        <w:rPr>
          <w:rFonts w:asciiTheme="minorHAnsi" w:hAnsiTheme="minorHAnsi" w:cstheme="minorHAnsi"/>
        </w:rPr>
        <w:t xml:space="preserve">(including those identified above) </w:t>
      </w:r>
      <w:r w:rsidR="00650F95">
        <w:rPr>
          <w:rFonts w:asciiTheme="minorHAnsi" w:hAnsiTheme="minorHAnsi" w:cstheme="minorHAnsi"/>
        </w:rPr>
        <w:t xml:space="preserve">to </w:t>
      </w:r>
      <w:r w:rsidR="00694ECD">
        <w:rPr>
          <w:rFonts w:asciiTheme="minorHAnsi" w:hAnsiTheme="minorHAnsi" w:cstheme="minorHAnsi"/>
        </w:rPr>
        <w:t>launch</w:t>
      </w:r>
      <w:r w:rsidRPr="00E5315D">
        <w:rPr>
          <w:rFonts w:asciiTheme="minorHAnsi" w:hAnsiTheme="minorHAnsi" w:cstheme="minorHAnsi"/>
        </w:rPr>
        <w:t xml:space="preserve"> its</w:t>
      </w:r>
      <w:r w:rsidR="00D475EE">
        <w:rPr>
          <w:rFonts w:asciiTheme="minorHAnsi" w:hAnsiTheme="minorHAnsi" w:cstheme="minorHAnsi"/>
        </w:rPr>
        <w:t xml:space="preserve"> </w:t>
      </w:r>
      <w:r w:rsidRPr="00E5315D">
        <w:rPr>
          <w:rFonts w:asciiTheme="minorHAnsi" w:hAnsiTheme="minorHAnsi" w:cstheme="minorHAnsi"/>
        </w:rPr>
        <w:t>Android Auto system into cars</w:t>
      </w:r>
      <w:r w:rsidR="00694ECD">
        <w:rPr>
          <w:rFonts w:asciiTheme="minorHAnsi" w:hAnsiTheme="minorHAnsi" w:cstheme="minorHAnsi"/>
        </w:rPr>
        <w:t xml:space="preserve"> </w:t>
      </w:r>
      <w:r w:rsidR="009D0DDE">
        <w:rPr>
          <w:rFonts w:asciiTheme="minorHAnsi" w:hAnsiTheme="minorHAnsi" w:cstheme="minorHAnsi"/>
        </w:rPr>
        <w:t>i</w:t>
      </w:r>
      <w:r w:rsidR="00694ECD">
        <w:rPr>
          <w:rFonts w:asciiTheme="minorHAnsi" w:hAnsiTheme="minorHAnsi" w:cstheme="minorHAnsi"/>
        </w:rPr>
        <w:t>n March 2015</w:t>
      </w:r>
      <w:r w:rsidRPr="00E5315D">
        <w:rPr>
          <w:rFonts w:asciiTheme="minorHAnsi" w:hAnsiTheme="minorHAnsi" w:cstheme="minorHAnsi"/>
        </w:rPr>
        <w:t>.</w:t>
      </w:r>
      <w:r w:rsidRPr="00E5315D">
        <w:rPr>
          <w:rStyle w:val="FootnoteReference"/>
          <w:rFonts w:asciiTheme="minorHAnsi" w:hAnsiTheme="minorHAnsi" w:cstheme="minorHAnsi"/>
        </w:rPr>
        <w:footnoteReference w:id="44"/>
      </w:r>
      <w:r w:rsidRPr="00E5315D">
        <w:rPr>
          <w:rFonts w:asciiTheme="minorHAnsi" w:hAnsiTheme="minorHAnsi" w:cstheme="minorHAnsi"/>
        </w:rPr>
        <w:t xml:space="preserve"> Android Auto allows drivers to access Google Maps, Google Play Music, Google Now and third-party applications such as Spotify and Pandora.</w:t>
      </w:r>
      <w:r w:rsidRPr="00E5315D">
        <w:rPr>
          <w:rStyle w:val="FootnoteReference"/>
          <w:rFonts w:asciiTheme="minorHAnsi" w:hAnsiTheme="minorHAnsi" w:cstheme="minorHAnsi"/>
        </w:rPr>
        <w:footnoteReference w:id="45"/>
      </w:r>
      <w:r w:rsidR="00694ECD">
        <w:rPr>
          <w:rFonts w:asciiTheme="minorHAnsi" w:hAnsiTheme="minorHAnsi" w:cstheme="minorHAnsi"/>
        </w:rPr>
        <w:t xml:space="preserve"> </w:t>
      </w:r>
    </w:p>
    <w:p w14:paraId="0B7D32E2" w14:textId="73973A89" w:rsidR="005077CA" w:rsidRPr="00E5315D" w:rsidRDefault="00694ECD" w:rsidP="005077CA">
      <w:pPr>
        <w:pStyle w:val="BodyText"/>
        <w:rPr>
          <w:rFonts w:asciiTheme="minorHAnsi" w:hAnsiTheme="minorHAnsi" w:cstheme="minorHAnsi"/>
        </w:rPr>
      </w:pPr>
      <w:r>
        <w:rPr>
          <w:rFonts w:asciiTheme="minorHAnsi" w:hAnsiTheme="minorHAnsi" w:cstheme="minorHAnsi"/>
        </w:rPr>
        <w:t xml:space="preserve">Pioneer has also introduced </w:t>
      </w:r>
      <w:r w:rsidR="00E13FAB">
        <w:rPr>
          <w:rFonts w:asciiTheme="minorHAnsi" w:hAnsiTheme="minorHAnsi" w:cstheme="minorHAnsi"/>
        </w:rPr>
        <w:t>a</w:t>
      </w:r>
      <w:r w:rsidR="00650F95">
        <w:rPr>
          <w:rFonts w:asciiTheme="minorHAnsi" w:hAnsiTheme="minorHAnsi" w:cstheme="minorHAnsi"/>
        </w:rPr>
        <w:t>n after-market</w:t>
      </w:r>
      <w:r w:rsidR="00E13FAB">
        <w:rPr>
          <w:rFonts w:asciiTheme="minorHAnsi" w:hAnsiTheme="minorHAnsi" w:cstheme="minorHAnsi"/>
        </w:rPr>
        <w:t xml:space="preserve"> model that </w:t>
      </w:r>
      <w:r w:rsidR="009D0DDE">
        <w:rPr>
          <w:rFonts w:asciiTheme="minorHAnsi" w:hAnsiTheme="minorHAnsi" w:cstheme="minorHAnsi"/>
        </w:rPr>
        <w:t>provides integrated access to</w:t>
      </w:r>
      <w:r w:rsidR="00E13FAB">
        <w:rPr>
          <w:rFonts w:asciiTheme="minorHAnsi" w:hAnsiTheme="minorHAnsi" w:cstheme="minorHAnsi"/>
        </w:rPr>
        <w:t xml:space="preserve"> both Google and Android </w:t>
      </w:r>
      <w:r w:rsidR="009D0DDE">
        <w:rPr>
          <w:rFonts w:asciiTheme="minorHAnsi" w:hAnsiTheme="minorHAnsi" w:cstheme="minorHAnsi"/>
        </w:rPr>
        <w:t>devices</w:t>
      </w:r>
      <w:r w:rsidR="00E13FAB">
        <w:rPr>
          <w:rFonts w:asciiTheme="minorHAnsi" w:hAnsiTheme="minorHAnsi" w:cstheme="minorHAnsi"/>
        </w:rPr>
        <w:t>.</w:t>
      </w:r>
      <w:r w:rsidR="00E13FAB">
        <w:rPr>
          <w:rStyle w:val="FootnoteReference"/>
          <w:rFonts w:asciiTheme="minorHAnsi" w:hAnsiTheme="minorHAnsi" w:cstheme="minorHAnsi"/>
        </w:rPr>
        <w:footnoteReference w:id="46"/>
      </w:r>
    </w:p>
    <w:p w14:paraId="2687A5E7"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BA observed in its submission that projections are for the increased penetration of in-car internet connected entertainment systems over the next 20 years. However, BA does not consider that streamed services to cars are likely to be a mass market solution in the foreseeable future.</w:t>
      </w:r>
      <w:r w:rsidRPr="00E5315D">
        <w:rPr>
          <w:rStyle w:val="FootnoteReference"/>
          <w:rFonts w:asciiTheme="minorHAnsi" w:hAnsiTheme="minorHAnsi" w:cstheme="minorHAnsi"/>
        </w:rPr>
        <w:footnoteReference w:id="47"/>
      </w:r>
      <w:r w:rsidRPr="00E5315D">
        <w:rPr>
          <w:rFonts w:asciiTheme="minorHAnsi" w:hAnsiTheme="minorHAnsi" w:cstheme="minorHAnsi"/>
        </w:rPr>
        <w:t xml:space="preserve"> </w:t>
      </w:r>
    </w:p>
    <w:p w14:paraId="06CE32E1" w14:textId="77777777" w:rsidR="005077CA" w:rsidRDefault="005077CA" w:rsidP="005077CA">
      <w:pPr>
        <w:pStyle w:val="BodyText"/>
        <w:rPr>
          <w:rFonts w:asciiTheme="minorHAnsi" w:hAnsiTheme="minorHAnsi" w:cstheme="minorHAnsi"/>
        </w:rPr>
      </w:pPr>
      <w:r w:rsidRPr="00E5315D">
        <w:rPr>
          <w:rFonts w:asciiTheme="minorHAnsi" w:hAnsiTheme="minorHAnsi" w:cstheme="minorHAnsi"/>
        </w:rPr>
        <w:t xml:space="preserve">While it is not clear </w:t>
      </w:r>
      <w:r w:rsidR="00803474">
        <w:rPr>
          <w:rFonts w:asciiTheme="minorHAnsi" w:hAnsiTheme="minorHAnsi" w:cstheme="minorHAnsi"/>
        </w:rPr>
        <w:t>what percentage of</w:t>
      </w:r>
      <w:r w:rsidRPr="00E5315D">
        <w:rPr>
          <w:rFonts w:asciiTheme="minorHAnsi" w:hAnsiTheme="minorHAnsi" w:cstheme="minorHAnsi"/>
        </w:rPr>
        <w:t xml:space="preserve"> car manufacturers will choose to fit integrated digital radio applications or DAB+ radios as standard in future (or a combination of both), the Department did find that the majority of car manufacturers install </w:t>
      </w:r>
      <w:r w:rsidR="00851788" w:rsidRPr="00E5315D">
        <w:rPr>
          <w:rFonts w:asciiTheme="minorHAnsi" w:hAnsiTheme="minorHAnsi" w:cstheme="minorHAnsi"/>
        </w:rPr>
        <w:t>analogue</w:t>
      </w:r>
      <w:r w:rsidRPr="00E5315D">
        <w:rPr>
          <w:rFonts w:asciiTheme="minorHAnsi" w:hAnsiTheme="minorHAnsi" w:cstheme="minorHAnsi"/>
        </w:rPr>
        <w:t xml:space="preserve"> radios along with digital radio or online apps in cars and do not currently plan on removing </w:t>
      </w:r>
      <w:r w:rsidR="00851788" w:rsidRPr="00E5315D">
        <w:rPr>
          <w:rFonts w:asciiTheme="minorHAnsi" w:hAnsiTheme="minorHAnsi" w:cstheme="minorHAnsi"/>
        </w:rPr>
        <w:t>analogue</w:t>
      </w:r>
      <w:r w:rsidRPr="00E5315D">
        <w:rPr>
          <w:rFonts w:asciiTheme="minorHAnsi" w:hAnsiTheme="minorHAnsi" w:cstheme="minorHAnsi"/>
        </w:rPr>
        <w:t xml:space="preserve"> AM or FM radios.</w:t>
      </w:r>
    </w:p>
    <w:p w14:paraId="2F8284E2" w14:textId="01F8DAAC" w:rsidR="0031351A" w:rsidRDefault="005F6065" w:rsidP="005077CA">
      <w:pPr>
        <w:pStyle w:val="BodyText"/>
        <w:rPr>
          <w:rFonts w:asciiTheme="minorHAnsi" w:hAnsiTheme="minorHAnsi" w:cstheme="minorHAnsi"/>
        </w:rPr>
      </w:pPr>
      <w:r>
        <w:rPr>
          <w:rFonts w:asciiTheme="minorHAnsi" w:hAnsiTheme="minorHAnsi" w:cstheme="minorHAnsi"/>
        </w:rPr>
        <w:t xml:space="preserve">The </w:t>
      </w:r>
      <w:r w:rsidR="0031351A">
        <w:rPr>
          <w:rFonts w:asciiTheme="minorHAnsi" w:hAnsiTheme="minorHAnsi" w:cstheme="minorHAnsi"/>
        </w:rPr>
        <w:t>CRA reported that the first DAB+ radio for boats is now available.</w:t>
      </w:r>
      <w:r w:rsidR="0031351A">
        <w:rPr>
          <w:rStyle w:val="FootnoteReference"/>
          <w:rFonts w:asciiTheme="minorHAnsi" w:hAnsiTheme="minorHAnsi" w:cstheme="minorHAnsi"/>
        </w:rPr>
        <w:footnoteReference w:id="48"/>
      </w:r>
    </w:p>
    <w:p w14:paraId="0A9823E5" w14:textId="77777777" w:rsidR="00151CD0" w:rsidRPr="00151CD0" w:rsidRDefault="00151CD0" w:rsidP="00151CD0">
      <w:pPr>
        <w:pStyle w:val="Heading2"/>
        <w:rPr>
          <w:i/>
        </w:rPr>
      </w:pPr>
      <w:bookmarkStart w:id="48" w:name="_Toc423532091"/>
      <w:r>
        <w:rPr>
          <w:i/>
        </w:rPr>
        <w:t>Frequencies used for</w:t>
      </w:r>
      <w:r w:rsidR="005077CA" w:rsidRPr="00E5315D">
        <w:rPr>
          <w:i/>
        </w:rPr>
        <w:t xml:space="preserve"> digital radio</w:t>
      </w:r>
      <w:bookmarkEnd w:id="48"/>
    </w:p>
    <w:p w14:paraId="09A5D17A" w14:textId="7B2CFD68" w:rsidR="00151CD0" w:rsidRDefault="00151CD0" w:rsidP="00151CD0">
      <w:bookmarkStart w:id="49" w:name="_Toc397522258"/>
      <w:bookmarkEnd w:id="49"/>
      <w:r>
        <w:t xml:space="preserve">DAB+ </w:t>
      </w:r>
      <w:r w:rsidR="00C82745">
        <w:t xml:space="preserve">services </w:t>
      </w:r>
      <w:r>
        <w:t>operate in VHF Band III (174 – 230 MHz</w:t>
      </w:r>
      <w:r w:rsidR="00C82745">
        <w:t xml:space="preserve"> in Australia and many other countries</w:t>
      </w:r>
      <w:r w:rsidR="00245A75">
        <w:t>)</w:t>
      </w:r>
      <w:r w:rsidR="00C82745">
        <w:t>.</w:t>
      </w:r>
      <w:r>
        <w:rPr>
          <w:rStyle w:val="FootnoteReference"/>
        </w:rPr>
        <w:footnoteReference w:id="49"/>
      </w:r>
      <w:r w:rsidR="00C82745">
        <w:t xml:space="preserve"> In its planning of this band for television services, t</w:t>
      </w:r>
      <w:r>
        <w:t xml:space="preserve">he ACMA </w:t>
      </w:r>
      <w:r w:rsidR="00C82745">
        <w:t xml:space="preserve">created a 14 </w:t>
      </w:r>
      <w:r w:rsidR="001145CA">
        <w:t>MHz</w:t>
      </w:r>
      <w:r w:rsidR="00C82745">
        <w:t xml:space="preserve"> digital radio sub-band comprising VHF television </w:t>
      </w:r>
      <w:r>
        <w:t xml:space="preserve">channels 9 and 9A, </w:t>
      </w:r>
      <w:r w:rsidR="004E2C0D">
        <w:t xml:space="preserve">which </w:t>
      </w:r>
      <w:r w:rsidR="00C82745">
        <w:t xml:space="preserve">is clear of digital television in metropolitan and regional licence areas. </w:t>
      </w:r>
      <w:r w:rsidR="00912F4B">
        <w:t>There is no further VHF Band III spectrum available for digital radio purposes</w:t>
      </w:r>
      <w:r w:rsidR="00A840C1">
        <w:t xml:space="preserve"> in metropolitan and regional television licence areas</w:t>
      </w:r>
      <w:r w:rsidR="00912F4B">
        <w:t xml:space="preserve">. </w:t>
      </w:r>
    </w:p>
    <w:p w14:paraId="7A218351" w14:textId="42E9B58D" w:rsidR="0040739E" w:rsidRDefault="00151CD0" w:rsidP="00151CD0">
      <w:r>
        <w:t>It is also possible for DAB+ to operate in the L</w:t>
      </w:r>
      <w:r w:rsidR="004E2C0D">
        <w:t>-</w:t>
      </w:r>
      <w:r>
        <w:t>Band spectrum (1452 – 1492 MHz).</w:t>
      </w:r>
      <w:r>
        <w:rPr>
          <w:rStyle w:val="FootnoteReference"/>
        </w:rPr>
        <w:footnoteReference w:id="50"/>
      </w:r>
      <w:r>
        <w:t xml:space="preserve"> </w:t>
      </w:r>
      <w:r w:rsidR="005F6065">
        <w:t xml:space="preserve">The </w:t>
      </w:r>
      <w:r>
        <w:t>CRA and the CBAA noted in their submissions</w:t>
      </w:r>
      <w:r w:rsidR="00C82745">
        <w:t xml:space="preserve"> that</w:t>
      </w:r>
      <w:r>
        <w:t xml:space="preserve"> the International Telecommunication Union (ITU) has reserved L</w:t>
      </w:r>
      <w:r w:rsidR="004E2C0D">
        <w:t>-</w:t>
      </w:r>
      <w:r>
        <w:t>Band spectrum internationally for DAB/DAB+ digital radio.</w:t>
      </w:r>
      <w:r>
        <w:rPr>
          <w:rStyle w:val="FootnoteReference"/>
        </w:rPr>
        <w:footnoteReference w:id="51"/>
      </w:r>
      <w:r>
        <w:t xml:space="preserve"> </w:t>
      </w:r>
      <w:r w:rsidR="00C82745">
        <w:t>Technically, the ITU Radio Regulations in 1992 were revised to include an ‘allocation’ (not a reservation) for the broadcasting service in the band 1452-1492 MHz</w:t>
      </w:r>
      <w:r w:rsidR="00EE407D">
        <w:t xml:space="preserve">. </w:t>
      </w:r>
      <w:r w:rsidR="00C82745">
        <w:t>This allocation is not exclusive as the band is also allocated to fixed, mobile and broadcasting satellite services</w:t>
      </w:r>
      <w:r w:rsidR="00EE407D">
        <w:t xml:space="preserve">. </w:t>
      </w:r>
      <w:r>
        <w:t>Currently, however, L</w:t>
      </w:r>
      <w:r w:rsidR="004E2C0D">
        <w:t>-</w:t>
      </w:r>
      <w:r>
        <w:t>Band spectrum is not used for digital radio in Australia</w:t>
      </w:r>
      <w:r>
        <w:rPr>
          <w:rStyle w:val="FootnoteReference"/>
        </w:rPr>
        <w:footnoteReference w:id="52"/>
      </w:r>
      <w:r>
        <w:t xml:space="preserve"> and </w:t>
      </w:r>
      <w:r w:rsidR="00C82745">
        <w:t>is not reserved for digital radio</w:t>
      </w:r>
      <w:r w:rsidR="00EE407D">
        <w:t xml:space="preserve">. </w:t>
      </w:r>
      <w:r w:rsidR="00C82745">
        <w:t>The 1.5 GHz Band Plan, made in 1996, limits the use of the band to existing fixed services in order to preserve future planning options</w:t>
      </w:r>
      <w:r w:rsidR="00EE407D">
        <w:t xml:space="preserve">. </w:t>
      </w:r>
      <w:r w:rsidR="005665B2">
        <w:t>This means</w:t>
      </w:r>
      <w:r w:rsidR="00C82745">
        <w:t xml:space="preserve"> the predominant use of the L-Band in Australia is for fixed services</w:t>
      </w:r>
      <w:r w:rsidR="00EE407D">
        <w:t xml:space="preserve">. </w:t>
      </w:r>
      <w:r w:rsidR="00C82745">
        <w:t xml:space="preserve">However, </w:t>
      </w:r>
      <w:r w:rsidR="00554258">
        <w:t xml:space="preserve">as noted by the ACMA, </w:t>
      </w:r>
      <w:r w:rsidR="00C82745">
        <w:t>this band is under consideration by the ITU-R as a candidate for mobile broadband.</w:t>
      </w:r>
      <w:r w:rsidR="00554258">
        <w:rPr>
          <w:rStyle w:val="FootnoteReference"/>
        </w:rPr>
        <w:footnoteReference w:id="53"/>
      </w:r>
      <w:r w:rsidR="00554258">
        <w:t xml:space="preserve"> </w:t>
      </w:r>
      <w:r w:rsidR="004E2C0D" w:rsidRPr="004E2C0D">
        <w:t>On 8 May 2015</w:t>
      </w:r>
      <w:r w:rsidR="004E2C0D">
        <w:t>,</w:t>
      </w:r>
      <w:r w:rsidR="004E2C0D" w:rsidRPr="004E2C0D">
        <w:t xml:space="preserve"> the European Commission adopted a decision to open up the 1452-1492 MHz frequency band for wireless broadband under harmonised technical conditions. This specific spectrum could be used for advanced mobile services such as audiovisual streaming or high-speed downloads.</w:t>
      </w:r>
      <w:r w:rsidR="00870EEF">
        <w:rPr>
          <w:rStyle w:val="FootnoteReference"/>
        </w:rPr>
        <w:footnoteReference w:id="54"/>
      </w:r>
    </w:p>
    <w:p w14:paraId="4656A226" w14:textId="462FC8C8" w:rsidR="00554258" w:rsidRDefault="00CE11DD" w:rsidP="00151CD0">
      <w:r>
        <w:t>It is also noted that not all DAB+ receivers currently available in Australia could tune to services in the L-Band.</w:t>
      </w:r>
      <w:r w:rsidR="004E2C0D" w:rsidRPr="004E2C0D">
        <w:rPr>
          <w:rFonts w:cs="Times New Roman"/>
        </w:rPr>
        <w:t xml:space="preserve"> </w:t>
      </w:r>
      <w:r w:rsidR="004E2C0D" w:rsidRPr="004E2C0D">
        <w:t>Additionally</w:t>
      </w:r>
      <w:r w:rsidR="004E2C0D">
        <w:t>,</w:t>
      </w:r>
      <w:r w:rsidR="004E2C0D" w:rsidRPr="004E2C0D">
        <w:t xml:space="preserve"> the World DMB Forum digital radio receiver profiles do not require inclusion of L-Band in receivers</w:t>
      </w:r>
      <w:r w:rsidR="00EE407D">
        <w:t>.</w:t>
      </w:r>
      <w:r w:rsidR="00870EEF">
        <w:rPr>
          <w:rStyle w:val="FootnoteReference"/>
        </w:rPr>
        <w:footnoteReference w:id="55"/>
      </w:r>
      <w:r w:rsidR="00EE407D">
        <w:t xml:space="preserve"> </w:t>
      </w:r>
      <w:r w:rsidR="008D5B30">
        <w:t>In a recent ITU-R survey on spectrum requirements for the future of sound and television broadcasting, only three of the 55 responses identified L-Band as in use by digital radio</w:t>
      </w:r>
      <w:r w:rsidR="00EE407D">
        <w:t xml:space="preserve">. </w:t>
      </w:r>
      <w:r w:rsidR="008D5B30">
        <w:t>Responses indicated DAB/DAB</w:t>
      </w:r>
      <w:r w:rsidR="00DD7EB8">
        <w:t>+</w:t>
      </w:r>
      <w:r w:rsidR="008D5B30">
        <w:t xml:space="preserve"> </w:t>
      </w:r>
      <w:r w:rsidR="00B95343">
        <w:t>services</w:t>
      </w:r>
      <w:r w:rsidR="008D5B30">
        <w:t xml:space="preserve"> </w:t>
      </w:r>
      <w:r w:rsidR="00B95343">
        <w:t>were</w:t>
      </w:r>
      <w:r w:rsidR="008D5B30">
        <w:t xml:space="preserve"> being provided by 15 </w:t>
      </w:r>
      <w:r w:rsidR="00B95343">
        <w:t>transmitters</w:t>
      </w:r>
      <w:r w:rsidR="00AF05B6">
        <w:t xml:space="preserve"> in L</w:t>
      </w:r>
      <w:r w:rsidR="00AF05B6">
        <w:noBreakHyphen/>
      </w:r>
      <w:r w:rsidR="008D5B30">
        <w:t xml:space="preserve">Band and over 3200 VHF band transmitters. </w:t>
      </w:r>
    </w:p>
    <w:p w14:paraId="049771B6" w14:textId="5DE65833" w:rsidR="00151CD0" w:rsidRDefault="00151CD0" w:rsidP="00151CD0">
      <w:r>
        <w:t xml:space="preserve">Both </w:t>
      </w:r>
      <w:r w:rsidR="005F6065">
        <w:t xml:space="preserve">the </w:t>
      </w:r>
      <w:r>
        <w:t>CRA and the CBAA suggested that the L</w:t>
      </w:r>
      <w:r w:rsidR="00606C40">
        <w:t>-</w:t>
      </w:r>
      <w:r>
        <w:t xml:space="preserve">Band should remain </w:t>
      </w:r>
      <w:r w:rsidR="00FC3107">
        <w:t xml:space="preserve">available </w:t>
      </w:r>
      <w:r>
        <w:t>in Australia for DAB+ digital radio until detailed coverage and capacity planning in VHF Band III is comp</w:t>
      </w:r>
      <w:r w:rsidR="008D5B30">
        <w:t>l</w:t>
      </w:r>
      <w:r>
        <w:t>ete.</w:t>
      </w:r>
      <w:r>
        <w:rPr>
          <w:rStyle w:val="FootnoteReference"/>
        </w:rPr>
        <w:footnoteReference w:id="56"/>
      </w:r>
      <w:r>
        <w:t xml:space="preserve"> </w:t>
      </w:r>
      <w:r w:rsidR="00DA1BC6">
        <w:t xml:space="preserve">The </w:t>
      </w:r>
      <w:r>
        <w:t>CRA has also suggested that spectrum in the L</w:t>
      </w:r>
      <w:r w:rsidR="00606C40">
        <w:t>-</w:t>
      </w:r>
      <w:r>
        <w:t>Band may be used in low powered infill sites or may be needed for regional digital radio services.</w:t>
      </w:r>
      <w:r>
        <w:rPr>
          <w:rStyle w:val="FootnoteReference"/>
        </w:rPr>
        <w:footnoteReference w:id="57"/>
      </w:r>
      <w:r>
        <w:t xml:space="preserve"> </w:t>
      </w:r>
      <w:r w:rsidR="004A4EFA">
        <w:t xml:space="preserve">Current planning for infill sites in the mainland </w:t>
      </w:r>
      <w:r w:rsidR="005665B2">
        <w:t xml:space="preserve">state </w:t>
      </w:r>
      <w:r w:rsidR="004A4EFA">
        <w:t xml:space="preserve">capital cities </w:t>
      </w:r>
      <w:r w:rsidR="004A6E72">
        <w:t>uses</w:t>
      </w:r>
      <w:r w:rsidR="004A4EFA">
        <w:t xml:space="preserve"> </w:t>
      </w:r>
      <w:r w:rsidR="0031475D">
        <w:t>DAB+ on</w:t>
      </w:r>
      <w:r w:rsidR="008919C8">
        <w:t xml:space="preserve"> channel repeaters</w:t>
      </w:r>
      <w:r w:rsidR="00924BBE">
        <w:t>, and hence VHF spectrum,</w:t>
      </w:r>
      <w:r w:rsidR="004A4EFA">
        <w:t xml:space="preserve"> </w:t>
      </w:r>
      <w:r w:rsidR="004A6E72">
        <w:t>to boost digital radio coverage in dense urban areas, difficult geographic areas and at the boundaries of Sydney, Melbourne, Brisbane and Perth licence areas</w:t>
      </w:r>
      <w:r w:rsidR="00ED27F3">
        <w:t>,</w:t>
      </w:r>
      <w:r w:rsidR="004A6E72">
        <w:rPr>
          <w:rStyle w:val="FootnoteReference"/>
        </w:rPr>
        <w:footnoteReference w:id="58"/>
      </w:r>
      <w:r w:rsidR="004A4EFA">
        <w:t xml:space="preserve"> rather than</w:t>
      </w:r>
      <w:r w:rsidR="008919C8">
        <w:t xml:space="preserve"> using the</w:t>
      </w:r>
      <w:r w:rsidR="004A4EFA">
        <w:t xml:space="preserve"> L</w:t>
      </w:r>
      <w:r w:rsidR="00F20B07">
        <w:t>-</w:t>
      </w:r>
      <w:r w:rsidR="004A4EFA">
        <w:t>Band spectrum.</w:t>
      </w:r>
    </w:p>
    <w:p w14:paraId="741B1FCF" w14:textId="697A8537" w:rsidR="00151CD0" w:rsidRDefault="00151CD0" w:rsidP="00151CD0">
      <w:r>
        <w:t xml:space="preserve">Given the experience of the use of the two VHF band channels for digital radio in the mainland </w:t>
      </w:r>
      <w:r w:rsidR="005665B2">
        <w:t xml:space="preserve">state </w:t>
      </w:r>
      <w:r>
        <w:t xml:space="preserve">capital cities, the review considers it likely that this same amount of spectrum </w:t>
      </w:r>
      <w:r w:rsidR="00924BBE">
        <w:t xml:space="preserve">may </w:t>
      </w:r>
      <w:r>
        <w:t xml:space="preserve">be sufficient for digital radio in regional areas. </w:t>
      </w:r>
      <w:r w:rsidR="00FF65EA">
        <w:t xml:space="preserve">There is no evidence at present that </w:t>
      </w:r>
      <w:r>
        <w:t>L</w:t>
      </w:r>
      <w:r w:rsidR="00606C40">
        <w:t>-</w:t>
      </w:r>
      <w:r>
        <w:t xml:space="preserve">Band spectrum </w:t>
      </w:r>
      <w:r w:rsidR="00FC4C8F">
        <w:t>will</w:t>
      </w:r>
      <w:r w:rsidR="008D5B30">
        <w:t xml:space="preserve"> be required </w:t>
      </w:r>
      <w:r>
        <w:t>for digital radio</w:t>
      </w:r>
      <w:r w:rsidR="00FF65EA">
        <w:t xml:space="preserve"> in Australia</w:t>
      </w:r>
      <w:r w:rsidR="00606C40" w:rsidRPr="00606C40">
        <w:rPr>
          <w:rFonts w:cs="Times New Roman"/>
        </w:rPr>
        <w:t xml:space="preserve"> </w:t>
      </w:r>
      <w:r w:rsidR="00606C40" w:rsidRPr="00606C40">
        <w:t>and it appears likely that harmonised arrangements for mobile broadband applications in the L-Band will be adopted in many parts of the world</w:t>
      </w:r>
      <w:r w:rsidR="008D5B30">
        <w:t xml:space="preserve">. </w:t>
      </w:r>
    </w:p>
    <w:p w14:paraId="4FA04EB2" w14:textId="4EDCC8A6" w:rsidR="00151CD0" w:rsidRPr="00151CD0" w:rsidRDefault="00151CD0" w:rsidP="00151CD0">
      <w:pPr>
        <w:rPr>
          <w:b/>
          <w:i/>
        </w:rPr>
      </w:pPr>
      <w:r w:rsidRPr="00151CD0">
        <w:rPr>
          <w:b/>
          <w:i/>
        </w:rPr>
        <w:t xml:space="preserve">Finding: The review has not found a need for any changes to the allocation of spectrum for digital </w:t>
      </w:r>
      <w:r w:rsidR="00372D6F">
        <w:rPr>
          <w:b/>
          <w:i/>
        </w:rPr>
        <w:t xml:space="preserve">terrestrial </w:t>
      </w:r>
      <w:r w:rsidRPr="00151CD0">
        <w:rPr>
          <w:b/>
          <w:i/>
        </w:rPr>
        <w:t>radio.</w:t>
      </w:r>
    </w:p>
    <w:p w14:paraId="67180F6E" w14:textId="77777777" w:rsidR="00151CD0" w:rsidRPr="00151CD0" w:rsidRDefault="00151CD0" w:rsidP="00151CD0">
      <w:pPr>
        <w:pStyle w:val="Heading2"/>
        <w:rPr>
          <w:i/>
        </w:rPr>
      </w:pPr>
      <w:bookmarkStart w:id="50" w:name="_Toc423532092"/>
      <w:r w:rsidRPr="00151CD0">
        <w:rPr>
          <w:i/>
        </w:rPr>
        <w:t>Audience take up of digital radio</w:t>
      </w:r>
      <w:bookmarkEnd w:id="50"/>
    </w:p>
    <w:p w14:paraId="6F1B6BDE" w14:textId="06F2CFC1" w:rsidR="005077CA" w:rsidRPr="00E5315D" w:rsidRDefault="005077CA" w:rsidP="00B942B1">
      <w:pPr>
        <w:pStyle w:val="BodyText"/>
        <w:rPr>
          <w:rFonts w:asciiTheme="minorHAnsi" w:hAnsiTheme="minorHAnsi" w:cstheme="minorHAnsi"/>
        </w:rPr>
      </w:pPr>
      <w:r w:rsidRPr="00E5315D">
        <w:rPr>
          <w:rFonts w:asciiTheme="minorHAnsi" w:hAnsiTheme="minorHAnsi" w:cstheme="minorHAnsi"/>
        </w:rPr>
        <w:t xml:space="preserve">As outlined in the review discussion paper, there is little definitive public data on digital radio listening habits in Australia. </w:t>
      </w:r>
      <w:r w:rsidR="005F6065">
        <w:rPr>
          <w:rFonts w:asciiTheme="minorHAnsi" w:hAnsiTheme="minorHAnsi" w:cstheme="minorHAnsi"/>
        </w:rPr>
        <w:t xml:space="preserve">The </w:t>
      </w:r>
      <w:r w:rsidRPr="00E5315D">
        <w:rPr>
          <w:rFonts w:asciiTheme="minorHAnsi" w:hAnsiTheme="minorHAnsi" w:cstheme="minorHAnsi"/>
        </w:rPr>
        <w:t xml:space="preserve">CRA has reported </w:t>
      </w:r>
      <w:r w:rsidR="00B942B1">
        <w:rPr>
          <w:rFonts w:asciiTheme="minorHAnsi" w:hAnsiTheme="minorHAnsi" w:cstheme="minorHAnsi"/>
        </w:rPr>
        <w:t>that, s</w:t>
      </w:r>
      <w:r w:rsidR="00B942B1" w:rsidRPr="007052C4">
        <w:t>ince the introduction of digital radio services, listenership has continued to grow to reach almost 25 per cent of listeners in the mainland state capital</w:t>
      </w:r>
      <w:r w:rsidR="006C2717">
        <w:t xml:space="preserve"> citie</w:t>
      </w:r>
      <w:r w:rsidR="00B942B1" w:rsidRPr="007052C4">
        <w:t>s in the first quarter of 2015.</w:t>
      </w:r>
      <w:r w:rsidR="0031351A">
        <w:rPr>
          <w:rStyle w:val="FootnoteReference"/>
          <w:rFonts w:asciiTheme="minorHAnsi" w:hAnsiTheme="minorHAnsi" w:cstheme="minorHAnsi"/>
        </w:rPr>
        <w:footnoteReference w:id="59"/>
      </w:r>
    </w:p>
    <w:p w14:paraId="4C14A87B" w14:textId="1482EE4D"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While the digital radio audience is increasing, </w:t>
      </w:r>
      <w:r w:rsidR="00B942B1">
        <w:rPr>
          <w:rFonts w:asciiTheme="minorHAnsi" w:hAnsiTheme="minorHAnsi" w:cstheme="minorHAnsi"/>
        </w:rPr>
        <w:t>the</w:t>
      </w:r>
      <w:r w:rsidRPr="00E5315D">
        <w:rPr>
          <w:rFonts w:asciiTheme="minorHAnsi" w:hAnsiTheme="minorHAnsi" w:cstheme="minorHAnsi"/>
        </w:rPr>
        <w:t xml:space="preserve"> review has not found there to be a marked preference by the public for digital radio over other radio technologies in the </w:t>
      </w:r>
      <w:r w:rsidR="002F6FC4">
        <w:rPr>
          <w:rFonts w:asciiTheme="minorHAnsi" w:hAnsiTheme="minorHAnsi" w:cstheme="minorHAnsi"/>
        </w:rPr>
        <w:t xml:space="preserve">mainland state </w:t>
      </w:r>
      <w:r w:rsidRPr="00E5315D">
        <w:rPr>
          <w:rFonts w:asciiTheme="minorHAnsi" w:hAnsiTheme="minorHAnsi" w:cstheme="minorHAnsi"/>
        </w:rPr>
        <w:t>capital cities at this time.</w:t>
      </w:r>
    </w:p>
    <w:p w14:paraId="714535A1" w14:textId="0859F085" w:rsidR="0040739E" w:rsidRPr="00E5315D" w:rsidRDefault="0040739E" w:rsidP="0040739E">
      <w:pPr>
        <w:pStyle w:val="BodyText"/>
      </w:pPr>
      <w:r>
        <w:t xml:space="preserve">For the ABC in 2014, the simulcast stations held the lion’s share of listening (25.3 per cent share of all DAB+ radio </w:t>
      </w:r>
      <w:r w:rsidR="00851788">
        <w:t>listening)</w:t>
      </w:r>
      <w:r>
        <w:t xml:space="preserve"> compared to digital only stations (10.0</w:t>
      </w:r>
      <w:r w:rsidR="00C4423D">
        <w:t xml:space="preserve"> per cent</w:t>
      </w:r>
      <w:r>
        <w:t>).</w:t>
      </w:r>
      <w:r>
        <w:rPr>
          <w:rStyle w:val="FootnoteReference"/>
        </w:rPr>
        <w:footnoteReference w:id="60"/>
      </w:r>
      <w:r>
        <w:t xml:space="preserve"> While DAB+ listening as a proportion of all radio listening is growing steadily, the reach of ABC’s digital only stations for DAB+ and online combined over the 5 metropolitan markets is only 5 per cent of the population per week.</w:t>
      </w:r>
      <w:r>
        <w:rPr>
          <w:rStyle w:val="FootnoteReference"/>
        </w:rPr>
        <w:footnoteReference w:id="61"/>
      </w:r>
    </w:p>
    <w:p w14:paraId="16468E32" w14:textId="77777777" w:rsidR="005077CA" w:rsidRPr="00E5315D" w:rsidRDefault="005077CA" w:rsidP="0040739E">
      <w:pPr>
        <w:pStyle w:val="BodyText"/>
        <w:rPr>
          <w:rFonts w:asciiTheme="minorHAnsi" w:hAnsiTheme="minorHAnsi" w:cstheme="minorHAnsi"/>
        </w:rPr>
      </w:pPr>
      <w:r w:rsidRPr="00E5315D">
        <w:rPr>
          <w:rFonts w:asciiTheme="minorHAnsi" w:hAnsiTheme="minorHAnsi" w:cstheme="minorHAnsi"/>
        </w:rPr>
        <w:t xml:space="preserve">The growing availability of high speed internet, combined with the intergenerational change in listening habits and smartphone usage, indicates that digital radio delivered over the internet has also become an alternative digital radio technology of choice. The ACMA has reported that 796,000 people or 4.5 per cent of the population aged 14 years and over were listening to digital radio through online streaming in 2009. </w:t>
      </w:r>
      <w:r w:rsidR="006D201C">
        <w:rPr>
          <w:rFonts w:asciiTheme="minorHAnsi" w:hAnsiTheme="minorHAnsi" w:cstheme="minorHAnsi"/>
        </w:rPr>
        <w:t>By</w:t>
      </w:r>
      <w:r w:rsidRPr="00E5315D">
        <w:rPr>
          <w:rFonts w:asciiTheme="minorHAnsi" w:hAnsiTheme="minorHAnsi" w:cstheme="minorHAnsi"/>
        </w:rPr>
        <w:t xml:space="preserve"> the end of June 2013, this had nearly doubled to 1,584,000 listeners or 8.1 per cent of the population aged 14 and over,</w:t>
      </w:r>
      <w:r w:rsidRPr="00E5315D">
        <w:rPr>
          <w:rStyle w:val="FootnoteReference"/>
          <w:rFonts w:asciiTheme="minorHAnsi" w:hAnsiTheme="minorHAnsi" w:cstheme="minorHAnsi"/>
        </w:rPr>
        <w:footnoteReference w:id="62"/>
      </w:r>
      <w:r w:rsidRPr="00E5315D">
        <w:rPr>
          <w:rFonts w:asciiTheme="minorHAnsi" w:hAnsiTheme="minorHAnsi" w:cstheme="minorHAnsi"/>
        </w:rPr>
        <w:t xml:space="preserve"> a 98 per cent increase. However, it should be noted that the determination of listening statistics can vary, depending on the demographic used and some estimates of online radio streaming are higher than this. </w:t>
      </w:r>
    </w:p>
    <w:p w14:paraId="7A104CD0" w14:textId="27CE8EF3" w:rsidR="005077CA" w:rsidRPr="00E5315D" w:rsidRDefault="005077CA" w:rsidP="005077CA">
      <w:pPr>
        <w:pStyle w:val="BodyText"/>
      </w:pPr>
      <w:r w:rsidRPr="00E5315D">
        <w:t xml:space="preserve">Listenership of </w:t>
      </w:r>
      <w:r w:rsidR="00851788" w:rsidRPr="00E5315D">
        <w:t>analogue</w:t>
      </w:r>
      <w:r w:rsidRPr="00E5315D">
        <w:t xml:space="preserve"> radio services </w:t>
      </w:r>
      <w:r w:rsidR="00700948">
        <w:t>continues to increase steadily</w:t>
      </w:r>
      <w:r w:rsidR="00490005">
        <w:t>. Based on listening data released by</w:t>
      </w:r>
      <w:r w:rsidR="00DA1BC6">
        <w:t xml:space="preserve"> </w:t>
      </w:r>
      <w:r w:rsidR="005F6065">
        <w:t xml:space="preserve">the </w:t>
      </w:r>
      <w:r w:rsidR="00490005">
        <w:t>CRA, metropolitan commercial radio attracted an average cumulative weekly audience of 10.1 million in 2014, representing a 4 per cent increase on the 2013 listening audience.</w:t>
      </w:r>
      <w:r w:rsidR="004F43B4">
        <w:rPr>
          <w:rStyle w:val="FootnoteReference"/>
        </w:rPr>
        <w:footnoteReference w:id="63"/>
      </w:r>
    </w:p>
    <w:p w14:paraId="18F01970" w14:textId="7F99C4CA" w:rsidR="005077CA" w:rsidRDefault="005077CA" w:rsidP="005077CA">
      <w:pPr>
        <w:pStyle w:val="BodyText"/>
      </w:pPr>
      <w:r w:rsidRPr="00E5315D">
        <w:t>The ABC submission, in acknowledging that AM radio is a robust platform for the delivery of radio, also expressed concern about its continued use in the future. Of special concern for the ABC and other radio broadcasters are the physical challenges facing the transmission of AM signals; for example, electrical interference and reception issues, particularly in built-up areas; and development pressures around the real estate where transmitters are located. In addition, the ABC expressed concern over the future availability of AM radio receivers as other countries phase out AM radio services.</w:t>
      </w:r>
      <w:r w:rsidRPr="00E5315D">
        <w:rPr>
          <w:rStyle w:val="FootnoteReference"/>
        </w:rPr>
        <w:footnoteReference w:id="64"/>
      </w:r>
      <w:r w:rsidRPr="00E5315D">
        <w:t xml:space="preserve"> In contrast, the ABC noted that the importance of FM radio will continue into the future. The lack of availability of FM spectrum, however, could hamper innovation and the ability to provide additional, value-added, services to listeners.</w:t>
      </w:r>
      <w:r w:rsidRPr="00E5315D">
        <w:rPr>
          <w:rStyle w:val="FootnoteReference"/>
        </w:rPr>
        <w:footnoteReference w:id="65"/>
      </w:r>
    </w:p>
    <w:p w14:paraId="0C72C1CA" w14:textId="5280F99F" w:rsidR="005077CA" w:rsidRPr="00E5315D" w:rsidRDefault="005077CA" w:rsidP="005077CA">
      <w:pPr>
        <w:pStyle w:val="BodyText"/>
        <w:rPr>
          <w:rFonts w:asciiTheme="minorHAnsi" w:hAnsiTheme="minorHAnsi" w:cstheme="minorHAnsi"/>
          <w:b/>
          <w:i/>
        </w:rPr>
      </w:pPr>
      <w:r w:rsidRPr="00E5315D">
        <w:rPr>
          <w:rFonts w:asciiTheme="minorHAnsi" w:hAnsiTheme="minorHAnsi" w:cstheme="minorHAnsi"/>
          <w:b/>
          <w:i/>
        </w:rPr>
        <w:t xml:space="preserve">Finding: </w:t>
      </w:r>
      <w:r w:rsidR="00372D6F" w:rsidRPr="00372D6F">
        <w:rPr>
          <w:rFonts w:asciiTheme="minorHAnsi" w:hAnsiTheme="minorHAnsi" w:cstheme="minorHAnsi"/>
          <w:b/>
          <w:i/>
        </w:rPr>
        <w:t>Although this review is primarily related to digital radio services, there may be an opportunity to consider whether analogue radio coverage can be enhanced or improved pending the roll out of digital terrestrial services by the industry. Further research is required into whether AM coverage can be improved in metropolitan areas, and whether FM spectrum can be made available in regional areas for new analogue radio services or the conversion of existing AM services to FM, potentially in lieu of the rollout of digital services.</w:t>
      </w:r>
    </w:p>
    <w:p w14:paraId="29811629" w14:textId="77777777" w:rsidR="005077CA" w:rsidRPr="00E5315D" w:rsidRDefault="005077CA" w:rsidP="005077CA">
      <w:pPr>
        <w:pStyle w:val="Heading2"/>
        <w:rPr>
          <w:i/>
        </w:rPr>
      </w:pPr>
      <w:bookmarkStart w:id="51" w:name="_Toc423532093"/>
      <w:r w:rsidRPr="00E5315D">
        <w:rPr>
          <w:i/>
        </w:rPr>
        <w:t>International digital radio developments</w:t>
      </w:r>
      <w:bookmarkEnd w:id="51"/>
    </w:p>
    <w:p w14:paraId="583BEA13"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The review considered international developments in the deployment of digital radio services and the likely harmonisation of digital radio transmission technologies across jurisdictions. </w:t>
      </w:r>
    </w:p>
    <w:p w14:paraId="0D8FCA2D" w14:textId="722D199F"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Internationally, DAB and DAB+ are currently the most widely used digital radio standard.</w:t>
      </w:r>
      <w:r w:rsidRPr="00E5315D">
        <w:rPr>
          <w:rStyle w:val="FootnoteReference"/>
          <w:rFonts w:asciiTheme="minorHAnsi" w:hAnsiTheme="minorHAnsi" w:cstheme="minorHAnsi"/>
        </w:rPr>
        <w:footnoteReference w:id="66"/>
      </w:r>
      <w:r w:rsidRPr="00E5315D">
        <w:rPr>
          <w:rFonts w:asciiTheme="minorHAnsi" w:hAnsiTheme="minorHAnsi" w:cstheme="minorHAnsi"/>
        </w:rPr>
        <w:t xml:space="preserve"> In the United Kingdom, the media regulator Ofcom launched a digital radio action plan in July 2010</w:t>
      </w:r>
      <w:r w:rsidRPr="00E5315D">
        <w:rPr>
          <w:rStyle w:val="FootnoteReference"/>
          <w:rFonts w:asciiTheme="minorHAnsi" w:hAnsiTheme="minorHAnsi" w:cstheme="minorHAnsi"/>
        </w:rPr>
        <w:footnoteReference w:id="67"/>
      </w:r>
      <w:r w:rsidRPr="00E5315D">
        <w:rPr>
          <w:rFonts w:asciiTheme="minorHAnsi" w:hAnsiTheme="minorHAnsi" w:cstheme="minorHAnsi"/>
        </w:rPr>
        <w:t xml:space="preserve"> to determine a switchover date. The action plan emphasised that a DAB switchover should begin when 50 per cent of all radio listening occurred via digital platforms and when national DAB radio coverage was comparable to FM coverage and local DAB radio reached 90 per cent of the population and all major roads.</w:t>
      </w:r>
      <w:r w:rsidRPr="00E5315D">
        <w:rPr>
          <w:rStyle w:val="FootnoteReference"/>
          <w:rFonts w:asciiTheme="minorHAnsi" w:hAnsiTheme="minorHAnsi" w:cstheme="minorHAnsi"/>
        </w:rPr>
        <w:footnoteReference w:id="68"/>
      </w:r>
      <w:r w:rsidRPr="00E5315D">
        <w:rPr>
          <w:rFonts w:asciiTheme="minorHAnsi" w:hAnsiTheme="minorHAnsi" w:cstheme="minorHAnsi"/>
        </w:rPr>
        <w:t xml:space="preserve"> FM radio was due to be turned off in 2015. Howev</w:t>
      </w:r>
      <w:r w:rsidR="00AF05B6">
        <w:rPr>
          <w:rFonts w:asciiTheme="minorHAnsi" w:hAnsiTheme="minorHAnsi" w:cstheme="minorHAnsi"/>
        </w:rPr>
        <w:t>er, in December 2013 the United </w:t>
      </w:r>
      <w:r w:rsidRPr="00E5315D">
        <w:rPr>
          <w:rFonts w:asciiTheme="minorHAnsi" w:hAnsiTheme="minorHAnsi" w:cstheme="minorHAnsi"/>
        </w:rPr>
        <w:t xml:space="preserve">Kingdom Government decided to postpone the DAB switchover, </w:t>
      </w:r>
      <w:r w:rsidRPr="00E5315D">
        <w:t>given that only 35.6 per cent of listening was on digital radio devices.</w:t>
      </w:r>
      <w:r w:rsidRPr="00E5315D">
        <w:rPr>
          <w:rStyle w:val="FootnoteReference"/>
          <w:rFonts w:asciiTheme="minorHAnsi" w:hAnsiTheme="minorHAnsi" w:cstheme="minorHAnsi"/>
        </w:rPr>
        <w:footnoteReference w:id="69"/>
      </w:r>
      <w:r w:rsidRPr="00E5315D">
        <w:rPr>
          <w:rFonts w:asciiTheme="minorHAnsi" w:hAnsiTheme="minorHAnsi" w:cstheme="minorHAnsi"/>
        </w:rPr>
        <w:t xml:space="preserve"> </w:t>
      </w:r>
      <w:r w:rsidR="00F84976">
        <w:rPr>
          <w:rFonts w:asciiTheme="minorHAnsi" w:hAnsiTheme="minorHAnsi" w:cstheme="minorHAnsi"/>
        </w:rPr>
        <w:t xml:space="preserve">In January 2015, a framework agreement between the </w:t>
      </w:r>
      <w:r w:rsidR="00AF05B6">
        <w:rPr>
          <w:rFonts w:asciiTheme="minorHAnsi" w:hAnsiTheme="minorHAnsi" w:cstheme="minorHAnsi"/>
        </w:rPr>
        <w:t>United Kingdom</w:t>
      </w:r>
      <w:r w:rsidR="00F84976">
        <w:rPr>
          <w:rFonts w:asciiTheme="minorHAnsi" w:hAnsiTheme="minorHAnsi" w:cstheme="minorHAnsi"/>
        </w:rPr>
        <w:t xml:space="preserve"> Government and multiplex operators was released, outlining details of a major expansion of local DAB </w:t>
      </w:r>
      <w:r w:rsidR="008D5B30">
        <w:rPr>
          <w:rFonts w:asciiTheme="minorHAnsi" w:hAnsiTheme="minorHAnsi" w:cstheme="minorHAnsi"/>
        </w:rPr>
        <w:t>transmitters</w:t>
      </w:r>
      <w:r w:rsidR="00EE407D">
        <w:rPr>
          <w:rFonts w:asciiTheme="minorHAnsi" w:hAnsiTheme="minorHAnsi" w:cstheme="minorHAnsi"/>
        </w:rPr>
        <w:t xml:space="preserve">. </w:t>
      </w:r>
      <w:r w:rsidR="00F84976">
        <w:rPr>
          <w:rFonts w:asciiTheme="minorHAnsi" w:hAnsiTheme="minorHAnsi" w:cstheme="minorHAnsi"/>
        </w:rPr>
        <w:t>The 182 new transmitters and 49 site modifications aim to be completed by September 2016 to increase population coverage to over 90 per cent.</w:t>
      </w:r>
      <w:r w:rsidR="00F84976">
        <w:rPr>
          <w:rStyle w:val="FootnoteReference"/>
          <w:rFonts w:asciiTheme="minorHAnsi" w:hAnsiTheme="minorHAnsi" w:cstheme="minorHAnsi"/>
        </w:rPr>
        <w:footnoteReference w:id="70"/>
      </w:r>
    </w:p>
    <w:p w14:paraId="119D9AD9" w14:textId="473CED29"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The United Kingdom Government also identified in-car listening as a significant factor for the success of DAB digital radio. In 2014, Ofcom reported that 41.6 per cent of new cars were sold with DAB radios, 4.4 per cent more than in 2010.</w:t>
      </w:r>
      <w:r w:rsidRPr="00E5315D">
        <w:rPr>
          <w:rStyle w:val="FootnoteReference"/>
          <w:rFonts w:asciiTheme="minorHAnsi" w:hAnsiTheme="minorHAnsi" w:cstheme="minorHAnsi"/>
        </w:rPr>
        <w:footnoteReference w:id="71"/>
      </w:r>
      <w:r w:rsidRPr="00E5315D">
        <w:rPr>
          <w:rFonts w:asciiTheme="minorHAnsi" w:hAnsiTheme="minorHAnsi" w:cstheme="minorHAnsi"/>
        </w:rPr>
        <w:t xml:space="preserve"> While Ofcom saw this as an encouraging increase, it identified that a significant challenge was to convert the 34 million vehicles currently on roads in the United Kingdom.</w:t>
      </w:r>
      <w:r w:rsidRPr="00E5315D">
        <w:rPr>
          <w:rStyle w:val="FootnoteReference"/>
          <w:rFonts w:asciiTheme="minorHAnsi" w:hAnsiTheme="minorHAnsi" w:cstheme="minorHAnsi"/>
        </w:rPr>
        <w:footnoteReference w:id="72"/>
      </w:r>
      <w:r w:rsidRPr="00E5315D">
        <w:rPr>
          <w:rFonts w:asciiTheme="minorHAnsi" w:hAnsiTheme="minorHAnsi" w:cstheme="minorHAnsi"/>
        </w:rPr>
        <w:t xml:space="preserve"> From 2012 to 2014, only 69,000 vehicles have undergone the conversion to digital radio.</w:t>
      </w:r>
      <w:r w:rsidRPr="00E5315D">
        <w:rPr>
          <w:rStyle w:val="FootnoteReference"/>
          <w:rFonts w:asciiTheme="minorHAnsi" w:hAnsiTheme="minorHAnsi" w:cstheme="minorHAnsi"/>
        </w:rPr>
        <w:footnoteReference w:id="73"/>
      </w:r>
      <w:r w:rsidRPr="00E5315D">
        <w:rPr>
          <w:rFonts w:asciiTheme="minorHAnsi" w:hAnsiTheme="minorHAnsi" w:cstheme="minorHAnsi"/>
        </w:rPr>
        <w:t xml:space="preserve"> In 2014, Ofcom’s digital radio action plan version 10 reported that only when the </w:t>
      </w:r>
      <w:r w:rsidR="008C7C25">
        <w:rPr>
          <w:rFonts w:asciiTheme="minorHAnsi" w:hAnsiTheme="minorHAnsi" w:cstheme="minorHAnsi"/>
        </w:rPr>
        <w:t>m</w:t>
      </w:r>
      <w:r w:rsidRPr="00E5315D">
        <w:rPr>
          <w:rFonts w:asciiTheme="minorHAnsi" w:hAnsiTheme="minorHAnsi" w:cstheme="minorHAnsi"/>
        </w:rPr>
        <w:t>ajority of listeners have chosen to adopt and use digital radio technologies can the case for a switchover be made.</w:t>
      </w:r>
      <w:r w:rsidRPr="00E5315D">
        <w:rPr>
          <w:rStyle w:val="FootnoteReference"/>
          <w:rFonts w:asciiTheme="minorHAnsi" w:hAnsiTheme="minorHAnsi" w:cstheme="minorHAnsi"/>
        </w:rPr>
        <w:footnoteReference w:id="74"/>
      </w:r>
    </w:p>
    <w:p w14:paraId="3F1745B5" w14:textId="7E1A55BE" w:rsidR="005077CA" w:rsidRPr="00E5315D" w:rsidRDefault="00515E3F" w:rsidP="005077CA">
      <w:pPr>
        <w:pStyle w:val="BodyText"/>
        <w:rPr>
          <w:rFonts w:asciiTheme="minorHAnsi" w:hAnsiTheme="minorHAnsi" w:cstheme="minorHAnsi"/>
        </w:rPr>
      </w:pPr>
      <w:r>
        <w:rPr>
          <w:rFonts w:asciiTheme="minorHAnsi" w:hAnsiTheme="minorHAnsi" w:cstheme="minorHAnsi"/>
        </w:rPr>
        <w:t>On 16 April 2015</w:t>
      </w:r>
      <w:r w:rsidR="00FB309C">
        <w:rPr>
          <w:rFonts w:asciiTheme="minorHAnsi" w:hAnsiTheme="minorHAnsi" w:cstheme="minorHAnsi"/>
        </w:rPr>
        <w:t>,</w:t>
      </w:r>
      <w:r>
        <w:rPr>
          <w:rFonts w:asciiTheme="minorHAnsi" w:hAnsiTheme="minorHAnsi" w:cstheme="minorHAnsi"/>
        </w:rPr>
        <w:t xml:space="preserve"> the </w:t>
      </w:r>
      <w:r w:rsidR="005077CA" w:rsidRPr="00E5315D">
        <w:rPr>
          <w:rFonts w:asciiTheme="minorHAnsi" w:hAnsiTheme="minorHAnsi" w:cstheme="minorHAnsi"/>
        </w:rPr>
        <w:t>Norw</w:t>
      </w:r>
      <w:r>
        <w:rPr>
          <w:rFonts w:asciiTheme="minorHAnsi" w:hAnsiTheme="minorHAnsi" w:cstheme="minorHAnsi"/>
        </w:rPr>
        <w:t>egian Government</w:t>
      </w:r>
      <w:r w:rsidR="005077CA" w:rsidRPr="00E5315D">
        <w:rPr>
          <w:rFonts w:asciiTheme="minorHAnsi" w:hAnsiTheme="minorHAnsi" w:cstheme="minorHAnsi"/>
        </w:rPr>
        <w:t xml:space="preserve"> announced </w:t>
      </w:r>
      <w:r w:rsidR="00CD09D0">
        <w:rPr>
          <w:rFonts w:asciiTheme="minorHAnsi" w:hAnsiTheme="minorHAnsi" w:cstheme="minorHAnsi"/>
        </w:rPr>
        <w:t xml:space="preserve">its intention to </w:t>
      </w:r>
      <w:r w:rsidR="00BB1CA0">
        <w:rPr>
          <w:rFonts w:asciiTheme="minorHAnsi" w:hAnsiTheme="minorHAnsi" w:cstheme="minorHAnsi"/>
        </w:rPr>
        <w:t xml:space="preserve">commence a </w:t>
      </w:r>
      <w:r w:rsidR="005077CA" w:rsidRPr="00E5315D">
        <w:rPr>
          <w:rFonts w:asciiTheme="minorHAnsi" w:hAnsiTheme="minorHAnsi" w:cstheme="minorHAnsi"/>
        </w:rPr>
        <w:t>switch-off</w:t>
      </w:r>
      <w:r w:rsidR="00DF225C">
        <w:rPr>
          <w:rFonts w:asciiTheme="minorHAnsi" w:hAnsiTheme="minorHAnsi" w:cstheme="minorHAnsi"/>
        </w:rPr>
        <w:t xml:space="preserve"> of</w:t>
      </w:r>
      <w:r w:rsidR="005077CA" w:rsidRPr="00E5315D">
        <w:rPr>
          <w:rFonts w:asciiTheme="minorHAnsi" w:hAnsiTheme="minorHAnsi" w:cstheme="minorHAnsi"/>
        </w:rPr>
        <w:t xml:space="preserve"> </w:t>
      </w:r>
      <w:r w:rsidR="00CD09D0">
        <w:rPr>
          <w:rFonts w:asciiTheme="minorHAnsi" w:hAnsiTheme="minorHAnsi" w:cstheme="minorHAnsi"/>
        </w:rPr>
        <w:t xml:space="preserve">five national FM services </w:t>
      </w:r>
      <w:r w:rsidR="005077CA" w:rsidRPr="00E5315D">
        <w:rPr>
          <w:rFonts w:asciiTheme="minorHAnsi" w:hAnsiTheme="minorHAnsi" w:cstheme="minorHAnsi"/>
        </w:rPr>
        <w:t>in January 2017.</w:t>
      </w:r>
      <w:r w:rsidR="005077CA" w:rsidRPr="00E5315D">
        <w:rPr>
          <w:rStyle w:val="FootnoteReference"/>
          <w:rFonts w:asciiTheme="minorHAnsi" w:hAnsiTheme="minorHAnsi" w:cstheme="minorHAnsi"/>
        </w:rPr>
        <w:footnoteReference w:id="75"/>
      </w:r>
      <w:r w:rsidR="005077CA" w:rsidRPr="00E5315D">
        <w:rPr>
          <w:rFonts w:asciiTheme="minorHAnsi" w:hAnsiTheme="minorHAnsi" w:cstheme="minorHAnsi"/>
        </w:rPr>
        <w:t> </w:t>
      </w:r>
      <w:r w:rsidR="00722519">
        <w:rPr>
          <w:rFonts w:asciiTheme="minorHAnsi" w:hAnsiTheme="minorHAnsi" w:cstheme="minorHAnsi"/>
        </w:rPr>
        <w:t xml:space="preserve">The 2015 TNS Gallup digital radio survey </w:t>
      </w:r>
      <w:r w:rsidR="00CB3192">
        <w:rPr>
          <w:rFonts w:asciiTheme="minorHAnsi" w:hAnsiTheme="minorHAnsi" w:cstheme="minorHAnsi"/>
        </w:rPr>
        <w:t xml:space="preserve">reports that the </w:t>
      </w:r>
      <w:r w:rsidR="00851788">
        <w:rPr>
          <w:rFonts w:asciiTheme="minorHAnsi" w:hAnsiTheme="minorHAnsi" w:cstheme="minorHAnsi"/>
        </w:rPr>
        <w:t>Norwegian</w:t>
      </w:r>
      <w:r w:rsidR="00CB3192">
        <w:rPr>
          <w:rFonts w:asciiTheme="minorHAnsi" w:hAnsiTheme="minorHAnsi" w:cstheme="minorHAnsi"/>
        </w:rPr>
        <w:t xml:space="preserve"> public broadcaster </w:t>
      </w:r>
      <w:r w:rsidR="00722519">
        <w:rPr>
          <w:rFonts w:asciiTheme="minorHAnsi" w:hAnsiTheme="minorHAnsi" w:cstheme="minorHAnsi"/>
        </w:rPr>
        <w:t xml:space="preserve">has 99.5 per cent coverage </w:t>
      </w:r>
      <w:r w:rsidR="00CB3192">
        <w:rPr>
          <w:rFonts w:asciiTheme="minorHAnsi" w:hAnsiTheme="minorHAnsi" w:cstheme="minorHAnsi"/>
        </w:rPr>
        <w:t xml:space="preserve">on </w:t>
      </w:r>
      <w:r w:rsidR="00CD09D0">
        <w:rPr>
          <w:rFonts w:asciiTheme="minorHAnsi" w:hAnsiTheme="minorHAnsi" w:cstheme="minorHAnsi"/>
        </w:rPr>
        <w:t>digital radio</w:t>
      </w:r>
      <w:r w:rsidR="00CB3192">
        <w:rPr>
          <w:rFonts w:asciiTheme="minorHAnsi" w:hAnsiTheme="minorHAnsi" w:cstheme="minorHAnsi"/>
        </w:rPr>
        <w:t xml:space="preserve"> </w:t>
      </w:r>
      <w:r w:rsidR="00722519">
        <w:rPr>
          <w:rFonts w:asciiTheme="minorHAnsi" w:hAnsiTheme="minorHAnsi" w:cstheme="minorHAnsi"/>
        </w:rPr>
        <w:t>and</w:t>
      </w:r>
      <w:r w:rsidR="00CB3192">
        <w:rPr>
          <w:rFonts w:asciiTheme="minorHAnsi" w:hAnsiTheme="minorHAnsi" w:cstheme="minorHAnsi"/>
        </w:rPr>
        <w:t xml:space="preserve"> that there is</w:t>
      </w:r>
      <w:r w:rsidR="00722519">
        <w:rPr>
          <w:rFonts w:asciiTheme="minorHAnsi" w:hAnsiTheme="minorHAnsi" w:cstheme="minorHAnsi"/>
        </w:rPr>
        <w:t xml:space="preserve"> 92.8</w:t>
      </w:r>
      <w:r w:rsidR="0023713A">
        <w:rPr>
          <w:rFonts w:asciiTheme="minorHAnsi" w:hAnsiTheme="minorHAnsi" w:cstheme="minorHAnsi"/>
        </w:rPr>
        <w:t> </w:t>
      </w:r>
      <w:r w:rsidR="003C11B1">
        <w:rPr>
          <w:rFonts w:asciiTheme="minorHAnsi" w:hAnsiTheme="minorHAnsi" w:cstheme="minorHAnsi"/>
        </w:rPr>
        <w:t>per </w:t>
      </w:r>
      <w:r w:rsidR="00722519">
        <w:rPr>
          <w:rFonts w:asciiTheme="minorHAnsi" w:hAnsiTheme="minorHAnsi" w:cstheme="minorHAnsi"/>
        </w:rPr>
        <w:t>cent</w:t>
      </w:r>
      <w:r w:rsidR="00CB3192">
        <w:rPr>
          <w:rFonts w:asciiTheme="minorHAnsi" w:hAnsiTheme="minorHAnsi" w:cstheme="minorHAnsi"/>
        </w:rPr>
        <w:t xml:space="preserve"> </w:t>
      </w:r>
      <w:r w:rsidR="00722519">
        <w:rPr>
          <w:rFonts w:asciiTheme="minorHAnsi" w:hAnsiTheme="minorHAnsi" w:cstheme="minorHAnsi"/>
        </w:rPr>
        <w:t xml:space="preserve">commercial </w:t>
      </w:r>
      <w:r w:rsidR="00CD09D0">
        <w:rPr>
          <w:rFonts w:asciiTheme="minorHAnsi" w:hAnsiTheme="minorHAnsi" w:cstheme="minorHAnsi"/>
        </w:rPr>
        <w:t xml:space="preserve">digital </w:t>
      </w:r>
      <w:r w:rsidR="003C11B1">
        <w:rPr>
          <w:rFonts w:asciiTheme="minorHAnsi" w:hAnsiTheme="minorHAnsi" w:cstheme="minorHAnsi"/>
        </w:rPr>
        <w:t>radio coverage.</w:t>
      </w:r>
      <w:r w:rsidR="00722519">
        <w:rPr>
          <w:rStyle w:val="FootnoteReference"/>
          <w:rFonts w:asciiTheme="minorHAnsi" w:hAnsiTheme="minorHAnsi" w:cstheme="minorHAnsi"/>
        </w:rPr>
        <w:footnoteReference w:id="76"/>
      </w:r>
      <w:r w:rsidR="00722519">
        <w:rPr>
          <w:rFonts w:asciiTheme="minorHAnsi" w:hAnsiTheme="minorHAnsi" w:cstheme="minorHAnsi"/>
        </w:rPr>
        <w:t xml:space="preserve"> </w:t>
      </w:r>
      <w:r w:rsidR="00BB1CA0">
        <w:rPr>
          <w:rFonts w:asciiTheme="minorHAnsi" w:hAnsiTheme="minorHAnsi" w:cstheme="minorHAnsi"/>
        </w:rPr>
        <w:t>While th</w:t>
      </w:r>
      <w:r w:rsidR="00CB3192">
        <w:rPr>
          <w:rFonts w:asciiTheme="minorHAnsi" w:hAnsiTheme="minorHAnsi" w:cstheme="minorHAnsi"/>
        </w:rPr>
        <w:t>e</w:t>
      </w:r>
      <w:r w:rsidR="00BB1CA0">
        <w:rPr>
          <w:rFonts w:asciiTheme="minorHAnsi" w:hAnsiTheme="minorHAnsi" w:cstheme="minorHAnsi"/>
        </w:rPr>
        <w:t xml:space="preserve"> switch-off will affect the national FM licences</w:t>
      </w:r>
      <w:r w:rsidR="00722519">
        <w:rPr>
          <w:rFonts w:asciiTheme="minorHAnsi" w:hAnsiTheme="minorHAnsi" w:cstheme="minorHAnsi"/>
        </w:rPr>
        <w:t xml:space="preserve"> </w:t>
      </w:r>
      <w:r w:rsidR="00F91BE0">
        <w:rPr>
          <w:rFonts w:asciiTheme="minorHAnsi" w:hAnsiTheme="minorHAnsi" w:cstheme="minorHAnsi"/>
        </w:rPr>
        <w:t>some s</w:t>
      </w:r>
      <w:r w:rsidR="00722519">
        <w:rPr>
          <w:rFonts w:asciiTheme="minorHAnsi" w:hAnsiTheme="minorHAnsi" w:cstheme="minorHAnsi"/>
        </w:rPr>
        <w:t>mall local</w:t>
      </w:r>
      <w:r w:rsidR="00F91BE0">
        <w:rPr>
          <w:rFonts w:asciiTheme="minorHAnsi" w:hAnsiTheme="minorHAnsi" w:cstheme="minorHAnsi"/>
        </w:rPr>
        <w:t xml:space="preserve"> radio</w:t>
      </w:r>
      <w:r w:rsidR="00722519">
        <w:rPr>
          <w:rFonts w:asciiTheme="minorHAnsi" w:hAnsiTheme="minorHAnsi" w:cstheme="minorHAnsi"/>
        </w:rPr>
        <w:t xml:space="preserve"> stations may continue to broadca</w:t>
      </w:r>
      <w:r w:rsidR="00F91BE0">
        <w:rPr>
          <w:rFonts w:asciiTheme="minorHAnsi" w:hAnsiTheme="minorHAnsi" w:cstheme="minorHAnsi"/>
        </w:rPr>
        <w:t>s</w:t>
      </w:r>
      <w:r w:rsidR="00722519">
        <w:rPr>
          <w:rFonts w:asciiTheme="minorHAnsi" w:hAnsiTheme="minorHAnsi" w:cstheme="minorHAnsi"/>
        </w:rPr>
        <w:t>t on FM</w:t>
      </w:r>
      <w:r w:rsidR="00F91BE0">
        <w:rPr>
          <w:rFonts w:asciiTheme="minorHAnsi" w:hAnsiTheme="minorHAnsi" w:cstheme="minorHAnsi"/>
        </w:rPr>
        <w:t>.</w:t>
      </w:r>
      <w:r w:rsidR="00722519">
        <w:rPr>
          <w:rFonts w:asciiTheme="minorHAnsi" w:hAnsiTheme="minorHAnsi" w:cstheme="minorHAnsi"/>
        </w:rPr>
        <w:t xml:space="preserve"> </w:t>
      </w:r>
      <w:r w:rsidR="00F91BE0">
        <w:rPr>
          <w:rFonts w:asciiTheme="minorHAnsi" w:hAnsiTheme="minorHAnsi" w:cstheme="minorHAnsi"/>
        </w:rPr>
        <w:t>T</w:t>
      </w:r>
      <w:r w:rsidR="00722519">
        <w:rPr>
          <w:rFonts w:asciiTheme="minorHAnsi" w:hAnsiTheme="minorHAnsi" w:cstheme="minorHAnsi"/>
        </w:rPr>
        <w:t xml:space="preserve">he criteria for </w:t>
      </w:r>
      <w:r w:rsidR="00F91BE0">
        <w:rPr>
          <w:rFonts w:asciiTheme="minorHAnsi" w:hAnsiTheme="minorHAnsi" w:cstheme="minorHAnsi"/>
        </w:rPr>
        <w:t>which small radio stations may continue to broadcast on FM</w:t>
      </w:r>
      <w:r w:rsidR="00722519">
        <w:rPr>
          <w:rFonts w:asciiTheme="minorHAnsi" w:hAnsiTheme="minorHAnsi" w:cstheme="minorHAnsi"/>
        </w:rPr>
        <w:t xml:space="preserve"> is to be announced later in 2015</w:t>
      </w:r>
      <w:r w:rsidR="00EE407D">
        <w:rPr>
          <w:rFonts w:asciiTheme="minorHAnsi" w:hAnsiTheme="minorHAnsi" w:cstheme="minorHAnsi"/>
        </w:rPr>
        <w:t xml:space="preserve">. </w:t>
      </w:r>
      <w:r w:rsidR="005077CA" w:rsidRPr="00E5315D">
        <w:rPr>
          <w:rFonts w:asciiTheme="minorHAnsi" w:hAnsiTheme="minorHAnsi" w:cstheme="minorHAnsi"/>
        </w:rPr>
        <w:t>Currently</w:t>
      </w:r>
      <w:r w:rsidR="003E041E" w:rsidRPr="00E5315D">
        <w:rPr>
          <w:rFonts w:asciiTheme="minorHAnsi" w:hAnsiTheme="minorHAnsi" w:cstheme="minorHAnsi"/>
        </w:rPr>
        <w:t>,</w:t>
      </w:r>
      <w:r w:rsidR="003E041E">
        <w:rPr>
          <w:rFonts w:asciiTheme="minorHAnsi" w:hAnsiTheme="minorHAnsi" w:cstheme="minorHAnsi"/>
        </w:rPr>
        <w:t xml:space="preserve"> 56</w:t>
      </w:r>
      <w:r w:rsidR="0023713A">
        <w:rPr>
          <w:rFonts w:asciiTheme="minorHAnsi" w:hAnsiTheme="minorHAnsi" w:cstheme="minorHAnsi"/>
        </w:rPr>
        <w:t> </w:t>
      </w:r>
      <w:r w:rsidR="005077CA" w:rsidRPr="00E5315D">
        <w:rPr>
          <w:rFonts w:asciiTheme="minorHAnsi" w:hAnsiTheme="minorHAnsi" w:cstheme="minorHAnsi"/>
        </w:rPr>
        <w:t>per cent of listeners in Norway use a digital platform daily</w:t>
      </w:r>
      <w:r w:rsidR="00851788">
        <w:rPr>
          <w:rFonts w:asciiTheme="minorHAnsi" w:hAnsiTheme="minorHAnsi" w:cstheme="minorHAnsi"/>
        </w:rPr>
        <w:t>.</w:t>
      </w:r>
      <w:r w:rsidR="005077CA" w:rsidRPr="00E5315D">
        <w:rPr>
          <w:rStyle w:val="FootnoteReference"/>
          <w:rFonts w:asciiTheme="minorHAnsi" w:hAnsiTheme="minorHAnsi" w:cstheme="minorHAnsi"/>
        </w:rPr>
        <w:footnoteReference w:id="77"/>
      </w:r>
      <w:r w:rsidR="005077CA" w:rsidRPr="00E5315D">
        <w:rPr>
          <w:rFonts w:asciiTheme="minorHAnsi" w:hAnsiTheme="minorHAnsi" w:cstheme="minorHAnsi"/>
        </w:rPr>
        <w:t xml:space="preserve"> </w:t>
      </w:r>
    </w:p>
    <w:p w14:paraId="4E1B374E" w14:textId="77777777" w:rsidR="00372D6F" w:rsidRDefault="005077CA" w:rsidP="005077CA">
      <w:pPr>
        <w:pStyle w:val="BodyText"/>
        <w:rPr>
          <w:rFonts w:asciiTheme="minorHAnsi" w:hAnsiTheme="minorHAnsi" w:cstheme="minorHAnsi"/>
        </w:rPr>
      </w:pPr>
      <w:r w:rsidRPr="00E5315D">
        <w:rPr>
          <w:rFonts w:asciiTheme="minorHAnsi" w:hAnsiTheme="minorHAnsi" w:cstheme="minorHAnsi"/>
        </w:rPr>
        <w:t>To date, Germany has not set a switch off date for FM transmission and a recent report has stated that there is no need for consumers to purchase a new radio set, and that content providers therefore lack the incentives required to push the migration of content to DAB+.</w:t>
      </w:r>
      <w:r w:rsidRPr="00E5315D">
        <w:rPr>
          <w:rStyle w:val="FootnoteReference"/>
          <w:rFonts w:asciiTheme="minorHAnsi" w:hAnsiTheme="minorHAnsi" w:cstheme="minorHAnsi"/>
        </w:rPr>
        <w:footnoteReference w:id="78"/>
      </w:r>
      <w:r w:rsidRPr="00E5315D">
        <w:rPr>
          <w:rFonts w:asciiTheme="minorHAnsi" w:hAnsiTheme="minorHAnsi" w:cstheme="minorHAnsi"/>
        </w:rPr>
        <w:t xml:space="preserve"> </w:t>
      </w:r>
      <w:r w:rsidR="00C265D8">
        <w:rPr>
          <w:rFonts w:asciiTheme="minorHAnsi" w:hAnsiTheme="minorHAnsi" w:cstheme="minorHAnsi"/>
        </w:rPr>
        <w:t>Bavarian broadcasters believe</w:t>
      </w:r>
      <w:r w:rsidRPr="00E5315D">
        <w:rPr>
          <w:rFonts w:asciiTheme="minorHAnsi" w:hAnsiTheme="minorHAnsi" w:cstheme="minorHAnsi"/>
        </w:rPr>
        <w:t xml:space="preserve"> that the future extension of the DAB infrastructure is the correct way forward when compared to LTE mobile radio networks, as LTE would be around 40 times more costly than transmission via DAB+. The report concludes by stating that the future focus is therefore increasingly on hybrid reception options of DAB+ and LTE, to ensure good opportunities for providers and consumers of commercial radio to affect a smooth changeover from </w:t>
      </w:r>
      <w:r w:rsidR="00851788" w:rsidRPr="00E5315D">
        <w:rPr>
          <w:rFonts w:asciiTheme="minorHAnsi" w:hAnsiTheme="minorHAnsi" w:cstheme="minorHAnsi"/>
        </w:rPr>
        <w:t>analogue</w:t>
      </w:r>
      <w:r w:rsidRPr="00E5315D">
        <w:rPr>
          <w:rFonts w:asciiTheme="minorHAnsi" w:hAnsiTheme="minorHAnsi" w:cstheme="minorHAnsi"/>
        </w:rPr>
        <w:t xml:space="preserve"> to digital terrestrial radio.</w:t>
      </w:r>
      <w:r w:rsidRPr="00E5315D">
        <w:rPr>
          <w:rStyle w:val="FootnoteReference"/>
          <w:rFonts w:asciiTheme="minorHAnsi" w:hAnsiTheme="minorHAnsi" w:cstheme="minorHAnsi"/>
        </w:rPr>
        <w:footnoteReference w:id="79"/>
      </w:r>
    </w:p>
    <w:p w14:paraId="66D1BFBE" w14:textId="0EEBB5AC" w:rsidR="005077CA" w:rsidRPr="003D30E0" w:rsidRDefault="00372D6F" w:rsidP="005077CA">
      <w:pPr>
        <w:pStyle w:val="BodyText"/>
        <w:rPr>
          <w:rFonts w:asciiTheme="minorHAnsi" w:hAnsiTheme="minorHAnsi" w:cstheme="minorHAnsi"/>
          <w:b/>
          <w:i/>
        </w:rPr>
      </w:pPr>
      <w:r w:rsidRPr="003D30E0">
        <w:rPr>
          <w:rFonts w:asciiTheme="minorHAnsi" w:hAnsiTheme="minorHAnsi" w:cstheme="minorHAnsi"/>
          <w:b/>
          <w:i/>
        </w:rPr>
        <w:t>Finding: Definitive views on the future of digital terrestrial radio cannot be made at this time. Greater clarity may emerge in the medium term but significant rollout uncertainties and challenges—particularly for service provision in regional Australia—remain. The Government should continue to monitor national and international trends in the provision of digital radio.</w:t>
      </w:r>
    </w:p>
    <w:p w14:paraId="0F0704F2" w14:textId="77777777" w:rsidR="005077CA" w:rsidRPr="00E5315D" w:rsidRDefault="005077CA" w:rsidP="005077CA">
      <w:pPr>
        <w:pStyle w:val="Heading2"/>
        <w:rPr>
          <w:i/>
        </w:rPr>
      </w:pPr>
      <w:bookmarkStart w:id="52" w:name="_Toc423532094"/>
      <w:r w:rsidRPr="00E5315D">
        <w:rPr>
          <w:i/>
        </w:rPr>
        <w:t>Conclusion</w:t>
      </w:r>
      <w:bookmarkEnd w:id="52"/>
    </w:p>
    <w:p w14:paraId="1B5568EB" w14:textId="7BCBDF72" w:rsidR="00700948" w:rsidRDefault="00700948" w:rsidP="005077CA">
      <w:pPr>
        <w:pStyle w:val="BodyText"/>
        <w:rPr>
          <w:rFonts w:asciiTheme="minorHAnsi" w:hAnsiTheme="minorHAnsi" w:cstheme="minorHAnsi"/>
        </w:rPr>
      </w:pPr>
      <w:r>
        <w:rPr>
          <w:rFonts w:asciiTheme="minorHAnsi" w:hAnsiTheme="minorHAnsi" w:cstheme="minorHAnsi"/>
        </w:rPr>
        <w:t>Australians now have access to a wide variety of listening choices</w:t>
      </w:r>
      <w:r w:rsidR="00EE407D">
        <w:rPr>
          <w:rFonts w:asciiTheme="minorHAnsi" w:hAnsiTheme="minorHAnsi" w:cstheme="minorHAnsi"/>
        </w:rPr>
        <w:t xml:space="preserve">. </w:t>
      </w:r>
      <w:r>
        <w:rPr>
          <w:rFonts w:asciiTheme="minorHAnsi" w:hAnsiTheme="minorHAnsi" w:cstheme="minorHAnsi"/>
        </w:rPr>
        <w:t xml:space="preserve">Analogue radio, particularly FM services, continues to provide a stable backbone for commercial, national and </w:t>
      </w:r>
      <w:r w:rsidR="000767C0">
        <w:rPr>
          <w:rFonts w:asciiTheme="minorHAnsi" w:hAnsiTheme="minorHAnsi" w:cstheme="minorHAnsi"/>
        </w:rPr>
        <w:t>community</w:t>
      </w:r>
      <w:r>
        <w:rPr>
          <w:rFonts w:asciiTheme="minorHAnsi" w:hAnsiTheme="minorHAnsi" w:cstheme="minorHAnsi"/>
        </w:rPr>
        <w:t xml:space="preserve"> radio broadcasters, and retains substantial numbers of listeners</w:t>
      </w:r>
      <w:r w:rsidR="00EE407D">
        <w:rPr>
          <w:rFonts w:asciiTheme="minorHAnsi" w:hAnsiTheme="minorHAnsi" w:cstheme="minorHAnsi"/>
        </w:rPr>
        <w:t xml:space="preserve">. </w:t>
      </w:r>
      <w:r>
        <w:rPr>
          <w:rFonts w:asciiTheme="minorHAnsi" w:hAnsiTheme="minorHAnsi" w:cstheme="minorHAnsi"/>
        </w:rPr>
        <w:t>Digital terrestrial services are gradually making their way into Australian homes and cars, as people become more aware of them</w:t>
      </w:r>
      <w:r w:rsidR="00EE407D">
        <w:rPr>
          <w:rFonts w:asciiTheme="minorHAnsi" w:hAnsiTheme="minorHAnsi" w:cstheme="minorHAnsi"/>
        </w:rPr>
        <w:t xml:space="preserve">. </w:t>
      </w:r>
      <w:r>
        <w:rPr>
          <w:rFonts w:asciiTheme="minorHAnsi" w:hAnsiTheme="minorHAnsi" w:cstheme="minorHAnsi"/>
        </w:rPr>
        <w:t>The online and mobile platform is increasingly a source of audio services with rapidly growing audiences</w:t>
      </w:r>
      <w:r w:rsidR="00EE407D">
        <w:rPr>
          <w:rFonts w:asciiTheme="minorHAnsi" w:hAnsiTheme="minorHAnsi" w:cstheme="minorHAnsi"/>
        </w:rPr>
        <w:t xml:space="preserve">. </w:t>
      </w:r>
      <w:r>
        <w:rPr>
          <w:rFonts w:asciiTheme="minorHAnsi" w:hAnsiTheme="minorHAnsi" w:cstheme="minorHAnsi"/>
        </w:rPr>
        <w:t>Each system provides different benefits and services</w:t>
      </w:r>
      <w:r w:rsidR="00DE1232">
        <w:rPr>
          <w:rFonts w:asciiTheme="minorHAnsi" w:hAnsiTheme="minorHAnsi" w:cstheme="minorHAnsi"/>
        </w:rPr>
        <w:t>, and serves overlapping but not fully contiguous audiences</w:t>
      </w:r>
      <w:r w:rsidR="00EE407D">
        <w:rPr>
          <w:rFonts w:asciiTheme="minorHAnsi" w:hAnsiTheme="minorHAnsi" w:cstheme="minorHAnsi"/>
        </w:rPr>
        <w:t xml:space="preserve">. </w:t>
      </w:r>
      <w:r>
        <w:rPr>
          <w:rFonts w:asciiTheme="minorHAnsi" w:hAnsiTheme="minorHAnsi" w:cstheme="minorHAnsi"/>
        </w:rPr>
        <w:t xml:space="preserve">For the </w:t>
      </w:r>
      <w:r w:rsidR="001B0F8E">
        <w:rPr>
          <w:rFonts w:asciiTheme="minorHAnsi" w:hAnsiTheme="minorHAnsi" w:cstheme="minorHAnsi"/>
        </w:rPr>
        <w:t>foreseeable</w:t>
      </w:r>
      <w:r>
        <w:rPr>
          <w:rFonts w:asciiTheme="minorHAnsi" w:hAnsiTheme="minorHAnsi" w:cstheme="minorHAnsi"/>
        </w:rPr>
        <w:t xml:space="preserve"> future, these services are likely to exist side by side and find their own competitive balance.</w:t>
      </w:r>
    </w:p>
    <w:p w14:paraId="36A6D145" w14:textId="625A5E8A"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The need to cover large geographic areas with small and dispersed populations in Australia provides unique challenges for the introduction of digital </w:t>
      </w:r>
      <w:r w:rsidR="00DE1232">
        <w:rPr>
          <w:rFonts w:asciiTheme="minorHAnsi" w:hAnsiTheme="minorHAnsi" w:cstheme="minorHAnsi"/>
        </w:rPr>
        <w:t xml:space="preserve">terrestrial </w:t>
      </w:r>
      <w:r w:rsidRPr="00E5315D">
        <w:rPr>
          <w:rFonts w:asciiTheme="minorHAnsi" w:hAnsiTheme="minorHAnsi" w:cstheme="minorHAnsi"/>
        </w:rPr>
        <w:t xml:space="preserve">radio, which has not been experienced in many international markets. Given the coverage characteristics of DAB+ radio technology; the necessity that both DAB and DRM radio services </w:t>
      </w:r>
      <w:r w:rsidR="00DE1232">
        <w:rPr>
          <w:rFonts w:asciiTheme="minorHAnsi" w:hAnsiTheme="minorHAnsi" w:cstheme="minorHAnsi"/>
        </w:rPr>
        <w:t>may</w:t>
      </w:r>
      <w:r w:rsidR="00DE1232" w:rsidRPr="00E5315D">
        <w:rPr>
          <w:rFonts w:asciiTheme="minorHAnsi" w:hAnsiTheme="minorHAnsi" w:cstheme="minorHAnsi"/>
        </w:rPr>
        <w:t xml:space="preserve"> </w:t>
      </w:r>
      <w:r w:rsidRPr="00E5315D">
        <w:rPr>
          <w:rFonts w:asciiTheme="minorHAnsi" w:hAnsiTheme="minorHAnsi" w:cstheme="minorHAnsi"/>
        </w:rPr>
        <w:t xml:space="preserve">need to be established to provide ubiquitous coverage across regional Australia; </w:t>
      </w:r>
      <w:r w:rsidR="00DE1232">
        <w:rPr>
          <w:rFonts w:asciiTheme="minorHAnsi" w:hAnsiTheme="minorHAnsi" w:cstheme="minorHAnsi"/>
        </w:rPr>
        <w:t xml:space="preserve">the growth of alternative digital platforms; </w:t>
      </w:r>
      <w:r w:rsidRPr="00E5315D">
        <w:rPr>
          <w:rFonts w:asciiTheme="minorHAnsi" w:hAnsiTheme="minorHAnsi" w:cstheme="minorHAnsi"/>
        </w:rPr>
        <w:t xml:space="preserve">and the </w:t>
      </w:r>
      <w:r w:rsidR="00DE1232">
        <w:rPr>
          <w:rFonts w:asciiTheme="minorHAnsi" w:hAnsiTheme="minorHAnsi" w:cstheme="minorHAnsi"/>
        </w:rPr>
        <w:t xml:space="preserve">still </w:t>
      </w:r>
      <w:r w:rsidRPr="00E5315D">
        <w:rPr>
          <w:rFonts w:asciiTheme="minorHAnsi" w:hAnsiTheme="minorHAnsi" w:cstheme="minorHAnsi"/>
        </w:rPr>
        <w:t>modest audiences for established digital radio services</w:t>
      </w:r>
      <w:r w:rsidR="00DE1232">
        <w:rPr>
          <w:rFonts w:asciiTheme="minorHAnsi" w:hAnsiTheme="minorHAnsi" w:cstheme="minorHAnsi"/>
        </w:rPr>
        <w:t xml:space="preserve"> compared to analogue services</w:t>
      </w:r>
      <w:r w:rsidRPr="00E5315D">
        <w:rPr>
          <w:rFonts w:asciiTheme="minorHAnsi" w:hAnsiTheme="minorHAnsi" w:cstheme="minorHAnsi"/>
        </w:rPr>
        <w:t xml:space="preserve">, the review cannot see a clear and viable pathway to </w:t>
      </w:r>
      <w:r w:rsidR="00EE548F">
        <w:rPr>
          <w:rFonts w:asciiTheme="minorHAnsi" w:hAnsiTheme="minorHAnsi" w:cstheme="minorHAnsi"/>
        </w:rPr>
        <w:t xml:space="preserve">switching to digital-only </w:t>
      </w:r>
      <w:r w:rsidRPr="00E5315D">
        <w:rPr>
          <w:rFonts w:asciiTheme="minorHAnsi" w:hAnsiTheme="minorHAnsi" w:cstheme="minorHAnsi"/>
        </w:rPr>
        <w:t xml:space="preserve">radio services </w:t>
      </w:r>
      <w:r w:rsidR="007F65EE">
        <w:rPr>
          <w:rFonts w:asciiTheme="minorHAnsi" w:hAnsiTheme="minorHAnsi" w:cstheme="minorHAnsi"/>
        </w:rPr>
        <w:t>at this time</w:t>
      </w:r>
      <w:r w:rsidRPr="00E5315D">
        <w:rPr>
          <w:rFonts w:asciiTheme="minorHAnsi" w:hAnsiTheme="minorHAnsi" w:cstheme="minorHAnsi"/>
        </w:rPr>
        <w:t xml:space="preserve">. This is regardless of the switchover </w:t>
      </w:r>
      <w:r w:rsidR="003E041E">
        <w:rPr>
          <w:rFonts w:asciiTheme="minorHAnsi" w:hAnsiTheme="minorHAnsi" w:cstheme="minorHAnsi"/>
        </w:rPr>
        <w:t xml:space="preserve">announced in countries such as Norway and </w:t>
      </w:r>
      <w:r w:rsidRPr="00E5315D">
        <w:rPr>
          <w:rFonts w:asciiTheme="minorHAnsi" w:hAnsiTheme="minorHAnsi" w:cstheme="minorHAnsi"/>
        </w:rPr>
        <w:t xml:space="preserve">aspirations of other countries such as the United Kingdom. </w:t>
      </w:r>
    </w:p>
    <w:p w14:paraId="38B70C00" w14:textId="7BB5B707" w:rsidR="005077CA" w:rsidRPr="00E5315D" w:rsidRDefault="005077CA" w:rsidP="005077CA">
      <w:pPr>
        <w:pStyle w:val="BodyText"/>
        <w:rPr>
          <w:rFonts w:asciiTheme="minorHAnsi" w:hAnsiTheme="minorHAnsi" w:cstheme="minorHAnsi"/>
          <w:b/>
          <w:i/>
        </w:rPr>
      </w:pPr>
      <w:r w:rsidRPr="00E5315D">
        <w:rPr>
          <w:rFonts w:asciiTheme="minorHAnsi" w:hAnsiTheme="minorHAnsi" w:cstheme="minorHAnsi"/>
          <w:b/>
          <w:i/>
        </w:rPr>
        <w:t>Finding: Australia will continue to</w:t>
      </w:r>
      <w:r w:rsidR="00393C3D">
        <w:rPr>
          <w:rFonts w:asciiTheme="minorHAnsi" w:hAnsiTheme="minorHAnsi" w:cstheme="minorHAnsi"/>
          <w:b/>
          <w:i/>
        </w:rPr>
        <w:t xml:space="preserve"> rely on a combination of comple</w:t>
      </w:r>
      <w:r w:rsidRPr="00E5315D">
        <w:rPr>
          <w:rFonts w:asciiTheme="minorHAnsi" w:hAnsiTheme="minorHAnsi" w:cstheme="minorHAnsi"/>
          <w:b/>
          <w:i/>
        </w:rPr>
        <w:t xml:space="preserve">mentary </w:t>
      </w:r>
      <w:r w:rsidR="00851788" w:rsidRPr="00E5315D">
        <w:rPr>
          <w:rFonts w:asciiTheme="minorHAnsi" w:hAnsiTheme="minorHAnsi" w:cstheme="minorHAnsi"/>
          <w:b/>
          <w:i/>
        </w:rPr>
        <w:t>analogue</w:t>
      </w:r>
      <w:r w:rsidRPr="00E5315D">
        <w:rPr>
          <w:rFonts w:asciiTheme="minorHAnsi" w:hAnsiTheme="minorHAnsi" w:cstheme="minorHAnsi"/>
          <w:b/>
          <w:i/>
        </w:rPr>
        <w:t xml:space="preserve">, digital and online radio technologies to deliver radio </w:t>
      </w:r>
      <w:r w:rsidR="00837233">
        <w:rPr>
          <w:rFonts w:asciiTheme="minorHAnsi" w:hAnsiTheme="minorHAnsi" w:cstheme="minorHAnsi"/>
          <w:b/>
          <w:i/>
        </w:rPr>
        <w:t xml:space="preserve">services </w:t>
      </w:r>
      <w:r w:rsidRPr="00E5315D">
        <w:rPr>
          <w:rFonts w:asciiTheme="minorHAnsi" w:hAnsiTheme="minorHAnsi" w:cstheme="minorHAnsi"/>
          <w:b/>
          <w:i/>
        </w:rPr>
        <w:t xml:space="preserve">to all Australians. Digital </w:t>
      </w:r>
      <w:r w:rsidR="00DE1232">
        <w:rPr>
          <w:rFonts w:asciiTheme="minorHAnsi" w:hAnsiTheme="minorHAnsi" w:cstheme="minorHAnsi"/>
          <w:b/>
          <w:i/>
        </w:rPr>
        <w:t xml:space="preserve">terrestrial </w:t>
      </w:r>
      <w:r w:rsidRPr="00E5315D">
        <w:rPr>
          <w:rFonts w:asciiTheme="minorHAnsi" w:hAnsiTheme="minorHAnsi" w:cstheme="minorHAnsi"/>
          <w:b/>
          <w:i/>
        </w:rPr>
        <w:t>radio will continue as a supplementary, rather than a replacement, technology in at least the short to medium term.</w:t>
      </w:r>
    </w:p>
    <w:p w14:paraId="61541DDC" w14:textId="77777777" w:rsidR="005077CA" w:rsidRDefault="005077CA" w:rsidP="005077CA">
      <w:pPr>
        <w:pStyle w:val="BodyText"/>
        <w:rPr>
          <w:rFonts w:asciiTheme="minorHAnsi" w:hAnsiTheme="minorHAnsi" w:cstheme="minorHAnsi"/>
          <w:b/>
          <w:i/>
        </w:rPr>
      </w:pPr>
      <w:r w:rsidRPr="00E5315D">
        <w:rPr>
          <w:rFonts w:asciiTheme="minorHAnsi" w:hAnsiTheme="minorHAnsi" w:cstheme="minorHAnsi"/>
          <w:b/>
          <w:i/>
        </w:rPr>
        <w:t>Recommendation:</w:t>
      </w:r>
      <w:r w:rsidRPr="00E5315D">
        <w:rPr>
          <w:b/>
          <w:i/>
        </w:rPr>
        <w:t xml:space="preserve"> </w:t>
      </w:r>
      <w:r w:rsidRPr="00E5315D">
        <w:rPr>
          <w:rFonts w:asciiTheme="minorHAnsi" w:hAnsiTheme="minorHAnsi" w:cstheme="minorHAnsi"/>
          <w:b/>
          <w:i/>
        </w:rPr>
        <w:t xml:space="preserve">The Government should not set a timetable for </w:t>
      </w:r>
      <w:r w:rsidR="00851788" w:rsidRPr="00E5315D">
        <w:rPr>
          <w:rFonts w:asciiTheme="minorHAnsi" w:hAnsiTheme="minorHAnsi" w:cstheme="minorHAnsi"/>
          <w:b/>
          <w:i/>
        </w:rPr>
        <w:t>analogue</w:t>
      </w:r>
      <w:r w:rsidRPr="00E5315D">
        <w:rPr>
          <w:rFonts w:asciiTheme="minorHAnsi" w:hAnsiTheme="minorHAnsi" w:cstheme="minorHAnsi"/>
          <w:b/>
          <w:i/>
        </w:rPr>
        <w:t xml:space="preserve"> radio switch off</w:t>
      </w:r>
      <w:r w:rsidR="001F5C3D">
        <w:rPr>
          <w:rFonts w:asciiTheme="minorHAnsi" w:hAnsiTheme="minorHAnsi" w:cstheme="minorHAnsi"/>
          <w:b/>
          <w:i/>
        </w:rPr>
        <w:t xml:space="preserve"> at this time</w:t>
      </w:r>
      <w:r w:rsidRPr="00E5315D">
        <w:rPr>
          <w:rFonts w:asciiTheme="minorHAnsi" w:hAnsiTheme="minorHAnsi" w:cstheme="minorHAnsi"/>
          <w:b/>
          <w:i/>
        </w:rPr>
        <w:t>.</w:t>
      </w:r>
    </w:p>
    <w:p w14:paraId="3464E9C0" w14:textId="77777777" w:rsidR="00B46A4C" w:rsidRPr="00E5315D" w:rsidRDefault="00B46A4C" w:rsidP="005077CA">
      <w:pPr>
        <w:pStyle w:val="BodyText"/>
        <w:rPr>
          <w:rFonts w:asciiTheme="minorHAnsi" w:hAnsiTheme="minorHAnsi" w:cstheme="minorHAnsi"/>
        </w:rPr>
      </w:pPr>
    </w:p>
    <w:p w14:paraId="730A7429" w14:textId="77777777" w:rsidR="005077CA" w:rsidRPr="00E5315D" w:rsidRDefault="005077CA" w:rsidP="005077CA">
      <w:pPr>
        <w:pStyle w:val="Heading1"/>
      </w:pPr>
      <w:bookmarkStart w:id="53" w:name="_Toc423532095"/>
      <w:bookmarkStart w:id="54" w:name="_Toc395694230"/>
      <w:bookmarkStart w:id="55" w:name="_Toc396212045"/>
      <w:bookmarkStart w:id="56" w:name="_Toc397517667"/>
      <w:bookmarkStart w:id="57" w:name="_Toc397692659"/>
      <w:r w:rsidRPr="00E5315D">
        <w:t>Digital radio rollout in regional areas</w:t>
      </w:r>
      <w:bookmarkEnd w:id="53"/>
    </w:p>
    <w:p w14:paraId="731730AB" w14:textId="77777777" w:rsidR="005077CA" w:rsidRPr="00E5315D" w:rsidRDefault="005077CA" w:rsidP="005077CA">
      <w:pPr>
        <w:pStyle w:val="Heading2"/>
        <w:numPr>
          <w:ilvl w:val="1"/>
          <w:numId w:val="71"/>
        </w:numPr>
        <w:rPr>
          <w:i/>
        </w:rPr>
      </w:pPr>
      <w:bookmarkStart w:id="58" w:name="_Toc390438500"/>
      <w:bookmarkStart w:id="59" w:name="_Toc395694232"/>
      <w:bookmarkStart w:id="60" w:name="_Toc396212046"/>
      <w:bookmarkStart w:id="61" w:name="_Toc423532096"/>
      <w:bookmarkStart w:id="62" w:name="_Toc397517873"/>
      <w:bookmarkEnd w:id="54"/>
      <w:bookmarkEnd w:id="55"/>
      <w:bookmarkEnd w:id="56"/>
      <w:bookmarkEnd w:id="57"/>
      <w:r w:rsidRPr="00E5315D">
        <w:rPr>
          <w:i/>
        </w:rPr>
        <w:t>Funding for regional rollout</w:t>
      </w:r>
      <w:bookmarkEnd w:id="58"/>
      <w:bookmarkEnd w:id="59"/>
      <w:bookmarkEnd w:id="60"/>
      <w:bookmarkEnd w:id="61"/>
      <w:r w:rsidRPr="00E5315D">
        <w:rPr>
          <w:i/>
        </w:rPr>
        <w:t xml:space="preserve"> </w:t>
      </w:r>
      <w:bookmarkEnd w:id="62"/>
    </w:p>
    <w:p w14:paraId="5BB2FFFD" w14:textId="4BC7274D" w:rsidR="005077CA" w:rsidRPr="00E5315D" w:rsidRDefault="005077CA" w:rsidP="005077CA">
      <w:pPr>
        <w:pStyle w:val="BodyText"/>
      </w:pPr>
      <w:r w:rsidRPr="00E5315D">
        <w:t>Multiple submissions to the review focused on the desirability of a regional rollout of digital radio</w:t>
      </w:r>
      <w:r w:rsidR="00924BBE">
        <w:t xml:space="preserve"> using DAB+ technology</w:t>
      </w:r>
      <w:r w:rsidRPr="00E5315D">
        <w:t xml:space="preserve">. The CRA </w:t>
      </w:r>
      <w:r w:rsidR="003C11B1">
        <w:t xml:space="preserve">submission outlined a </w:t>
      </w:r>
      <w:r w:rsidRPr="00E5315D">
        <w:t>DAB+ Regional Rollout Plan</w:t>
      </w:r>
      <w:r w:rsidR="003C11B1">
        <w:t xml:space="preserve"> which </w:t>
      </w:r>
      <w:r w:rsidRPr="00E5315D">
        <w:t xml:space="preserve">suggests a phased approach where </w:t>
      </w:r>
      <w:r w:rsidR="000767C0">
        <w:t>digital radio services</w:t>
      </w:r>
      <w:r w:rsidRPr="00E5315D">
        <w:t xml:space="preserve"> would be rolled out over a period of seven years to all regional population centres, towns and cities with a population in excess of 5,000 in one phase, followed by other areas in regional Australia in a second phase.</w:t>
      </w:r>
      <w:r w:rsidRPr="00E5315D">
        <w:rPr>
          <w:rStyle w:val="FootnoteReference"/>
        </w:rPr>
        <w:footnoteReference w:id="80"/>
      </w:r>
      <w:r w:rsidRPr="00E5315D">
        <w:t xml:space="preserve"> </w:t>
      </w:r>
    </w:p>
    <w:p w14:paraId="6D7358BF" w14:textId="701B529C"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While submissions did not speculate on the quantum of funding for this rollout, in 2013 </w:t>
      </w:r>
      <w:r w:rsidR="00DA1BC6">
        <w:rPr>
          <w:rFonts w:asciiTheme="minorHAnsi" w:hAnsiTheme="minorHAnsi" w:cstheme="minorHAnsi"/>
        </w:rPr>
        <w:t>the</w:t>
      </w:r>
      <w:r w:rsidRPr="00E5315D">
        <w:rPr>
          <w:rFonts w:asciiTheme="minorHAnsi" w:hAnsiTheme="minorHAnsi" w:cstheme="minorHAnsi"/>
        </w:rPr>
        <w:t xml:space="preserve"> CRA estimated that </w:t>
      </w:r>
      <w:r w:rsidR="006C2717">
        <w:rPr>
          <w:rFonts w:asciiTheme="minorHAnsi" w:hAnsiTheme="minorHAnsi" w:cstheme="minorHAnsi"/>
        </w:rPr>
        <w:t>g</w:t>
      </w:r>
      <w:r w:rsidRPr="00E5315D">
        <w:rPr>
          <w:rFonts w:asciiTheme="minorHAnsi" w:hAnsiTheme="minorHAnsi" w:cstheme="minorHAnsi"/>
        </w:rPr>
        <w:t>overnment funding of approximately $500 million over a 16 year period would be required for a regional radio rollout to the major regional areas of Australia.</w:t>
      </w:r>
      <w:r w:rsidRPr="00E5315D">
        <w:rPr>
          <w:rStyle w:val="FootnoteReference"/>
          <w:rFonts w:asciiTheme="minorHAnsi" w:hAnsiTheme="minorHAnsi" w:cstheme="minorHAnsi"/>
        </w:rPr>
        <w:footnoteReference w:id="81"/>
      </w:r>
      <w:r w:rsidRPr="00E5315D">
        <w:rPr>
          <w:rFonts w:asciiTheme="minorHAnsi" w:hAnsiTheme="minorHAnsi" w:cstheme="minorHAnsi"/>
        </w:rPr>
        <w:t xml:space="preserve"> </w:t>
      </w:r>
      <w:r w:rsidR="00F23329">
        <w:rPr>
          <w:rFonts w:asciiTheme="minorHAnsi" w:hAnsiTheme="minorHAnsi" w:cstheme="minorHAnsi"/>
        </w:rPr>
        <w:t>This</w:t>
      </w:r>
      <w:r w:rsidRPr="00E5315D">
        <w:rPr>
          <w:rFonts w:asciiTheme="minorHAnsi" w:hAnsiTheme="minorHAnsi" w:cstheme="minorHAnsi"/>
        </w:rPr>
        <w:t xml:space="preserve"> represent</w:t>
      </w:r>
      <w:r w:rsidR="00F23329">
        <w:rPr>
          <w:rFonts w:asciiTheme="minorHAnsi" w:hAnsiTheme="minorHAnsi" w:cstheme="minorHAnsi"/>
        </w:rPr>
        <w:t>s</w:t>
      </w:r>
      <w:r w:rsidRPr="00E5315D">
        <w:rPr>
          <w:rFonts w:asciiTheme="minorHAnsi" w:hAnsiTheme="minorHAnsi" w:cstheme="minorHAnsi"/>
        </w:rPr>
        <w:t xml:space="preserve"> a significant cost to the public purse</w:t>
      </w:r>
      <w:r w:rsidR="00F23329">
        <w:rPr>
          <w:rFonts w:asciiTheme="minorHAnsi" w:hAnsiTheme="minorHAnsi" w:cstheme="minorHAnsi"/>
        </w:rPr>
        <w:t xml:space="preserve">, although it is understood </w:t>
      </w:r>
      <w:r w:rsidR="00DA1BC6">
        <w:rPr>
          <w:rFonts w:asciiTheme="minorHAnsi" w:hAnsiTheme="minorHAnsi" w:cstheme="minorHAnsi"/>
        </w:rPr>
        <w:t xml:space="preserve">the </w:t>
      </w:r>
      <w:r w:rsidR="00F23329">
        <w:rPr>
          <w:rFonts w:asciiTheme="minorHAnsi" w:hAnsiTheme="minorHAnsi" w:cstheme="minorHAnsi"/>
        </w:rPr>
        <w:t>CRA is reviewing this figure</w:t>
      </w:r>
      <w:r w:rsidR="00EE407D">
        <w:rPr>
          <w:rFonts w:asciiTheme="minorHAnsi" w:hAnsiTheme="minorHAnsi" w:cstheme="minorHAnsi"/>
        </w:rPr>
        <w:t xml:space="preserve">. </w:t>
      </w:r>
      <w:r w:rsidR="005F6065">
        <w:rPr>
          <w:rFonts w:asciiTheme="minorHAnsi" w:hAnsiTheme="minorHAnsi" w:cstheme="minorHAnsi"/>
        </w:rPr>
        <w:t xml:space="preserve">The </w:t>
      </w:r>
      <w:r w:rsidRPr="00E5315D">
        <w:rPr>
          <w:rFonts w:asciiTheme="minorHAnsi" w:hAnsiTheme="minorHAnsi" w:cstheme="minorHAnsi"/>
        </w:rPr>
        <w:t xml:space="preserve">CRA argued that this </w:t>
      </w:r>
      <w:r w:rsidR="00806575">
        <w:rPr>
          <w:rFonts w:asciiTheme="minorHAnsi" w:hAnsiTheme="minorHAnsi" w:cstheme="minorHAnsi"/>
        </w:rPr>
        <w:t xml:space="preserve">amount </w:t>
      </w:r>
      <w:r w:rsidRPr="00E5315D">
        <w:rPr>
          <w:rFonts w:asciiTheme="minorHAnsi" w:hAnsiTheme="minorHAnsi" w:cstheme="minorHAnsi"/>
        </w:rPr>
        <w:t>compare</w:t>
      </w:r>
      <w:r w:rsidR="000767C0">
        <w:rPr>
          <w:rFonts w:asciiTheme="minorHAnsi" w:hAnsiTheme="minorHAnsi" w:cstheme="minorHAnsi"/>
        </w:rPr>
        <w:t>d</w:t>
      </w:r>
      <w:r w:rsidRPr="00E5315D">
        <w:rPr>
          <w:rFonts w:asciiTheme="minorHAnsi" w:hAnsiTheme="minorHAnsi" w:cstheme="minorHAnsi"/>
        </w:rPr>
        <w:t xml:space="preserve"> favourably with the cost of digital television switchover.</w:t>
      </w:r>
      <w:r w:rsidRPr="00E5315D">
        <w:rPr>
          <w:rStyle w:val="FootnoteReference"/>
          <w:rFonts w:asciiTheme="minorHAnsi" w:hAnsiTheme="minorHAnsi" w:cstheme="minorHAnsi"/>
        </w:rPr>
        <w:footnoteReference w:id="82"/>
      </w:r>
      <w:r w:rsidR="00F9585A">
        <w:rPr>
          <w:rFonts w:asciiTheme="minorHAnsi" w:hAnsiTheme="minorHAnsi" w:cstheme="minorHAnsi"/>
        </w:rPr>
        <w:t xml:space="preserve"> The review notes that the switchover of digital television resulted in the release of </w:t>
      </w:r>
      <w:r w:rsidR="00924BBE">
        <w:rPr>
          <w:rFonts w:asciiTheme="minorHAnsi" w:hAnsiTheme="minorHAnsi" w:cstheme="minorHAnsi"/>
        </w:rPr>
        <w:t xml:space="preserve">high value </w:t>
      </w:r>
      <w:r w:rsidR="00F9585A">
        <w:rPr>
          <w:rFonts w:asciiTheme="minorHAnsi" w:hAnsiTheme="minorHAnsi" w:cstheme="minorHAnsi"/>
        </w:rPr>
        <w:t xml:space="preserve">spectrum to the market and that no such outcome </w:t>
      </w:r>
      <w:r w:rsidR="004B4D2E">
        <w:rPr>
          <w:rFonts w:asciiTheme="minorHAnsi" w:hAnsiTheme="minorHAnsi" w:cstheme="minorHAnsi"/>
        </w:rPr>
        <w:t>could be anticipated</w:t>
      </w:r>
      <w:r w:rsidR="00F9585A">
        <w:rPr>
          <w:rFonts w:asciiTheme="minorHAnsi" w:hAnsiTheme="minorHAnsi" w:cstheme="minorHAnsi"/>
        </w:rPr>
        <w:t xml:space="preserve"> with the rollout of digital radio</w:t>
      </w:r>
      <w:r w:rsidR="004B4D2E">
        <w:rPr>
          <w:rFonts w:asciiTheme="minorHAnsi" w:hAnsiTheme="minorHAnsi" w:cstheme="minorHAnsi"/>
        </w:rPr>
        <w:t>, even if a switchover from analogue radio was to occur</w:t>
      </w:r>
      <w:r w:rsidR="00F9585A">
        <w:rPr>
          <w:rFonts w:asciiTheme="minorHAnsi" w:hAnsiTheme="minorHAnsi" w:cstheme="minorHAnsi"/>
        </w:rPr>
        <w:t>.</w:t>
      </w:r>
    </w:p>
    <w:p w14:paraId="4D17C38E" w14:textId="02045209" w:rsidR="00F23329" w:rsidRPr="00074720" w:rsidRDefault="005077CA" w:rsidP="000767C0">
      <w:pPr>
        <w:pStyle w:val="BodyText"/>
      </w:pPr>
      <w:r w:rsidRPr="00E5315D">
        <w:rPr>
          <w:rFonts w:asciiTheme="minorHAnsi" w:hAnsiTheme="minorHAnsi" w:cstheme="minorHAnsi"/>
        </w:rPr>
        <w:t xml:space="preserve">As discussed in Part 2, a range of new audio services are becoming available through mobiles, smart devices and other platforms which, over time, will provide increasing competition for digital radio. </w:t>
      </w:r>
      <w:r w:rsidR="00F23329">
        <w:t xml:space="preserve">Greater clarity on how the market for competing services </w:t>
      </w:r>
      <w:r w:rsidR="00BD3F3C">
        <w:t xml:space="preserve">will evolve </w:t>
      </w:r>
      <w:r w:rsidR="00F23329">
        <w:t xml:space="preserve">may </w:t>
      </w:r>
      <w:r w:rsidR="00F23329" w:rsidRPr="00074720">
        <w:t>emerge in the medium term but significant rollout uncertainties and challenges</w:t>
      </w:r>
      <w:r w:rsidR="00F23329">
        <w:t xml:space="preserve"> </w:t>
      </w:r>
      <w:r w:rsidR="00F23329" w:rsidRPr="00074720">
        <w:t xml:space="preserve">remain. </w:t>
      </w:r>
    </w:p>
    <w:p w14:paraId="23B5FB59" w14:textId="5208DD89" w:rsidR="005077CA" w:rsidRPr="00E5315D" w:rsidRDefault="005077CA" w:rsidP="001405E4">
      <w:pPr>
        <w:pStyle w:val="BodyText"/>
        <w:rPr>
          <w:rFonts w:asciiTheme="minorHAnsi" w:hAnsiTheme="minorHAnsi" w:cstheme="minorHAnsi"/>
        </w:rPr>
      </w:pPr>
      <w:r w:rsidRPr="00E5315D">
        <w:rPr>
          <w:rFonts w:asciiTheme="minorHAnsi" w:hAnsiTheme="minorHAnsi" w:cstheme="minorHAnsi"/>
        </w:rPr>
        <w:t xml:space="preserve">Given this, the timing, level of investment, and method of how digital radio services are made available to regional areas should be commercial decisions for broadcasters. They will be best placed to decide the mix of technologies, platforms and services that are likely to be commercially viable in the medium to long term. </w:t>
      </w:r>
    </w:p>
    <w:p w14:paraId="17785A3B" w14:textId="053B825B" w:rsidR="005077CA" w:rsidRPr="00E5315D" w:rsidRDefault="005077CA" w:rsidP="005077CA">
      <w:pPr>
        <w:pStyle w:val="BodyText"/>
        <w:rPr>
          <w:rFonts w:asciiTheme="minorHAnsi" w:hAnsiTheme="minorHAnsi" w:cstheme="minorHAnsi"/>
          <w:b/>
          <w:i/>
        </w:rPr>
      </w:pPr>
      <w:r w:rsidRPr="00E5315D">
        <w:rPr>
          <w:rFonts w:asciiTheme="minorHAnsi" w:hAnsiTheme="minorHAnsi" w:cstheme="minorHAnsi"/>
          <w:b/>
          <w:i/>
        </w:rPr>
        <w:t xml:space="preserve">Finding: The rollout of digital </w:t>
      </w:r>
      <w:r w:rsidR="004055E4">
        <w:rPr>
          <w:rFonts w:asciiTheme="minorHAnsi" w:hAnsiTheme="minorHAnsi" w:cstheme="minorHAnsi"/>
          <w:b/>
          <w:i/>
        </w:rPr>
        <w:t xml:space="preserve">terrestrial </w:t>
      </w:r>
      <w:r w:rsidRPr="00E5315D">
        <w:rPr>
          <w:rFonts w:asciiTheme="minorHAnsi" w:hAnsiTheme="minorHAnsi" w:cstheme="minorHAnsi"/>
          <w:b/>
          <w:i/>
        </w:rPr>
        <w:t xml:space="preserve">radio services in regional areas </w:t>
      </w:r>
      <w:r w:rsidR="00826153">
        <w:rPr>
          <w:rFonts w:asciiTheme="minorHAnsi" w:hAnsiTheme="minorHAnsi" w:cstheme="minorHAnsi"/>
          <w:b/>
          <w:i/>
        </w:rPr>
        <w:t>should be</w:t>
      </w:r>
      <w:r w:rsidR="00826153" w:rsidRPr="00E5315D">
        <w:rPr>
          <w:rFonts w:asciiTheme="minorHAnsi" w:hAnsiTheme="minorHAnsi" w:cstheme="minorHAnsi"/>
          <w:b/>
          <w:i/>
        </w:rPr>
        <w:t xml:space="preserve"> </w:t>
      </w:r>
      <w:r w:rsidRPr="00E5315D">
        <w:rPr>
          <w:rFonts w:asciiTheme="minorHAnsi" w:hAnsiTheme="minorHAnsi" w:cstheme="minorHAnsi"/>
          <w:b/>
          <w:i/>
        </w:rPr>
        <w:t>a commercial decision for broadcasters, subject to spectrum availability and planning.</w:t>
      </w:r>
    </w:p>
    <w:p w14:paraId="7F2A3530" w14:textId="77777777" w:rsidR="005077CA" w:rsidRPr="00E5315D" w:rsidRDefault="005077CA" w:rsidP="005077CA">
      <w:pPr>
        <w:pStyle w:val="BodyText"/>
      </w:pPr>
      <w:r w:rsidRPr="00E5315D">
        <w:rPr>
          <w:i/>
        </w:rPr>
        <w:t xml:space="preserve">National Broadcasters </w:t>
      </w:r>
      <w:r w:rsidRPr="00E5315D">
        <w:t xml:space="preserve"> </w:t>
      </w:r>
    </w:p>
    <w:p w14:paraId="114775A4" w14:textId="1D982DD1" w:rsidR="005077CA" w:rsidRPr="00E5315D" w:rsidRDefault="005077CA" w:rsidP="005077CA">
      <w:pPr>
        <w:pStyle w:val="BodyText"/>
        <w:rPr>
          <w:rFonts w:asciiTheme="minorHAnsi" w:hAnsiTheme="minorHAnsi" w:cstheme="minorHAnsi"/>
        </w:rPr>
      </w:pPr>
      <w:r w:rsidRPr="00CE4251">
        <w:rPr>
          <w:rFonts w:asciiTheme="minorHAnsi" w:hAnsiTheme="minorHAnsi" w:cstheme="minorHAnsi"/>
        </w:rPr>
        <w:t xml:space="preserve">Funding </w:t>
      </w:r>
      <w:r w:rsidR="00B70C9E" w:rsidRPr="00CE4251">
        <w:rPr>
          <w:rFonts w:asciiTheme="minorHAnsi" w:hAnsiTheme="minorHAnsi" w:cstheme="minorHAnsi"/>
        </w:rPr>
        <w:t xml:space="preserve">has been specifically </w:t>
      </w:r>
      <w:r w:rsidRPr="00CE4251">
        <w:rPr>
          <w:rFonts w:asciiTheme="minorHAnsi" w:hAnsiTheme="minorHAnsi" w:cstheme="minorHAnsi"/>
        </w:rPr>
        <w:t>provided by the Government to the ABC and SBS, as part of the</w:t>
      </w:r>
      <w:r w:rsidR="00B70C9E" w:rsidRPr="00CE4251">
        <w:rPr>
          <w:rFonts w:asciiTheme="minorHAnsi" w:hAnsiTheme="minorHAnsi" w:cstheme="minorHAnsi"/>
        </w:rPr>
        <w:t>ir</w:t>
      </w:r>
      <w:r w:rsidRPr="00CE4251">
        <w:rPr>
          <w:rFonts w:asciiTheme="minorHAnsi" w:hAnsiTheme="minorHAnsi" w:cstheme="minorHAnsi"/>
        </w:rPr>
        <w:t xml:space="preserve"> annual Budget appropriations, to provide for costs associated with their digital radio services in the mainland </w:t>
      </w:r>
      <w:r w:rsidR="00B70C9E" w:rsidRPr="00CE4251">
        <w:rPr>
          <w:rFonts w:asciiTheme="minorHAnsi" w:hAnsiTheme="minorHAnsi" w:cstheme="minorHAnsi"/>
        </w:rPr>
        <w:t xml:space="preserve">state </w:t>
      </w:r>
      <w:r w:rsidRPr="00CE4251">
        <w:rPr>
          <w:rFonts w:asciiTheme="minorHAnsi" w:hAnsiTheme="minorHAnsi" w:cstheme="minorHAnsi"/>
        </w:rPr>
        <w:t>capital cities. In financial year 2014-15, the ABC received</w:t>
      </w:r>
      <w:r w:rsidR="009C2397" w:rsidRPr="00CE4251">
        <w:rPr>
          <w:rFonts w:asciiTheme="minorHAnsi" w:hAnsiTheme="minorHAnsi" w:cstheme="minorHAnsi"/>
        </w:rPr>
        <w:t xml:space="preserve"> base funding of</w:t>
      </w:r>
      <w:r w:rsidR="003C11B1">
        <w:rPr>
          <w:rFonts w:asciiTheme="minorHAnsi" w:hAnsiTheme="minorHAnsi" w:cstheme="minorHAnsi"/>
        </w:rPr>
        <w:t xml:space="preserve"> $3.767 </w:t>
      </w:r>
      <w:r w:rsidRPr="00CE4251">
        <w:rPr>
          <w:rFonts w:asciiTheme="minorHAnsi" w:hAnsiTheme="minorHAnsi" w:cstheme="minorHAnsi"/>
        </w:rPr>
        <w:t xml:space="preserve">million and SBS received $2.109 million for this purpose. </w:t>
      </w:r>
      <w:r w:rsidR="00B70C9E" w:rsidRPr="00CE4251">
        <w:rPr>
          <w:rFonts w:asciiTheme="minorHAnsi" w:hAnsiTheme="minorHAnsi" w:cstheme="minorHAnsi"/>
        </w:rPr>
        <w:t xml:space="preserve">From 1 July 2015, funding for digital radio </w:t>
      </w:r>
      <w:r w:rsidR="007F65EE" w:rsidRPr="00CE4251">
        <w:rPr>
          <w:rFonts w:asciiTheme="minorHAnsi" w:hAnsiTheme="minorHAnsi" w:cstheme="minorHAnsi"/>
        </w:rPr>
        <w:t>transmission (along with other transmission funding) is part of the base funding of the broadcaster</w:t>
      </w:r>
      <w:r w:rsidR="003C11B1">
        <w:rPr>
          <w:rFonts w:asciiTheme="minorHAnsi" w:hAnsiTheme="minorHAnsi" w:cstheme="minorHAnsi"/>
        </w:rPr>
        <w:t>s</w:t>
      </w:r>
      <w:r w:rsidR="00B70C9E" w:rsidRPr="00CE4251">
        <w:rPr>
          <w:rFonts w:asciiTheme="minorHAnsi" w:hAnsiTheme="minorHAnsi" w:cstheme="minorHAnsi"/>
        </w:rPr>
        <w:t xml:space="preserve">. </w:t>
      </w:r>
      <w:r w:rsidR="009C2397" w:rsidRPr="00CE4251">
        <w:rPr>
          <w:rFonts w:asciiTheme="minorHAnsi" w:hAnsiTheme="minorHAnsi" w:cstheme="minorHAnsi"/>
        </w:rPr>
        <w:t xml:space="preserve">Any rollout by the ABC or SBS of digital radio services in regional areas using DAB+ or other technologies would be a decision for the national broadcasters. </w:t>
      </w:r>
      <w:r w:rsidR="00DA3033" w:rsidRPr="00CE4251">
        <w:rPr>
          <w:rFonts w:asciiTheme="minorHAnsi" w:hAnsiTheme="minorHAnsi" w:cstheme="minorHAnsi"/>
        </w:rPr>
        <w:t>Similarly, it is a matter for the national bro</w:t>
      </w:r>
      <w:r w:rsidR="00350DDA" w:rsidRPr="00CE4251">
        <w:rPr>
          <w:rFonts w:asciiTheme="minorHAnsi" w:hAnsiTheme="minorHAnsi" w:cstheme="minorHAnsi"/>
        </w:rPr>
        <w:t>a</w:t>
      </w:r>
      <w:r w:rsidR="00DA3033" w:rsidRPr="00CE4251">
        <w:rPr>
          <w:rFonts w:asciiTheme="minorHAnsi" w:hAnsiTheme="minorHAnsi" w:cstheme="minorHAnsi"/>
        </w:rPr>
        <w:t xml:space="preserve">dcasters whether they maintain </w:t>
      </w:r>
      <w:r w:rsidR="006C2717" w:rsidRPr="00CE4251">
        <w:rPr>
          <w:rFonts w:asciiTheme="minorHAnsi" w:hAnsiTheme="minorHAnsi" w:cstheme="minorHAnsi"/>
        </w:rPr>
        <w:t xml:space="preserve">their </w:t>
      </w:r>
      <w:r w:rsidR="00DA3033" w:rsidRPr="00CE4251">
        <w:rPr>
          <w:rFonts w:asciiTheme="minorHAnsi" w:hAnsiTheme="minorHAnsi" w:cstheme="minorHAnsi"/>
        </w:rPr>
        <w:t>existing services.</w:t>
      </w:r>
    </w:p>
    <w:p w14:paraId="1DF00F24" w14:textId="69110D24" w:rsidR="005077CA" w:rsidRPr="00E5315D" w:rsidRDefault="00501FC0" w:rsidP="005077CA">
      <w:pPr>
        <w:pStyle w:val="BodyText"/>
        <w:rPr>
          <w:rFonts w:asciiTheme="minorHAnsi" w:hAnsiTheme="minorHAnsi" w:cstheme="minorHAnsi"/>
        </w:rPr>
      </w:pPr>
      <w:r>
        <w:rPr>
          <w:rFonts w:asciiTheme="minorHAnsi" w:hAnsiTheme="minorHAnsi" w:cstheme="minorHAnsi"/>
        </w:rPr>
        <w:t xml:space="preserve">As noted earlier in the report, the national broadcasters allow listeners to gain access to a range of their services online, including through the use of mobile phone apps. </w:t>
      </w:r>
      <w:r w:rsidR="005077CA" w:rsidRPr="00E5315D">
        <w:rPr>
          <w:rFonts w:asciiTheme="minorHAnsi" w:hAnsiTheme="minorHAnsi" w:cstheme="minorHAnsi"/>
        </w:rPr>
        <w:t xml:space="preserve">The review notes that it </w:t>
      </w:r>
      <w:r w:rsidR="00B70C9E">
        <w:rPr>
          <w:rFonts w:asciiTheme="minorHAnsi" w:hAnsiTheme="minorHAnsi" w:cstheme="minorHAnsi"/>
        </w:rPr>
        <w:t>is</w:t>
      </w:r>
      <w:r w:rsidR="005077CA" w:rsidRPr="00E5315D">
        <w:rPr>
          <w:rFonts w:asciiTheme="minorHAnsi" w:hAnsiTheme="minorHAnsi" w:cstheme="minorHAnsi"/>
        </w:rPr>
        <w:t xml:space="preserve"> open to the national broadcasters to build upon this online presence.</w:t>
      </w:r>
    </w:p>
    <w:p w14:paraId="1751A63E" w14:textId="597C6FDC" w:rsidR="005077CA" w:rsidRPr="00E5315D" w:rsidRDefault="005077CA" w:rsidP="005077CA">
      <w:pPr>
        <w:pStyle w:val="BodyText"/>
        <w:rPr>
          <w:i/>
        </w:rPr>
      </w:pPr>
      <w:r w:rsidRPr="00E5315D">
        <w:rPr>
          <w:i/>
        </w:rPr>
        <w:t xml:space="preserve">Community </w:t>
      </w:r>
      <w:r w:rsidR="000767C0">
        <w:rPr>
          <w:i/>
        </w:rPr>
        <w:t>Broadcasters</w:t>
      </w:r>
      <w:r w:rsidR="000767C0" w:rsidRPr="00E5315D">
        <w:rPr>
          <w:i/>
        </w:rPr>
        <w:t xml:space="preserve"> </w:t>
      </w:r>
    </w:p>
    <w:p w14:paraId="326363C1" w14:textId="0004A7C3"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Under the </w:t>
      </w:r>
      <w:r w:rsidRPr="00E5315D">
        <w:t>Radiocommunications Act</w:t>
      </w:r>
      <w:r w:rsidRPr="00E5315D">
        <w:rPr>
          <w:rFonts w:asciiTheme="minorHAnsi" w:hAnsiTheme="minorHAnsi" w:cstheme="minorHAnsi"/>
        </w:rPr>
        <w:t xml:space="preserve">, eligible metropolitan community radio services were entitled to shared access of up to </w:t>
      </w:r>
      <w:r w:rsidR="003F01FF">
        <w:rPr>
          <w:rFonts w:asciiTheme="minorHAnsi" w:hAnsiTheme="minorHAnsi" w:cstheme="minorHAnsi"/>
        </w:rPr>
        <w:t>2</w:t>
      </w:r>
      <w:r w:rsidR="003F01FF" w:rsidRPr="003F01FF">
        <w:rPr>
          <w:rFonts w:asciiTheme="minorHAnsi" w:hAnsiTheme="minorHAnsi" w:cstheme="minorHAnsi"/>
        </w:rPr>
        <w:t>/9th</w:t>
      </w:r>
      <w:r w:rsidRPr="00E5315D">
        <w:rPr>
          <w:rFonts w:asciiTheme="minorHAnsi" w:hAnsiTheme="minorHAnsi" w:cstheme="minorHAnsi"/>
        </w:rPr>
        <w:t xml:space="preserve"> capacity of each available digital transmission multiplex.</w:t>
      </w:r>
      <w:r w:rsidRPr="00E5315D">
        <w:rPr>
          <w:rStyle w:val="FootnoteReference"/>
          <w:rFonts w:asciiTheme="minorHAnsi" w:hAnsiTheme="minorHAnsi" w:cstheme="minorHAnsi"/>
        </w:rPr>
        <w:footnoteReference w:id="83"/>
      </w:r>
      <w:r w:rsidRPr="00E5315D">
        <w:rPr>
          <w:rFonts w:asciiTheme="minorHAnsi" w:hAnsiTheme="minorHAnsi" w:cstheme="minorHAnsi"/>
        </w:rPr>
        <w:t xml:space="preserve"> To date, 37 eligible community radio stations are operating 38 digital radio services in the five mainland </w:t>
      </w:r>
      <w:r w:rsidR="002F6FC4">
        <w:rPr>
          <w:rFonts w:asciiTheme="minorHAnsi" w:hAnsiTheme="minorHAnsi" w:cstheme="minorHAnsi"/>
        </w:rPr>
        <w:t xml:space="preserve">state </w:t>
      </w:r>
      <w:r w:rsidRPr="00E5315D">
        <w:rPr>
          <w:rFonts w:asciiTheme="minorHAnsi" w:hAnsiTheme="minorHAnsi" w:cstheme="minorHAnsi"/>
        </w:rPr>
        <w:t xml:space="preserve">capital cities. </w:t>
      </w:r>
    </w:p>
    <w:p w14:paraId="76185836" w14:textId="5F2CADB3"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The Government provided $18.5 million over five financial years (2009-10 to 2013-14) to aid in the establishment and maintenance of community digital radio. In 2014-15, the Government provide</w:t>
      </w:r>
      <w:r w:rsidR="00B70C9E">
        <w:rPr>
          <w:rFonts w:asciiTheme="minorHAnsi" w:hAnsiTheme="minorHAnsi" w:cstheme="minorHAnsi"/>
        </w:rPr>
        <w:t>d</w:t>
      </w:r>
      <w:r w:rsidRPr="00E5315D">
        <w:rPr>
          <w:rFonts w:asciiTheme="minorHAnsi" w:hAnsiTheme="minorHAnsi" w:cstheme="minorHAnsi"/>
        </w:rPr>
        <w:t xml:space="preserve"> $17.3 million in support to the community broadcasting sector, including over $4.1 million supporting digital community radio broadcasting specifically. </w:t>
      </w:r>
      <w:r w:rsidR="00CA78D1">
        <w:t>Community digital radio funding is budgeted at approximately $3.7 million in 2015-16 and approximately $2.3 million per annum from 2016-17</w:t>
      </w:r>
      <w:r w:rsidR="00EE407D">
        <w:t xml:space="preserve">. </w:t>
      </w:r>
      <w:r w:rsidR="00CA78D1">
        <w:t>Digital radio funding</w:t>
      </w:r>
      <w:r w:rsidRPr="00E5315D">
        <w:rPr>
          <w:rFonts w:asciiTheme="minorHAnsi" w:hAnsiTheme="minorHAnsi" w:cstheme="minorHAnsi"/>
        </w:rPr>
        <w:t xml:space="preserve"> is primarily provided to the community broadcasting sector via the Community Broadcasting Foundation (CBF), which is a sector specific independent non-profit funding administrator. </w:t>
      </w:r>
    </w:p>
    <w:p w14:paraId="1EFD07E1" w14:textId="026D5438" w:rsidR="004B4D2E" w:rsidRDefault="005077CA" w:rsidP="005077CA">
      <w:pPr>
        <w:pStyle w:val="BodyText"/>
        <w:rPr>
          <w:rFonts w:asciiTheme="minorHAnsi" w:hAnsiTheme="minorHAnsi" w:cstheme="minorHAnsi"/>
        </w:rPr>
      </w:pPr>
      <w:r w:rsidRPr="00E5315D">
        <w:rPr>
          <w:rFonts w:asciiTheme="minorHAnsi" w:hAnsiTheme="minorHAnsi" w:cstheme="minorHAnsi"/>
        </w:rPr>
        <w:t>The CBAA submission indicates that it supports multi-technology delivery and complementary online and broadcast hybrid delivery</w:t>
      </w:r>
      <w:r w:rsidR="00E84724">
        <w:rPr>
          <w:rFonts w:asciiTheme="minorHAnsi" w:hAnsiTheme="minorHAnsi" w:cstheme="minorHAnsi"/>
        </w:rPr>
        <w:t>,</w:t>
      </w:r>
      <w:r w:rsidRPr="00E5315D">
        <w:rPr>
          <w:rStyle w:val="FootnoteReference"/>
          <w:rFonts w:asciiTheme="minorHAnsi" w:hAnsiTheme="minorHAnsi" w:cstheme="minorHAnsi"/>
        </w:rPr>
        <w:footnoteReference w:id="84"/>
      </w:r>
      <w:r w:rsidRPr="00E5315D">
        <w:rPr>
          <w:rFonts w:asciiTheme="minorHAnsi" w:hAnsiTheme="minorHAnsi" w:cstheme="minorHAnsi"/>
        </w:rPr>
        <w:t xml:space="preserve"> but acknowledges that further work is needed to integrate digital radio into smartphones and tablets.</w:t>
      </w:r>
      <w:r w:rsidRPr="00E5315D">
        <w:rPr>
          <w:rStyle w:val="FootnoteReference"/>
          <w:rFonts w:asciiTheme="minorHAnsi" w:hAnsiTheme="minorHAnsi" w:cstheme="minorHAnsi"/>
        </w:rPr>
        <w:footnoteReference w:id="85"/>
      </w:r>
      <w:r w:rsidRPr="00E5315D">
        <w:rPr>
          <w:rFonts w:asciiTheme="minorHAnsi" w:hAnsiTheme="minorHAnsi" w:cstheme="minorHAnsi"/>
        </w:rPr>
        <w:t xml:space="preserve"> </w:t>
      </w:r>
      <w:r w:rsidR="00B3322F">
        <w:rPr>
          <w:rFonts w:asciiTheme="minorHAnsi" w:hAnsiTheme="minorHAnsi" w:cstheme="minorHAnsi"/>
        </w:rPr>
        <w:t xml:space="preserve">The review acknowledges the technical and financial challenges in community broadcasters providing digital terrestrial services. </w:t>
      </w:r>
      <w:r w:rsidRPr="00E5315D">
        <w:rPr>
          <w:rFonts w:asciiTheme="minorHAnsi" w:hAnsiTheme="minorHAnsi" w:cstheme="minorHAnsi"/>
        </w:rPr>
        <w:t>In light of this, community radio may wish to consider whether its limited resources would be best employed using online streaming more effectively rather than extending digital radio services in regional areas</w:t>
      </w:r>
      <w:r w:rsidR="00B3322F">
        <w:rPr>
          <w:rFonts w:asciiTheme="minorHAnsi" w:hAnsiTheme="minorHAnsi" w:cstheme="minorHAnsi"/>
        </w:rPr>
        <w:t xml:space="preserve"> on the terrestrial platform</w:t>
      </w:r>
      <w:r w:rsidRPr="00E5315D">
        <w:rPr>
          <w:rFonts w:asciiTheme="minorHAnsi" w:hAnsiTheme="minorHAnsi" w:cstheme="minorHAnsi"/>
        </w:rPr>
        <w:t>.</w:t>
      </w:r>
    </w:p>
    <w:p w14:paraId="183DCF1A" w14:textId="17038EE0" w:rsidR="004B4D2E" w:rsidRPr="004B4D2E" w:rsidRDefault="004B4D2E" w:rsidP="004B4D2E">
      <w:pPr>
        <w:pStyle w:val="BodyText"/>
        <w:rPr>
          <w:rFonts w:asciiTheme="minorHAnsi" w:hAnsiTheme="minorHAnsi" w:cstheme="minorHAnsi"/>
          <w:b/>
          <w:i/>
        </w:rPr>
      </w:pPr>
      <w:r w:rsidRPr="004B4D2E">
        <w:rPr>
          <w:rFonts w:asciiTheme="minorHAnsi" w:hAnsiTheme="minorHAnsi" w:cstheme="minorHAnsi"/>
          <w:b/>
          <w:i/>
        </w:rPr>
        <w:t xml:space="preserve">Finding: It will be a decision for the national broadcasters </w:t>
      </w:r>
      <w:r>
        <w:rPr>
          <w:rFonts w:asciiTheme="minorHAnsi" w:hAnsiTheme="minorHAnsi" w:cstheme="minorHAnsi"/>
          <w:b/>
          <w:i/>
        </w:rPr>
        <w:t xml:space="preserve">and community broadcasters </w:t>
      </w:r>
      <w:r w:rsidRPr="004B4D2E">
        <w:rPr>
          <w:rFonts w:asciiTheme="minorHAnsi" w:hAnsiTheme="minorHAnsi" w:cstheme="minorHAnsi"/>
          <w:b/>
          <w:i/>
        </w:rPr>
        <w:t xml:space="preserve">whether to roll out digital </w:t>
      </w:r>
      <w:r w:rsidR="004055E4">
        <w:rPr>
          <w:rFonts w:asciiTheme="minorHAnsi" w:hAnsiTheme="minorHAnsi" w:cstheme="minorHAnsi"/>
          <w:b/>
          <w:i/>
        </w:rPr>
        <w:t xml:space="preserve">terrestrial </w:t>
      </w:r>
      <w:r w:rsidRPr="004B4D2E">
        <w:rPr>
          <w:rFonts w:asciiTheme="minorHAnsi" w:hAnsiTheme="minorHAnsi" w:cstheme="minorHAnsi"/>
          <w:b/>
          <w:i/>
        </w:rPr>
        <w:t xml:space="preserve">radio services in areas where commercial broadcasters choose to do so. </w:t>
      </w:r>
    </w:p>
    <w:p w14:paraId="163EDA3C" w14:textId="77777777" w:rsidR="000C6334" w:rsidRPr="007A74E2" w:rsidRDefault="000C6334" w:rsidP="005077CA">
      <w:pPr>
        <w:pStyle w:val="Heading2"/>
        <w:numPr>
          <w:ilvl w:val="1"/>
          <w:numId w:val="71"/>
        </w:numPr>
        <w:rPr>
          <w:i/>
        </w:rPr>
      </w:pPr>
      <w:bookmarkStart w:id="63" w:name="_Toc405908247"/>
      <w:bookmarkStart w:id="64" w:name="_Toc423532097"/>
      <w:bookmarkEnd w:id="63"/>
      <w:r w:rsidRPr="007A74E2">
        <w:rPr>
          <w:i/>
        </w:rPr>
        <w:t>Planning and licensing for regional rollout</w:t>
      </w:r>
      <w:bookmarkEnd w:id="64"/>
    </w:p>
    <w:p w14:paraId="0446F5B5" w14:textId="2F0022A0" w:rsidR="00174514" w:rsidRDefault="000C6334" w:rsidP="00E32812">
      <w:pPr>
        <w:pStyle w:val="Bodytext-Indent"/>
        <w:tabs>
          <w:tab w:val="left" w:pos="0"/>
        </w:tabs>
        <w:ind w:left="0"/>
      </w:pPr>
      <w:r>
        <w:t xml:space="preserve">The existing regulatory framework for digital </w:t>
      </w:r>
      <w:r w:rsidR="00301BCA">
        <w:t xml:space="preserve">terrestrial </w:t>
      </w:r>
      <w:r>
        <w:t xml:space="preserve">radio </w:t>
      </w:r>
      <w:r w:rsidR="00301BCA">
        <w:t xml:space="preserve">has successfully </w:t>
      </w:r>
      <w:r>
        <w:t xml:space="preserve">enabled </w:t>
      </w:r>
      <w:r w:rsidR="00301BCA">
        <w:t xml:space="preserve">and underpinned </w:t>
      </w:r>
      <w:r>
        <w:t xml:space="preserve">the establishment </w:t>
      </w:r>
      <w:r w:rsidR="00301BCA">
        <w:t xml:space="preserve">of services in </w:t>
      </w:r>
      <w:r>
        <w:t xml:space="preserve">the </w:t>
      </w:r>
      <w:r w:rsidR="00625968">
        <w:t>mainland state capital cities</w:t>
      </w:r>
      <w:r>
        <w:t>, which were geographically dispersed and reasonably homogeneous</w:t>
      </w:r>
      <w:r w:rsidR="00EE407D">
        <w:t xml:space="preserve">. </w:t>
      </w:r>
      <w:r w:rsidR="007D7D11">
        <w:t xml:space="preserve">This may not be the case for </w:t>
      </w:r>
      <w:r w:rsidR="002A1F10">
        <w:t xml:space="preserve">the many and diverse </w:t>
      </w:r>
      <w:r w:rsidR="007D7D11">
        <w:t>regional areas</w:t>
      </w:r>
      <w:r w:rsidR="00EE407D">
        <w:t xml:space="preserve">. </w:t>
      </w:r>
      <w:r w:rsidR="009B2F1E">
        <w:t xml:space="preserve">The existing framework </w:t>
      </w:r>
      <w:r w:rsidR="00301BCA">
        <w:t>also provides for</w:t>
      </w:r>
      <w:r w:rsidR="009B2F1E">
        <w:t xml:space="preserve"> national services</w:t>
      </w:r>
      <w:r w:rsidR="00301BCA">
        <w:t xml:space="preserve"> and community services </w:t>
      </w:r>
      <w:r w:rsidR="009B2F1E">
        <w:t xml:space="preserve">in each licence area, </w:t>
      </w:r>
      <w:r w:rsidR="00174514">
        <w:t xml:space="preserve">although it will be a matter for these broadcasters as to whether to </w:t>
      </w:r>
      <w:r w:rsidR="007D71A1">
        <w:t>provide digital radio services in any given licence area</w:t>
      </w:r>
      <w:r w:rsidR="009B2F1E">
        <w:t xml:space="preserve">. </w:t>
      </w:r>
    </w:p>
    <w:p w14:paraId="314CE64A" w14:textId="5327AB45" w:rsidR="00DC5278" w:rsidRDefault="007D7D11" w:rsidP="00E32812">
      <w:pPr>
        <w:pStyle w:val="Bodytext-Indent"/>
        <w:tabs>
          <w:tab w:val="left" w:pos="0"/>
        </w:tabs>
        <w:ind w:left="0"/>
      </w:pPr>
      <w:r>
        <w:t xml:space="preserve">It has become clear that </w:t>
      </w:r>
      <w:r w:rsidR="000C6334">
        <w:t xml:space="preserve">that some changes should be considered to ensure that the regime is flexible enough to </w:t>
      </w:r>
      <w:r>
        <w:t>account for the diversity of licence areas throughout regional Australia</w:t>
      </w:r>
      <w:r w:rsidR="00174514">
        <w:t>, including the different combinations of services</w:t>
      </w:r>
      <w:r w:rsidR="00EE407D">
        <w:t xml:space="preserve">. </w:t>
      </w:r>
      <w:r w:rsidR="00174514">
        <w:t>For example, the legislative framework currently provides for arrangements which allow national broadcasters to share a multiplex with commercial and community broadcasters</w:t>
      </w:r>
      <w:r w:rsidR="007A74E2">
        <w:t xml:space="preserve"> (category 2)</w:t>
      </w:r>
      <w:r w:rsidR="00174514">
        <w:t xml:space="preserve">, or operate their own multiplex </w:t>
      </w:r>
      <w:r w:rsidR="007A74E2">
        <w:t xml:space="preserve">(category 3) </w:t>
      </w:r>
      <w:r w:rsidR="00174514">
        <w:t xml:space="preserve">independently </w:t>
      </w:r>
      <w:r w:rsidR="0000690F">
        <w:t>of</w:t>
      </w:r>
      <w:r w:rsidR="00174514">
        <w:t xml:space="preserve"> other broadcasters. Which is the optimal arrangement would depend on the number of commercial and eligible community licensees in the area, and other issues such as cost, as well as optimum arrangements for using any excess capacity on the multiplex</w:t>
      </w:r>
      <w:r w:rsidR="00EE407D">
        <w:t xml:space="preserve">. </w:t>
      </w:r>
    </w:p>
    <w:p w14:paraId="6E2B6DEF" w14:textId="36FE5A19" w:rsidR="000C6334" w:rsidRDefault="007D7D11" w:rsidP="00E32812">
      <w:pPr>
        <w:pStyle w:val="Bodytext-Indent"/>
        <w:tabs>
          <w:tab w:val="left" w:pos="0"/>
        </w:tabs>
        <w:ind w:left="0"/>
      </w:pPr>
      <w:r>
        <w:t>Possible</w:t>
      </w:r>
      <w:r w:rsidR="00AB0731">
        <w:t xml:space="preserve"> minor</w:t>
      </w:r>
      <w:r>
        <w:t xml:space="preserve"> legislative changes are </w:t>
      </w:r>
      <w:r w:rsidR="00AB0731">
        <w:t>addressed</w:t>
      </w:r>
      <w:r>
        <w:t xml:space="preserve"> in section 4.3 (see below)</w:t>
      </w:r>
      <w:r w:rsidR="003A5B53">
        <w:t>.</w:t>
      </w:r>
    </w:p>
    <w:p w14:paraId="13256DDA" w14:textId="77777777" w:rsidR="007D7D11" w:rsidRPr="00E32812" w:rsidRDefault="00DC5278" w:rsidP="00E32812">
      <w:pPr>
        <w:pStyle w:val="BodyText"/>
        <w:tabs>
          <w:tab w:val="left" w:pos="0"/>
        </w:tabs>
        <w:rPr>
          <w:i/>
        </w:rPr>
      </w:pPr>
      <w:r w:rsidRPr="00E32812">
        <w:rPr>
          <w:i/>
        </w:rPr>
        <w:t xml:space="preserve">Canberra and Darwin Trial Licences </w:t>
      </w:r>
    </w:p>
    <w:p w14:paraId="3BC1B7AB" w14:textId="633D1059" w:rsidR="00D43907" w:rsidRDefault="00DC5278" w:rsidP="00E32812">
      <w:pPr>
        <w:pStyle w:val="BodyText"/>
        <w:tabs>
          <w:tab w:val="left" w:pos="0"/>
        </w:tabs>
      </w:pPr>
      <w:r w:rsidRPr="006C2717">
        <w:t xml:space="preserve">Trial </w:t>
      </w:r>
      <w:r w:rsidR="008C0289" w:rsidRPr="006C2717">
        <w:t xml:space="preserve">digital </w:t>
      </w:r>
      <w:r w:rsidR="00174514">
        <w:t xml:space="preserve">terrestrial </w:t>
      </w:r>
      <w:r w:rsidR="008C0289" w:rsidRPr="006C2717">
        <w:t xml:space="preserve">radio services </w:t>
      </w:r>
      <w:r w:rsidR="00AB0731" w:rsidRPr="006C2717">
        <w:t xml:space="preserve">have been </w:t>
      </w:r>
      <w:r w:rsidRPr="006C2717">
        <w:t xml:space="preserve">operating in Canberra </w:t>
      </w:r>
      <w:r w:rsidR="00AB0731" w:rsidRPr="006C2717">
        <w:t xml:space="preserve">since July 2010 </w:t>
      </w:r>
      <w:r w:rsidRPr="006C2717">
        <w:t xml:space="preserve">and </w:t>
      </w:r>
      <w:r w:rsidR="00AB0731" w:rsidRPr="006C2717">
        <w:t xml:space="preserve">in </w:t>
      </w:r>
      <w:r w:rsidRPr="006C2717">
        <w:t xml:space="preserve">Darwin </w:t>
      </w:r>
      <w:r w:rsidR="00AB0731" w:rsidRPr="006C2717">
        <w:t>since August 2010</w:t>
      </w:r>
      <w:r w:rsidR="00EE407D">
        <w:t xml:space="preserve">. </w:t>
      </w:r>
      <w:r w:rsidR="00AB0731" w:rsidRPr="006C2717">
        <w:t xml:space="preserve">These trials </w:t>
      </w:r>
      <w:r w:rsidR="00A42F6B" w:rsidRPr="006C2717">
        <w:t xml:space="preserve">are being conducted by </w:t>
      </w:r>
      <w:r w:rsidR="005F6065">
        <w:t xml:space="preserve">the </w:t>
      </w:r>
      <w:r w:rsidR="00A42F6B" w:rsidRPr="006C2717">
        <w:t>CRA, with the ABC and SBS also involved in the Canberra trial</w:t>
      </w:r>
      <w:r w:rsidR="00EE407D">
        <w:t xml:space="preserve">. </w:t>
      </w:r>
      <w:r w:rsidR="00AB0731" w:rsidRPr="006C2717">
        <w:t xml:space="preserve">The current trials have been extended until </w:t>
      </w:r>
      <w:r w:rsidR="00D43907">
        <w:t>31 August</w:t>
      </w:r>
      <w:r w:rsidR="00AB0731" w:rsidRPr="006C2717">
        <w:t xml:space="preserve"> 2015</w:t>
      </w:r>
      <w:r w:rsidR="00105E2B">
        <w:t>. The trials have</w:t>
      </w:r>
      <w:r w:rsidR="00A42F6B" w:rsidRPr="006C2717">
        <w:t xml:space="preserve"> provided several years of testing of the DAB+ digital radio technology and provided </w:t>
      </w:r>
      <w:r w:rsidR="00E13B19" w:rsidRPr="00E13B19">
        <w:t>data to assist the radio industry in managing the engineering, logistical and economic challenges of digital radio operations outside the mainland state capital</w:t>
      </w:r>
      <w:r w:rsidR="00EF00C5">
        <w:t xml:space="preserve"> citie</w:t>
      </w:r>
      <w:r w:rsidR="00E13B19" w:rsidRPr="00E13B19">
        <w:t>s</w:t>
      </w:r>
      <w:r w:rsidR="00EE407D">
        <w:t>.</w:t>
      </w:r>
      <w:r w:rsidR="00AB0731" w:rsidRPr="006C2717">
        <w:rPr>
          <w:rStyle w:val="FootnoteReference"/>
        </w:rPr>
        <w:footnoteReference w:id="86"/>
      </w:r>
      <w:r w:rsidR="00AB0731" w:rsidRPr="006C2717">
        <w:t xml:space="preserve"> </w:t>
      </w:r>
      <w:r w:rsidR="00D43907">
        <w:t xml:space="preserve">As noted elsewhere in the report, the trial services operate using scientific licences rather than the </w:t>
      </w:r>
      <w:r w:rsidR="00EF00C5">
        <w:t>DRMT</w:t>
      </w:r>
      <w:r w:rsidR="00D43907">
        <w:t xml:space="preserve"> licences used in the mainland state capital</w:t>
      </w:r>
      <w:r w:rsidR="00EF00C5">
        <w:t xml:space="preserve"> citie</w:t>
      </w:r>
      <w:r w:rsidR="00D43907">
        <w:t>s</w:t>
      </w:r>
      <w:r w:rsidR="00EF00C5">
        <w:t>,</w:t>
      </w:r>
      <w:r w:rsidR="00D43907">
        <w:t xml:space="preserve"> and do not currently involve community broadcasters. </w:t>
      </w:r>
    </w:p>
    <w:p w14:paraId="1DF3F9C5" w14:textId="38A912E7" w:rsidR="00DC5278" w:rsidRPr="009A472B" w:rsidRDefault="005F6065" w:rsidP="00E32812">
      <w:pPr>
        <w:pStyle w:val="BodyText"/>
        <w:tabs>
          <w:tab w:val="left" w:pos="0"/>
        </w:tabs>
      </w:pPr>
      <w:r>
        <w:t xml:space="preserve">The </w:t>
      </w:r>
      <w:r w:rsidR="008C0289" w:rsidRPr="006C2717">
        <w:t>CRA submission notes that listeners in Canberra and Darwin have expressed frustration at the low power of the trials and called for services to be made permanent and at a higher power.</w:t>
      </w:r>
      <w:r w:rsidR="008C0289" w:rsidRPr="006C2717">
        <w:rPr>
          <w:rStyle w:val="FootnoteReference"/>
        </w:rPr>
        <w:footnoteReference w:id="87"/>
      </w:r>
      <w:r w:rsidR="006702D4" w:rsidRPr="006C2717">
        <w:t xml:space="preserve"> The ABC, SBS and</w:t>
      </w:r>
      <w:r w:rsidR="00DA1BC6">
        <w:t xml:space="preserve"> </w:t>
      </w:r>
      <w:r w:rsidR="006702D4" w:rsidRPr="006C2717">
        <w:t>CRA submissions support the Canberra and Darwin trials becoming permanent</w:t>
      </w:r>
      <w:r w:rsidR="009A472B">
        <w:t xml:space="preserve">. </w:t>
      </w:r>
    </w:p>
    <w:p w14:paraId="623F4473" w14:textId="54CBAA57" w:rsidR="00A42F6B" w:rsidRPr="004055E4" w:rsidRDefault="00A42F6B" w:rsidP="00E32812">
      <w:pPr>
        <w:pStyle w:val="BodyText"/>
        <w:tabs>
          <w:tab w:val="left" w:pos="0"/>
        </w:tabs>
        <w:rPr>
          <w:b/>
          <w:i/>
        </w:rPr>
      </w:pPr>
      <w:r w:rsidRPr="004055E4">
        <w:rPr>
          <w:b/>
          <w:i/>
        </w:rPr>
        <w:t>Finding: The</w:t>
      </w:r>
      <w:r w:rsidR="00FB595B" w:rsidRPr="004055E4">
        <w:rPr>
          <w:b/>
          <w:i/>
        </w:rPr>
        <w:t xml:space="preserve"> C</w:t>
      </w:r>
      <w:r w:rsidRPr="004055E4">
        <w:rPr>
          <w:b/>
          <w:i/>
        </w:rPr>
        <w:t xml:space="preserve">anberra and Darwin </w:t>
      </w:r>
      <w:r w:rsidR="00FB595B" w:rsidRPr="004055E4">
        <w:rPr>
          <w:b/>
          <w:i/>
        </w:rPr>
        <w:t xml:space="preserve">digital radio trials have provided data to assist </w:t>
      </w:r>
      <w:r w:rsidR="00E13B19" w:rsidRPr="004055E4">
        <w:rPr>
          <w:b/>
          <w:i/>
        </w:rPr>
        <w:t>the radio industry in managing the engineering, logistical and economic challenges of digital radio operations outside the mainland state capital</w:t>
      </w:r>
      <w:r w:rsidR="002F6FC4" w:rsidRPr="004055E4">
        <w:rPr>
          <w:b/>
          <w:i/>
        </w:rPr>
        <w:t xml:space="preserve"> citie</w:t>
      </w:r>
      <w:r w:rsidR="00E13B19" w:rsidRPr="004055E4">
        <w:rPr>
          <w:b/>
          <w:i/>
        </w:rPr>
        <w:t>s</w:t>
      </w:r>
      <w:r w:rsidR="00EE407D" w:rsidRPr="004055E4">
        <w:rPr>
          <w:b/>
          <w:i/>
        </w:rPr>
        <w:t xml:space="preserve">. </w:t>
      </w:r>
      <w:r w:rsidR="004055E4" w:rsidRPr="004055E4">
        <w:rPr>
          <w:b/>
          <w:i/>
        </w:rPr>
        <w:t>This data will assist in transitioning the trial services to permanent services.</w:t>
      </w:r>
    </w:p>
    <w:p w14:paraId="0482FC5F" w14:textId="77777777" w:rsidR="005077CA" w:rsidRPr="00E5315D" w:rsidRDefault="005077CA" w:rsidP="005077CA">
      <w:pPr>
        <w:pStyle w:val="Heading2"/>
        <w:numPr>
          <w:ilvl w:val="1"/>
          <w:numId w:val="71"/>
        </w:numPr>
        <w:rPr>
          <w:i/>
        </w:rPr>
      </w:pPr>
      <w:bookmarkStart w:id="65" w:name="_Toc423532098"/>
      <w:r w:rsidRPr="00E5315D">
        <w:rPr>
          <w:i/>
        </w:rPr>
        <w:t>Industry planning group for regional rollout</w:t>
      </w:r>
      <w:bookmarkEnd w:id="65"/>
    </w:p>
    <w:p w14:paraId="30187C5D" w14:textId="31A8035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A number of submissions, including those from the </w:t>
      </w:r>
      <w:r w:rsidR="0023713A">
        <w:rPr>
          <w:rFonts w:asciiTheme="minorHAnsi" w:hAnsiTheme="minorHAnsi" w:cstheme="minorHAnsi"/>
        </w:rPr>
        <w:t xml:space="preserve">ABC, ANRA, CBAA, </w:t>
      </w:r>
      <w:r w:rsidRPr="00E5315D">
        <w:rPr>
          <w:rFonts w:asciiTheme="minorHAnsi" w:hAnsiTheme="minorHAnsi" w:cstheme="minorHAnsi"/>
        </w:rPr>
        <w:t>CRA and SBS, suggested that an industry planning group be established to consider the provision of digital radio services outside metropolitan areas. The review considers that the establishment of an industry planning group may assist in planning the regional rollout of digital radio, which, as the ABC and SBS submissions have pointed out</w:t>
      </w:r>
      <w:r w:rsidR="00E1276B">
        <w:rPr>
          <w:rFonts w:asciiTheme="minorHAnsi" w:hAnsiTheme="minorHAnsi" w:cstheme="minorHAnsi"/>
        </w:rPr>
        <w:t>,</w:t>
      </w:r>
      <w:r w:rsidRPr="00E5315D">
        <w:rPr>
          <w:rStyle w:val="FootnoteReference"/>
          <w:rFonts w:asciiTheme="minorHAnsi" w:hAnsiTheme="minorHAnsi" w:cstheme="minorHAnsi"/>
        </w:rPr>
        <w:footnoteReference w:id="88"/>
      </w:r>
      <w:r w:rsidRPr="00E5315D">
        <w:rPr>
          <w:rFonts w:asciiTheme="minorHAnsi" w:hAnsiTheme="minorHAnsi" w:cstheme="minorHAnsi"/>
        </w:rPr>
        <w:t xml:space="preserve"> </w:t>
      </w:r>
      <w:r w:rsidR="00571909">
        <w:rPr>
          <w:rFonts w:asciiTheme="minorHAnsi" w:hAnsiTheme="minorHAnsi" w:cstheme="minorHAnsi"/>
        </w:rPr>
        <w:t>has not progressed</w:t>
      </w:r>
      <w:r w:rsidR="008C7C25">
        <w:rPr>
          <w:rFonts w:asciiTheme="minorHAnsi" w:hAnsiTheme="minorHAnsi" w:cstheme="minorHAnsi"/>
        </w:rPr>
        <w:t>.</w:t>
      </w:r>
    </w:p>
    <w:p w14:paraId="46BAC0F9"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The review agrees with </w:t>
      </w:r>
      <w:r w:rsidR="003E0B90">
        <w:rPr>
          <w:rFonts w:asciiTheme="minorHAnsi" w:hAnsiTheme="minorHAnsi" w:cstheme="minorHAnsi"/>
        </w:rPr>
        <w:t xml:space="preserve">the </w:t>
      </w:r>
      <w:r w:rsidRPr="00E5315D">
        <w:rPr>
          <w:rFonts w:asciiTheme="minorHAnsi" w:hAnsiTheme="minorHAnsi" w:cstheme="minorHAnsi"/>
        </w:rPr>
        <w:t>CBAA that the radio broadcasting sector has important expertise to contribute to such a planning group.</w:t>
      </w:r>
      <w:r w:rsidRPr="00E5315D">
        <w:rPr>
          <w:rStyle w:val="FootnoteReference"/>
          <w:rFonts w:asciiTheme="minorHAnsi" w:hAnsiTheme="minorHAnsi" w:cstheme="minorHAnsi"/>
        </w:rPr>
        <w:footnoteReference w:id="89"/>
      </w:r>
      <w:r w:rsidRPr="00E5315D">
        <w:rPr>
          <w:rFonts w:asciiTheme="minorHAnsi" w:hAnsiTheme="minorHAnsi" w:cstheme="minorHAnsi"/>
        </w:rPr>
        <w:t xml:space="preserve"> The ANRA has also requested that its members in metropolitan and regional areas also be included in the membership of such a planning group.</w:t>
      </w:r>
      <w:r w:rsidRPr="00E5315D">
        <w:rPr>
          <w:rStyle w:val="FootnoteReference"/>
          <w:rFonts w:asciiTheme="minorHAnsi" w:hAnsiTheme="minorHAnsi" w:cstheme="minorHAnsi"/>
        </w:rPr>
        <w:footnoteReference w:id="90"/>
      </w:r>
    </w:p>
    <w:p w14:paraId="4C09D8C2"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The review suggests that industry may wish to consider the formation of a planning group with industry members and the ACMA, focussing on the rollout of digital radio to regional areas where it is economically feasible to do so. As the statutory body responsible for planning the use of spectrum, the review considers that it would be appropriate for the ACMA to chair such a planning group. </w:t>
      </w:r>
    </w:p>
    <w:p w14:paraId="30CD74BA" w14:textId="77777777" w:rsidR="005077CA" w:rsidRDefault="005077CA" w:rsidP="005077CA">
      <w:pPr>
        <w:pStyle w:val="BodyText"/>
        <w:rPr>
          <w:rFonts w:asciiTheme="minorHAnsi" w:hAnsiTheme="minorHAnsi" w:cstheme="minorHAnsi"/>
          <w:b/>
          <w:i/>
        </w:rPr>
      </w:pPr>
      <w:r w:rsidRPr="00E5315D">
        <w:rPr>
          <w:rFonts w:asciiTheme="minorHAnsi" w:hAnsiTheme="minorHAnsi" w:cstheme="minorHAnsi"/>
          <w:b/>
          <w:i/>
        </w:rPr>
        <w:t>Recommendation: Industry is encouraged to work with the ACMA to establish a Digital Radio Planning Committee for Regional Australia comprised of key industry bodies and stakeholders. The Committee should be chaired by the ACMA</w:t>
      </w:r>
      <w:r w:rsidR="00AF1C06">
        <w:rPr>
          <w:rFonts w:asciiTheme="minorHAnsi" w:hAnsiTheme="minorHAnsi" w:cstheme="minorHAnsi"/>
          <w:b/>
          <w:i/>
        </w:rPr>
        <w:t>.</w:t>
      </w:r>
    </w:p>
    <w:p w14:paraId="17FDEE36" w14:textId="77777777" w:rsidR="00B46A4C" w:rsidRPr="00E5315D" w:rsidRDefault="00B46A4C" w:rsidP="005077CA">
      <w:pPr>
        <w:pStyle w:val="BodyText"/>
        <w:rPr>
          <w:rFonts w:asciiTheme="minorHAnsi" w:hAnsiTheme="minorHAnsi" w:cstheme="minorHAnsi"/>
        </w:rPr>
      </w:pPr>
    </w:p>
    <w:p w14:paraId="5503CCC6" w14:textId="77777777" w:rsidR="005077CA" w:rsidRPr="00E5315D" w:rsidRDefault="005077CA" w:rsidP="005077CA">
      <w:pPr>
        <w:pStyle w:val="Heading1"/>
        <w:numPr>
          <w:ilvl w:val="0"/>
          <w:numId w:val="71"/>
        </w:numPr>
      </w:pPr>
      <w:bookmarkStart w:id="66" w:name="_Toc405482185"/>
      <w:bookmarkStart w:id="67" w:name="_Toc405482186"/>
      <w:bookmarkStart w:id="68" w:name="_Toc405482187"/>
      <w:bookmarkStart w:id="69" w:name="_Toc398128711"/>
      <w:bookmarkStart w:id="70" w:name="_Toc398130874"/>
      <w:bookmarkStart w:id="71" w:name="_Toc390438502"/>
      <w:bookmarkStart w:id="72" w:name="_Toc395694234"/>
      <w:bookmarkStart w:id="73" w:name="_Toc396212049"/>
      <w:bookmarkStart w:id="74" w:name="_Toc397517876"/>
      <w:bookmarkStart w:id="75" w:name="_Toc423532099"/>
      <w:bookmarkEnd w:id="43"/>
      <w:bookmarkEnd w:id="66"/>
      <w:bookmarkEnd w:id="67"/>
      <w:bookmarkEnd w:id="68"/>
      <w:bookmarkEnd w:id="69"/>
      <w:bookmarkEnd w:id="70"/>
      <w:r w:rsidRPr="00E5315D">
        <w:t>Legislative changes</w:t>
      </w:r>
      <w:bookmarkEnd w:id="71"/>
      <w:bookmarkEnd w:id="72"/>
      <w:bookmarkEnd w:id="73"/>
      <w:bookmarkEnd w:id="74"/>
      <w:bookmarkEnd w:id="75"/>
      <w:r w:rsidRPr="00E5315D">
        <w:t xml:space="preserve"> </w:t>
      </w:r>
    </w:p>
    <w:p w14:paraId="0DD3B388" w14:textId="2C1C37C4"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As the technical characteristics of DAB+ underpin much of the existing digital radio legislative framework and licensing arrangements, and DAB+ is currently the industry’s preferred method of delivering terrestrial digital radio services, there appears to be no need to fundamentally alter the basic legislative structure of the digital radio framework. For the most part</w:t>
      </w:r>
      <w:r w:rsidR="00147A17">
        <w:rPr>
          <w:rFonts w:asciiTheme="minorHAnsi" w:hAnsiTheme="minorHAnsi" w:cstheme="minorHAnsi"/>
        </w:rPr>
        <w:t>,</w:t>
      </w:r>
      <w:r w:rsidRPr="00E5315D">
        <w:rPr>
          <w:rFonts w:asciiTheme="minorHAnsi" w:hAnsiTheme="minorHAnsi" w:cstheme="minorHAnsi"/>
        </w:rPr>
        <w:t xml:space="preserve"> the legislation is sound and operating smoothly.</w:t>
      </w:r>
    </w:p>
    <w:p w14:paraId="0D9B1597" w14:textId="37072038"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The ACCC in its submission considered that any legislative reform should not inhibit the development of competition in the digital radio market.</w:t>
      </w:r>
      <w:r w:rsidRPr="00E5315D">
        <w:rPr>
          <w:rStyle w:val="FootnoteReference"/>
          <w:rFonts w:asciiTheme="minorHAnsi" w:hAnsiTheme="minorHAnsi" w:cstheme="minorHAnsi"/>
        </w:rPr>
        <w:footnoteReference w:id="91"/>
      </w:r>
      <w:r w:rsidRPr="00E5315D">
        <w:rPr>
          <w:rFonts w:asciiTheme="minorHAnsi" w:hAnsiTheme="minorHAnsi" w:cstheme="minorHAnsi"/>
        </w:rPr>
        <w:t xml:space="preserve"> The ANRA reinforced the ACCC’s view by noting that access entitlements should also be made available to narrowcasters who provide niche radio services to small populations in limited geographical areas to promote listener choice.</w:t>
      </w:r>
      <w:r w:rsidRPr="00E5315D">
        <w:rPr>
          <w:rStyle w:val="FootnoteReference"/>
          <w:rFonts w:asciiTheme="minorHAnsi" w:hAnsiTheme="minorHAnsi" w:cstheme="minorHAnsi"/>
        </w:rPr>
        <w:footnoteReference w:id="92"/>
      </w:r>
      <w:r w:rsidRPr="00E5315D">
        <w:rPr>
          <w:rFonts w:asciiTheme="minorHAnsi" w:hAnsiTheme="minorHAnsi" w:cstheme="minorHAnsi"/>
        </w:rPr>
        <w:t xml:space="preserve"> </w:t>
      </w:r>
    </w:p>
    <w:p w14:paraId="14A75537"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The review has identified a number of areas where the legislative framework can be improved</w:t>
      </w:r>
      <w:r w:rsidR="00A82304">
        <w:rPr>
          <w:rFonts w:asciiTheme="minorHAnsi" w:hAnsiTheme="minorHAnsi" w:cstheme="minorHAnsi"/>
        </w:rPr>
        <w:t xml:space="preserve">, </w:t>
      </w:r>
      <w:r w:rsidR="00350DDA">
        <w:rPr>
          <w:rFonts w:asciiTheme="minorHAnsi" w:hAnsiTheme="minorHAnsi" w:cstheme="minorHAnsi"/>
        </w:rPr>
        <w:t>potentially</w:t>
      </w:r>
      <w:r w:rsidR="00A82304">
        <w:rPr>
          <w:rFonts w:asciiTheme="minorHAnsi" w:hAnsiTheme="minorHAnsi" w:cstheme="minorHAnsi"/>
        </w:rPr>
        <w:t xml:space="preserve"> assisting the rollout of digital radio in regional areas</w:t>
      </w:r>
      <w:r w:rsidRPr="00E5315D">
        <w:rPr>
          <w:rFonts w:asciiTheme="minorHAnsi" w:hAnsiTheme="minorHAnsi" w:cstheme="minorHAnsi"/>
        </w:rPr>
        <w:t xml:space="preserve">. The Department proposes to consult industry stakeholders </w:t>
      </w:r>
      <w:r w:rsidR="00B343B2">
        <w:rPr>
          <w:rFonts w:asciiTheme="minorHAnsi" w:hAnsiTheme="minorHAnsi" w:cstheme="minorHAnsi"/>
        </w:rPr>
        <w:t xml:space="preserve">and the ACMA </w:t>
      </w:r>
      <w:r w:rsidRPr="00E5315D">
        <w:rPr>
          <w:rFonts w:asciiTheme="minorHAnsi" w:hAnsiTheme="minorHAnsi" w:cstheme="minorHAnsi"/>
        </w:rPr>
        <w:t>around any legislative changes which may come about as a consequence of the review. Suggested potential amendments are briefly discussed below.</w:t>
      </w:r>
    </w:p>
    <w:p w14:paraId="727CC916" w14:textId="5BF8F887" w:rsidR="005077CA" w:rsidRPr="00E5315D" w:rsidRDefault="005077CA" w:rsidP="005077CA">
      <w:pPr>
        <w:pStyle w:val="BodyText"/>
        <w:rPr>
          <w:rFonts w:asciiTheme="minorHAnsi" w:hAnsiTheme="minorHAnsi" w:cstheme="minorHAnsi"/>
          <w:b/>
          <w:i/>
        </w:rPr>
      </w:pPr>
      <w:r w:rsidRPr="00E5315D">
        <w:rPr>
          <w:rFonts w:asciiTheme="minorHAnsi" w:hAnsiTheme="minorHAnsi" w:cstheme="minorHAnsi"/>
          <w:b/>
          <w:i/>
        </w:rPr>
        <w:t>Finding: The legislative framework for digital radio is working well, but can be improved in a number of specific areas</w:t>
      </w:r>
      <w:r w:rsidR="00832714">
        <w:rPr>
          <w:rFonts w:asciiTheme="minorHAnsi" w:hAnsiTheme="minorHAnsi" w:cstheme="minorHAnsi"/>
          <w:b/>
          <w:i/>
        </w:rPr>
        <w:t>, as set out in this report</w:t>
      </w:r>
      <w:r w:rsidRPr="00E5315D">
        <w:rPr>
          <w:rFonts w:asciiTheme="minorHAnsi" w:hAnsiTheme="minorHAnsi" w:cstheme="minorHAnsi"/>
          <w:b/>
          <w:i/>
        </w:rPr>
        <w:t>.</w:t>
      </w:r>
    </w:p>
    <w:p w14:paraId="383B5458" w14:textId="77777777" w:rsidR="005077CA" w:rsidRPr="00E5315D" w:rsidRDefault="005077CA" w:rsidP="005077CA">
      <w:pPr>
        <w:pStyle w:val="Heading2"/>
        <w:numPr>
          <w:ilvl w:val="1"/>
          <w:numId w:val="71"/>
        </w:numPr>
        <w:rPr>
          <w:i/>
        </w:rPr>
      </w:pPr>
      <w:bookmarkStart w:id="76" w:name="_Toc423532100"/>
      <w:r w:rsidRPr="00E5315D">
        <w:rPr>
          <w:i/>
        </w:rPr>
        <w:t xml:space="preserve">Moratorium </w:t>
      </w:r>
      <w:r w:rsidR="006569CF">
        <w:rPr>
          <w:i/>
        </w:rPr>
        <w:t xml:space="preserve">on </w:t>
      </w:r>
      <w:r w:rsidR="009B386D">
        <w:rPr>
          <w:i/>
        </w:rPr>
        <w:t xml:space="preserve">new digital </w:t>
      </w:r>
      <w:r w:rsidR="006569CF">
        <w:rPr>
          <w:i/>
        </w:rPr>
        <w:t xml:space="preserve">commercial </w:t>
      </w:r>
      <w:r w:rsidR="009B386D">
        <w:rPr>
          <w:i/>
        </w:rPr>
        <w:t xml:space="preserve">radio </w:t>
      </w:r>
      <w:r w:rsidR="006569CF">
        <w:rPr>
          <w:i/>
        </w:rPr>
        <w:t>licences</w:t>
      </w:r>
      <w:bookmarkEnd w:id="76"/>
    </w:p>
    <w:p w14:paraId="571F777A"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The </w:t>
      </w:r>
      <w:r w:rsidRPr="00E5315D">
        <w:rPr>
          <w:iCs/>
        </w:rPr>
        <w:t>BSA</w:t>
      </w:r>
      <w:r w:rsidRPr="00E5315D">
        <w:rPr>
          <w:i/>
          <w:iCs/>
        </w:rPr>
        <w:t xml:space="preserve"> </w:t>
      </w:r>
      <w:r w:rsidRPr="00E5315D">
        <w:rPr>
          <w:iCs/>
        </w:rPr>
        <w:t>currently</w:t>
      </w:r>
      <w:r w:rsidRPr="00E5315D">
        <w:rPr>
          <w:i/>
          <w:iCs/>
        </w:rPr>
        <w:t xml:space="preserve"> </w:t>
      </w:r>
      <w:r w:rsidRPr="00E5315D">
        <w:rPr>
          <w:rFonts w:asciiTheme="minorHAnsi" w:hAnsiTheme="minorHAnsi" w:cstheme="minorHAnsi"/>
        </w:rPr>
        <w:t>states that, after the commencement of commercial digital radio services in a licence area, the ACMA must not allocate licences to provide new digital commercial radio broadcasting services for six years (unless an incumbent digital radio broadcaster fails to provide a service).</w:t>
      </w:r>
      <w:r w:rsidRPr="00E5315D">
        <w:rPr>
          <w:rStyle w:val="FootnoteReference"/>
          <w:rFonts w:asciiTheme="minorHAnsi" w:hAnsiTheme="minorHAnsi" w:cstheme="minorHAnsi"/>
        </w:rPr>
        <w:footnoteReference w:id="93"/>
      </w:r>
      <w:r w:rsidRPr="00E5315D">
        <w:rPr>
          <w:rFonts w:asciiTheme="minorHAnsi" w:hAnsiTheme="minorHAnsi" w:cstheme="minorHAnsi"/>
        </w:rPr>
        <w:t xml:space="preserve"> The purpose of the moratorium was to provide “incumbent commercial broadcasters a level of stability and certainty during the digital radio investment phase.”</w:t>
      </w:r>
      <w:r w:rsidRPr="00E5315D">
        <w:rPr>
          <w:rStyle w:val="FootnoteReference"/>
          <w:rFonts w:asciiTheme="minorHAnsi" w:hAnsiTheme="minorHAnsi" w:cstheme="minorHAnsi"/>
        </w:rPr>
        <w:footnoteReference w:id="94"/>
      </w:r>
    </w:p>
    <w:p w14:paraId="6F5C5C4B" w14:textId="3FE48034" w:rsidR="006569CF" w:rsidRPr="0022230D" w:rsidRDefault="006569CF" w:rsidP="005077CA">
      <w:pPr>
        <w:pStyle w:val="BodyText"/>
        <w:rPr>
          <w:rFonts w:asciiTheme="minorHAnsi" w:hAnsiTheme="minorHAnsi" w:cstheme="minorHAnsi"/>
          <w:i/>
        </w:rPr>
      </w:pPr>
      <w:r w:rsidRPr="0022230D">
        <w:rPr>
          <w:rFonts w:asciiTheme="minorHAnsi" w:hAnsiTheme="minorHAnsi" w:cstheme="minorHAnsi"/>
          <w:i/>
        </w:rPr>
        <w:t>Mainland state capital</w:t>
      </w:r>
      <w:r w:rsidR="002F6FC4">
        <w:rPr>
          <w:rFonts w:asciiTheme="minorHAnsi" w:hAnsiTheme="minorHAnsi" w:cstheme="minorHAnsi"/>
          <w:i/>
        </w:rPr>
        <w:t xml:space="preserve"> citie</w:t>
      </w:r>
      <w:r w:rsidRPr="0022230D">
        <w:rPr>
          <w:rFonts w:asciiTheme="minorHAnsi" w:hAnsiTheme="minorHAnsi" w:cstheme="minorHAnsi"/>
          <w:i/>
        </w:rPr>
        <w:t>s</w:t>
      </w:r>
    </w:p>
    <w:p w14:paraId="454D899B" w14:textId="24276196"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The moratorium on new commercial digital radio services in the mainland state capital</w:t>
      </w:r>
      <w:r w:rsidR="002F6FC4">
        <w:rPr>
          <w:rFonts w:asciiTheme="minorHAnsi" w:hAnsiTheme="minorHAnsi" w:cstheme="minorHAnsi"/>
        </w:rPr>
        <w:t xml:space="preserve"> citie</w:t>
      </w:r>
      <w:r w:rsidR="0087153B">
        <w:rPr>
          <w:rFonts w:asciiTheme="minorHAnsi" w:hAnsiTheme="minorHAnsi" w:cstheme="minorHAnsi"/>
        </w:rPr>
        <w:t>s lapsed</w:t>
      </w:r>
      <w:r w:rsidRPr="00E5315D">
        <w:rPr>
          <w:rFonts w:asciiTheme="minorHAnsi" w:hAnsiTheme="minorHAnsi" w:cstheme="minorHAnsi"/>
        </w:rPr>
        <w:t xml:space="preserve"> on 30 June 2015. The ANRA in its submission considered that there was no need to extend the moratorium.</w:t>
      </w:r>
      <w:r w:rsidRPr="00E5315D">
        <w:rPr>
          <w:rStyle w:val="FootnoteReference"/>
          <w:rFonts w:asciiTheme="minorHAnsi" w:hAnsiTheme="minorHAnsi" w:cstheme="minorHAnsi"/>
        </w:rPr>
        <w:footnoteReference w:id="95"/>
      </w:r>
      <w:r w:rsidRPr="00E5315D">
        <w:rPr>
          <w:rFonts w:asciiTheme="minorHAnsi" w:hAnsiTheme="minorHAnsi" w:cstheme="minorHAnsi"/>
        </w:rPr>
        <w:t xml:space="preserve"> Nor did the CBAA in its submission support the continuation of the moratorium on new commercial digital radio services, particularly if there were to be no measure to provide for additional capacity for the community sector.</w:t>
      </w:r>
      <w:r w:rsidRPr="00E5315D">
        <w:rPr>
          <w:rStyle w:val="FootnoteReference"/>
          <w:rFonts w:asciiTheme="minorHAnsi" w:hAnsiTheme="minorHAnsi" w:cstheme="minorHAnsi"/>
        </w:rPr>
        <w:footnoteReference w:id="96"/>
      </w:r>
    </w:p>
    <w:p w14:paraId="4DB81074" w14:textId="128DA2E8"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In contrast, </w:t>
      </w:r>
      <w:r w:rsidR="005F6065">
        <w:rPr>
          <w:rFonts w:asciiTheme="minorHAnsi" w:hAnsiTheme="minorHAnsi" w:cstheme="minorHAnsi"/>
        </w:rPr>
        <w:t>the CRA</w:t>
      </w:r>
      <w:r w:rsidRPr="00E5315D">
        <w:rPr>
          <w:rFonts w:asciiTheme="minorHAnsi" w:hAnsiTheme="minorHAnsi" w:cstheme="minorHAnsi"/>
        </w:rPr>
        <w:t xml:space="preserve"> submission considered there is merit in continuing the moratorium for some years; </w:t>
      </w:r>
      <w:r w:rsidR="00A82304">
        <w:rPr>
          <w:rFonts w:asciiTheme="minorHAnsi" w:hAnsiTheme="minorHAnsi" w:cstheme="minorHAnsi"/>
        </w:rPr>
        <w:t xml:space="preserve">suggesting that </w:t>
      </w:r>
      <w:r w:rsidR="00A82304" w:rsidRPr="00E5315D">
        <w:rPr>
          <w:rFonts w:asciiTheme="minorHAnsi" w:hAnsiTheme="minorHAnsi" w:cstheme="minorHAnsi"/>
        </w:rPr>
        <w:t>further work needs to be done to ensure digital radio’s viability</w:t>
      </w:r>
      <w:r w:rsidR="00A82304">
        <w:rPr>
          <w:rFonts w:asciiTheme="minorHAnsi" w:hAnsiTheme="minorHAnsi" w:cstheme="minorHAnsi"/>
        </w:rPr>
        <w:t>,</w:t>
      </w:r>
      <w:r w:rsidR="00A82304" w:rsidRPr="00E5315D">
        <w:rPr>
          <w:rFonts w:asciiTheme="minorHAnsi" w:hAnsiTheme="minorHAnsi" w:cstheme="minorHAnsi"/>
        </w:rPr>
        <w:t xml:space="preserve"> </w:t>
      </w:r>
      <w:r w:rsidRPr="00E5315D">
        <w:rPr>
          <w:rFonts w:asciiTheme="minorHAnsi" w:hAnsiTheme="minorHAnsi" w:cstheme="minorHAnsi"/>
        </w:rPr>
        <w:t xml:space="preserve">even though in </w:t>
      </w:r>
      <w:r w:rsidR="005F6065">
        <w:rPr>
          <w:rFonts w:asciiTheme="minorHAnsi" w:hAnsiTheme="minorHAnsi" w:cstheme="minorHAnsi"/>
        </w:rPr>
        <w:t xml:space="preserve">the </w:t>
      </w:r>
      <w:r w:rsidRPr="00E5315D">
        <w:rPr>
          <w:rFonts w:asciiTheme="minorHAnsi" w:hAnsiTheme="minorHAnsi" w:cstheme="minorHAnsi"/>
        </w:rPr>
        <w:t>CRA’s view a</w:t>
      </w:r>
      <w:r w:rsidR="00B506D5">
        <w:rPr>
          <w:rFonts w:asciiTheme="minorHAnsi" w:hAnsiTheme="minorHAnsi" w:cstheme="minorHAnsi"/>
        </w:rPr>
        <w:t>udience take-</w:t>
      </w:r>
      <w:r w:rsidR="00A82304">
        <w:rPr>
          <w:rFonts w:asciiTheme="minorHAnsi" w:hAnsiTheme="minorHAnsi" w:cstheme="minorHAnsi"/>
        </w:rPr>
        <w:t>up has been strong</w:t>
      </w:r>
      <w:r w:rsidRPr="00E5315D">
        <w:rPr>
          <w:rFonts w:asciiTheme="minorHAnsi" w:hAnsiTheme="minorHAnsi" w:cstheme="minorHAnsi"/>
        </w:rPr>
        <w:t>.</w:t>
      </w:r>
      <w:r w:rsidRPr="00E5315D">
        <w:rPr>
          <w:rStyle w:val="FootnoteReference"/>
          <w:rFonts w:asciiTheme="minorHAnsi" w:hAnsiTheme="minorHAnsi" w:cstheme="minorHAnsi"/>
        </w:rPr>
        <w:footnoteReference w:id="97"/>
      </w:r>
      <w:r w:rsidR="00F24B4B">
        <w:rPr>
          <w:rFonts w:asciiTheme="minorHAnsi" w:hAnsiTheme="minorHAnsi" w:cstheme="minorHAnsi"/>
        </w:rPr>
        <w:t xml:space="preserve"> </w:t>
      </w:r>
      <w:r w:rsidR="00DA1BC6">
        <w:rPr>
          <w:rFonts w:asciiTheme="minorHAnsi" w:hAnsiTheme="minorHAnsi" w:cstheme="minorHAnsi"/>
        </w:rPr>
        <w:t xml:space="preserve">The </w:t>
      </w:r>
      <w:r w:rsidR="00F24B4B">
        <w:rPr>
          <w:rFonts w:asciiTheme="minorHAnsi" w:hAnsiTheme="minorHAnsi" w:cstheme="minorHAnsi"/>
        </w:rPr>
        <w:t>CRA has reinforced this argument in more recent correspondence to the Government.</w:t>
      </w:r>
    </w:p>
    <w:p w14:paraId="4958E3F8" w14:textId="1BA934AB"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The review notes that the original rationale for this moratorium was to provide commercial broadcasters with stability and certainty during the initial investment phase. Now that digital radio services are established in the mainland state capital</w:t>
      </w:r>
      <w:r w:rsidR="002F6FC4">
        <w:rPr>
          <w:rFonts w:asciiTheme="minorHAnsi" w:hAnsiTheme="minorHAnsi" w:cstheme="minorHAnsi"/>
        </w:rPr>
        <w:t xml:space="preserve"> citie</w:t>
      </w:r>
      <w:r w:rsidRPr="00E5315D">
        <w:rPr>
          <w:rFonts w:asciiTheme="minorHAnsi" w:hAnsiTheme="minorHAnsi" w:cstheme="minorHAnsi"/>
        </w:rPr>
        <w:t xml:space="preserve">s, the review considers that the moratorium </w:t>
      </w:r>
      <w:r w:rsidR="006569CF">
        <w:rPr>
          <w:rFonts w:asciiTheme="minorHAnsi" w:hAnsiTheme="minorHAnsi" w:cstheme="minorHAnsi"/>
        </w:rPr>
        <w:t xml:space="preserve">in these areas </w:t>
      </w:r>
      <w:r w:rsidRPr="00E5315D">
        <w:rPr>
          <w:rFonts w:asciiTheme="minorHAnsi" w:hAnsiTheme="minorHAnsi" w:cstheme="minorHAnsi"/>
        </w:rPr>
        <w:t>need not be extended.</w:t>
      </w:r>
    </w:p>
    <w:p w14:paraId="7E3CFCD3" w14:textId="6449995E" w:rsidR="005077CA" w:rsidRDefault="005077CA" w:rsidP="005077CA">
      <w:pPr>
        <w:pStyle w:val="BodyText"/>
        <w:rPr>
          <w:rFonts w:asciiTheme="minorHAnsi" w:hAnsiTheme="minorHAnsi" w:cstheme="minorHAnsi"/>
          <w:b/>
          <w:i/>
        </w:rPr>
      </w:pPr>
      <w:r w:rsidRPr="00E5315D" w:rsidDel="00EE7B6E">
        <w:rPr>
          <w:rFonts w:asciiTheme="minorHAnsi" w:hAnsiTheme="minorHAnsi" w:cstheme="minorHAnsi"/>
          <w:b/>
          <w:i/>
        </w:rPr>
        <w:t xml:space="preserve">Finding: </w:t>
      </w:r>
      <w:r w:rsidR="004055E4" w:rsidRPr="004055E4">
        <w:rPr>
          <w:rFonts w:asciiTheme="minorHAnsi" w:hAnsiTheme="minorHAnsi" w:cstheme="minorHAnsi"/>
          <w:b/>
          <w:i/>
        </w:rPr>
        <w:t xml:space="preserve">There is no reason to reintroduce the moratorium that prohibited the ACMA from issuing new digital-only commercial radio licences in each of the mainland state capital cities for a period of six years after digital terrestrial radio services commenced in each area, which </w:t>
      </w:r>
      <w:r w:rsidR="004055E4">
        <w:rPr>
          <w:rFonts w:asciiTheme="minorHAnsi" w:hAnsiTheme="minorHAnsi" w:cstheme="minorHAnsi"/>
          <w:b/>
          <w:i/>
        </w:rPr>
        <w:t>lapsed on 30 </w:t>
      </w:r>
      <w:r w:rsidR="004055E4" w:rsidRPr="004055E4">
        <w:rPr>
          <w:rFonts w:asciiTheme="minorHAnsi" w:hAnsiTheme="minorHAnsi" w:cstheme="minorHAnsi"/>
          <w:b/>
          <w:i/>
        </w:rPr>
        <w:t>June 2015.</w:t>
      </w:r>
    </w:p>
    <w:p w14:paraId="5BAEAA4D" w14:textId="2299A56E" w:rsidR="004055E4" w:rsidRPr="00E5315D" w:rsidDel="00EE7B6E" w:rsidRDefault="004055E4" w:rsidP="005077CA">
      <w:pPr>
        <w:pStyle w:val="BodyText"/>
        <w:rPr>
          <w:rFonts w:asciiTheme="minorHAnsi" w:hAnsiTheme="minorHAnsi" w:cstheme="minorHAnsi"/>
          <w:b/>
          <w:i/>
        </w:rPr>
      </w:pPr>
      <w:r>
        <w:rPr>
          <w:rFonts w:asciiTheme="minorHAnsi" w:hAnsiTheme="minorHAnsi" w:cstheme="minorHAnsi"/>
          <w:b/>
          <w:i/>
        </w:rPr>
        <w:t xml:space="preserve">Recommendation: </w:t>
      </w:r>
      <w:r w:rsidRPr="004055E4">
        <w:rPr>
          <w:rFonts w:asciiTheme="minorHAnsi" w:hAnsiTheme="minorHAnsi" w:cstheme="minorHAnsi"/>
          <w:b/>
          <w:i/>
        </w:rPr>
        <w:t>The Government should not reintroduce the moratorium on the ACMA issuing digital-only commercial radio licences in mainland state capital cities.</w:t>
      </w:r>
    </w:p>
    <w:p w14:paraId="04BC3799" w14:textId="77777777" w:rsidR="00701951" w:rsidRDefault="00701951" w:rsidP="005077CA">
      <w:pPr>
        <w:pStyle w:val="BodyText"/>
        <w:rPr>
          <w:rFonts w:asciiTheme="minorHAnsi" w:hAnsiTheme="minorHAnsi" w:cstheme="minorHAnsi"/>
        </w:rPr>
      </w:pPr>
      <w:r>
        <w:rPr>
          <w:rFonts w:asciiTheme="minorHAnsi" w:hAnsiTheme="minorHAnsi" w:cstheme="minorHAnsi"/>
          <w:i/>
        </w:rPr>
        <w:t>Regional licence areas</w:t>
      </w:r>
    </w:p>
    <w:p w14:paraId="4DF375DF" w14:textId="4C6D3223" w:rsidR="00FE300C" w:rsidRDefault="00147A17" w:rsidP="005077CA">
      <w:pPr>
        <w:pStyle w:val="BodyText"/>
        <w:rPr>
          <w:rFonts w:asciiTheme="minorHAnsi" w:hAnsiTheme="minorHAnsi" w:cstheme="minorHAnsi"/>
        </w:rPr>
      </w:pPr>
      <w:r>
        <w:rPr>
          <w:rFonts w:asciiTheme="minorHAnsi" w:hAnsiTheme="minorHAnsi" w:cstheme="minorHAnsi"/>
        </w:rPr>
        <w:t xml:space="preserve">In the six years since digital radio services commenced in Australia, the </w:t>
      </w:r>
      <w:r w:rsidR="00FE300C">
        <w:rPr>
          <w:rFonts w:asciiTheme="minorHAnsi" w:hAnsiTheme="minorHAnsi" w:cstheme="minorHAnsi"/>
        </w:rPr>
        <w:t>pro</w:t>
      </w:r>
      <w:r w:rsidR="001B0F8E">
        <w:rPr>
          <w:rFonts w:asciiTheme="minorHAnsi" w:hAnsiTheme="minorHAnsi" w:cstheme="minorHAnsi"/>
        </w:rPr>
        <w:t>s</w:t>
      </w:r>
      <w:r w:rsidR="00FE300C">
        <w:rPr>
          <w:rFonts w:asciiTheme="minorHAnsi" w:hAnsiTheme="minorHAnsi" w:cstheme="minorHAnsi"/>
        </w:rPr>
        <w:t xml:space="preserve">pect of a </w:t>
      </w:r>
      <w:r>
        <w:rPr>
          <w:rFonts w:asciiTheme="minorHAnsi" w:hAnsiTheme="minorHAnsi" w:cstheme="minorHAnsi"/>
        </w:rPr>
        <w:t>moratorium ha</w:t>
      </w:r>
      <w:r w:rsidR="00FE300C">
        <w:rPr>
          <w:rFonts w:asciiTheme="minorHAnsi" w:hAnsiTheme="minorHAnsi" w:cstheme="minorHAnsi"/>
        </w:rPr>
        <w:t xml:space="preserve">s not provided sufficient </w:t>
      </w:r>
      <w:r>
        <w:rPr>
          <w:rFonts w:asciiTheme="minorHAnsi" w:hAnsiTheme="minorHAnsi" w:cstheme="minorHAnsi"/>
        </w:rPr>
        <w:t>incentive for commercial broadcasters to extend such services to regional Australia</w:t>
      </w:r>
      <w:r w:rsidR="00FE300C">
        <w:rPr>
          <w:rFonts w:asciiTheme="minorHAnsi" w:hAnsiTheme="minorHAnsi" w:cstheme="minorHAnsi"/>
        </w:rPr>
        <w:t>. The only regional areas that have received digital radio in the interim are Canberra and Darwin where the trial nature of the services provided means that no moratorium is in place.</w:t>
      </w:r>
    </w:p>
    <w:p w14:paraId="43AD8F52" w14:textId="2BF22AA9" w:rsidR="005077CA" w:rsidRPr="00E5315D" w:rsidRDefault="004B03E7" w:rsidP="005077CA">
      <w:pPr>
        <w:pStyle w:val="BodyText"/>
        <w:rPr>
          <w:rFonts w:asciiTheme="minorHAnsi" w:hAnsiTheme="minorHAnsi" w:cstheme="minorHAnsi"/>
        </w:rPr>
      </w:pPr>
      <w:r>
        <w:rPr>
          <w:rFonts w:asciiTheme="minorHAnsi" w:hAnsiTheme="minorHAnsi" w:cstheme="minorHAnsi"/>
        </w:rPr>
        <w:t>Given this situation, t</w:t>
      </w:r>
      <w:r w:rsidR="005077CA" w:rsidRPr="00E5315D">
        <w:rPr>
          <w:rFonts w:asciiTheme="minorHAnsi" w:hAnsiTheme="minorHAnsi" w:cstheme="minorHAnsi"/>
        </w:rPr>
        <w:t xml:space="preserve">he review </w:t>
      </w:r>
      <w:r w:rsidR="00A82304">
        <w:rPr>
          <w:rFonts w:asciiTheme="minorHAnsi" w:hAnsiTheme="minorHAnsi" w:cstheme="minorHAnsi"/>
        </w:rPr>
        <w:t>considers</w:t>
      </w:r>
      <w:r w:rsidR="005077CA" w:rsidRPr="00E5315D">
        <w:rPr>
          <w:rFonts w:asciiTheme="minorHAnsi" w:hAnsiTheme="minorHAnsi" w:cstheme="minorHAnsi"/>
        </w:rPr>
        <w:t xml:space="preserve"> that there is no strong public policy rationale for artificially restricting the allocation of new digital commercial radio broadcasting licences in a regional licence area for six years after the commencement of services in that area. On the contrary, audience take-up of digital radio services – and purchase of digital radio receivers – in regional areas </w:t>
      </w:r>
      <w:r w:rsidR="00A276E4">
        <w:rPr>
          <w:rFonts w:asciiTheme="minorHAnsi" w:hAnsiTheme="minorHAnsi" w:cstheme="minorHAnsi"/>
        </w:rPr>
        <w:t>would</w:t>
      </w:r>
      <w:r w:rsidR="005077CA" w:rsidRPr="00E5315D">
        <w:rPr>
          <w:rFonts w:asciiTheme="minorHAnsi" w:hAnsiTheme="minorHAnsi" w:cstheme="minorHAnsi"/>
        </w:rPr>
        <w:t xml:space="preserve"> be assisted by the presence of additional broadcasters delivering a greater range of content, subject to spectrum availability</w:t>
      </w:r>
      <w:r w:rsidR="00A276E4">
        <w:rPr>
          <w:rFonts w:asciiTheme="minorHAnsi" w:hAnsiTheme="minorHAnsi" w:cstheme="minorHAnsi"/>
        </w:rPr>
        <w:t xml:space="preserve"> (and commercial interest)</w:t>
      </w:r>
      <w:r w:rsidR="005077CA" w:rsidRPr="00E5315D">
        <w:rPr>
          <w:rFonts w:asciiTheme="minorHAnsi" w:hAnsiTheme="minorHAnsi" w:cstheme="minorHAnsi"/>
        </w:rPr>
        <w:t>.</w:t>
      </w:r>
      <w:r w:rsidR="00EF03CD">
        <w:rPr>
          <w:rFonts w:asciiTheme="minorHAnsi" w:hAnsiTheme="minorHAnsi" w:cstheme="minorHAnsi"/>
        </w:rPr>
        <w:t xml:space="preserve"> Furthermore, the participation of additional broadcasters </w:t>
      </w:r>
      <w:r w:rsidR="00FE300C">
        <w:rPr>
          <w:rFonts w:asciiTheme="minorHAnsi" w:hAnsiTheme="minorHAnsi" w:cstheme="minorHAnsi"/>
        </w:rPr>
        <w:t xml:space="preserve">may </w:t>
      </w:r>
      <w:r w:rsidR="00EF03CD">
        <w:rPr>
          <w:rFonts w:asciiTheme="minorHAnsi" w:hAnsiTheme="minorHAnsi" w:cstheme="minorHAnsi"/>
        </w:rPr>
        <w:t>assist in recovering the infrastructure costs borne by those broadcasters who first supply digital radio services in an area.</w:t>
      </w:r>
    </w:p>
    <w:p w14:paraId="7460131B" w14:textId="3C3E0BC5" w:rsidR="005077CA" w:rsidRPr="00E5315D" w:rsidRDefault="005077CA" w:rsidP="005077CA">
      <w:pPr>
        <w:pStyle w:val="BodyText"/>
        <w:rPr>
          <w:rFonts w:asciiTheme="minorHAnsi" w:hAnsiTheme="minorHAnsi" w:cstheme="minorHAnsi"/>
          <w:b/>
          <w:i/>
        </w:rPr>
      </w:pPr>
      <w:r w:rsidRPr="00E5315D">
        <w:rPr>
          <w:rFonts w:asciiTheme="minorHAnsi" w:hAnsiTheme="minorHAnsi" w:cstheme="minorHAnsi"/>
          <w:b/>
          <w:i/>
        </w:rPr>
        <w:t xml:space="preserve">Recommendation: The </w:t>
      </w:r>
      <w:r w:rsidR="00670D23">
        <w:rPr>
          <w:rFonts w:asciiTheme="minorHAnsi" w:hAnsiTheme="minorHAnsi" w:cstheme="minorHAnsi"/>
          <w:b/>
          <w:i/>
        </w:rPr>
        <w:t xml:space="preserve">Government should remove the </w:t>
      </w:r>
      <w:r w:rsidR="006F1669">
        <w:rPr>
          <w:rFonts w:asciiTheme="minorHAnsi" w:hAnsiTheme="minorHAnsi" w:cstheme="minorHAnsi"/>
          <w:b/>
          <w:i/>
        </w:rPr>
        <w:t xml:space="preserve">provisions requiring a six year </w:t>
      </w:r>
      <w:r w:rsidRPr="00E5315D">
        <w:rPr>
          <w:rFonts w:asciiTheme="minorHAnsi" w:hAnsiTheme="minorHAnsi" w:cstheme="minorHAnsi"/>
          <w:b/>
          <w:i/>
        </w:rPr>
        <w:t xml:space="preserve">moratorium on </w:t>
      </w:r>
      <w:r w:rsidR="006F1669">
        <w:rPr>
          <w:rFonts w:asciiTheme="minorHAnsi" w:hAnsiTheme="minorHAnsi" w:cstheme="minorHAnsi"/>
          <w:b/>
          <w:i/>
        </w:rPr>
        <w:t xml:space="preserve">additional </w:t>
      </w:r>
      <w:r w:rsidRPr="00E5315D">
        <w:rPr>
          <w:rFonts w:asciiTheme="minorHAnsi" w:hAnsiTheme="minorHAnsi" w:cstheme="minorHAnsi"/>
          <w:b/>
          <w:i/>
        </w:rPr>
        <w:t>commercial digital radio services in a</w:t>
      </w:r>
      <w:r w:rsidR="00701951">
        <w:rPr>
          <w:rFonts w:asciiTheme="minorHAnsi" w:hAnsiTheme="minorHAnsi" w:cstheme="minorHAnsi"/>
          <w:b/>
          <w:i/>
        </w:rPr>
        <w:t xml:space="preserve"> regional</w:t>
      </w:r>
      <w:r w:rsidRPr="00E5315D">
        <w:rPr>
          <w:rFonts w:asciiTheme="minorHAnsi" w:hAnsiTheme="minorHAnsi" w:cstheme="minorHAnsi"/>
          <w:b/>
          <w:i/>
        </w:rPr>
        <w:t xml:space="preserve"> licence area </w:t>
      </w:r>
      <w:r w:rsidR="006F1669">
        <w:rPr>
          <w:rFonts w:asciiTheme="minorHAnsi" w:hAnsiTheme="minorHAnsi" w:cstheme="minorHAnsi"/>
          <w:b/>
          <w:i/>
        </w:rPr>
        <w:t xml:space="preserve">following </w:t>
      </w:r>
      <w:r w:rsidRPr="00E5315D">
        <w:rPr>
          <w:rFonts w:asciiTheme="minorHAnsi" w:hAnsiTheme="minorHAnsi" w:cstheme="minorHAnsi"/>
          <w:b/>
          <w:i/>
        </w:rPr>
        <w:t xml:space="preserve">the commencement of </w:t>
      </w:r>
      <w:r w:rsidR="006F1669">
        <w:rPr>
          <w:rFonts w:asciiTheme="minorHAnsi" w:hAnsiTheme="minorHAnsi" w:cstheme="minorHAnsi"/>
          <w:b/>
          <w:i/>
        </w:rPr>
        <w:t xml:space="preserve">commercial </w:t>
      </w:r>
      <w:r w:rsidRPr="00E5315D">
        <w:rPr>
          <w:rFonts w:asciiTheme="minorHAnsi" w:hAnsiTheme="minorHAnsi" w:cstheme="minorHAnsi"/>
          <w:b/>
          <w:i/>
        </w:rPr>
        <w:t>services in that area.</w:t>
      </w:r>
    </w:p>
    <w:p w14:paraId="6E2CBD7F" w14:textId="77777777" w:rsidR="005077CA" w:rsidRPr="00E5315D" w:rsidRDefault="00E045F4" w:rsidP="005077CA">
      <w:pPr>
        <w:pStyle w:val="BodyText"/>
        <w:rPr>
          <w:rFonts w:asciiTheme="minorHAnsi" w:hAnsiTheme="minorHAnsi" w:cstheme="minorHAnsi"/>
        </w:rPr>
      </w:pPr>
      <w:r>
        <w:rPr>
          <w:rFonts w:asciiTheme="minorHAnsi" w:hAnsiTheme="minorHAnsi" w:cstheme="minorHAnsi"/>
        </w:rPr>
        <w:t>As a consequence of</w:t>
      </w:r>
      <w:r w:rsidR="005077CA" w:rsidRPr="00E5315D">
        <w:rPr>
          <w:rFonts w:asciiTheme="minorHAnsi" w:hAnsiTheme="minorHAnsi" w:cstheme="minorHAnsi"/>
        </w:rPr>
        <w:t xml:space="preserve"> the removal of the moratorium period for new digital radio services, the requirement for commercial radio broadcasters to provide at least one digital radio service during the moratorium period </w:t>
      </w:r>
      <w:r>
        <w:rPr>
          <w:rFonts w:asciiTheme="minorHAnsi" w:hAnsiTheme="minorHAnsi" w:cstheme="minorHAnsi"/>
        </w:rPr>
        <w:t>w</w:t>
      </w:r>
      <w:r w:rsidR="005077CA" w:rsidRPr="00E5315D">
        <w:rPr>
          <w:rFonts w:asciiTheme="minorHAnsi" w:hAnsiTheme="minorHAnsi" w:cstheme="minorHAnsi"/>
        </w:rPr>
        <w:t>ould also be removed.</w:t>
      </w:r>
    </w:p>
    <w:p w14:paraId="456E9B16" w14:textId="29A1CC04" w:rsidR="005077CA" w:rsidRPr="00E5315D" w:rsidRDefault="00267E8E" w:rsidP="005077CA">
      <w:pPr>
        <w:pStyle w:val="BodyText"/>
        <w:rPr>
          <w:rFonts w:asciiTheme="minorHAnsi" w:hAnsiTheme="minorHAnsi" w:cstheme="minorHAnsi"/>
        </w:rPr>
      </w:pPr>
      <w:r>
        <w:rPr>
          <w:rFonts w:asciiTheme="minorHAnsi" w:hAnsiTheme="minorHAnsi" w:cstheme="minorHAnsi"/>
        </w:rPr>
        <w:t>A</w:t>
      </w:r>
      <w:r w:rsidR="005077CA" w:rsidRPr="00E5315D">
        <w:rPr>
          <w:rFonts w:asciiTheme="minorHAnsi" w:hAnsiTheme="minorHAnsi" w:cstheme="minorHAnsi"/>
        </w:rPr>
        <w:t>llowing commercial radio broadcasters</w:t>
      </w:r>
      <w:r w:rsidR="00EF03CD">
        <w:rPr>
          <w:rFonts w:asciiTheme="minorHAnsi" w:hAnsiTheme="minorHAnsi" w:cstheme="minorHAnsi"/>
        </w:rPr>
        <w:t xml:space="preserve">, and </w:t>
      </w:r>
      <w:r w:rsidR="00350DDA">
        <w:rPr>
          <w:rFonts w:asciiTheme="minorHAnsi" w:hAnsiTheme="minorHAnsi" w:cstheme="minorHAnsi"/>
        </w:rPr>
        <w:t>potentially</w:t>
      </w:r>
      <w:r w:rsidR="00EF03CD">
        <w:rPr>
          <w:rFonts w:asciiTheme="minorHAnsi" w:hAnsiTheme="minorHAnsi" w:cstheme="minorHAnsi"/>
        </w:rPr>
        <w:t xml:space="preserve"> national and community broadcasters,</w:t>
      </w:r>
      <w:r w:rsidR="005077CA" w:rsidRPr="00E5315D">
        <w:rPr>
          <w:rFonts w:asciiTheme="minorHAnsi" w:hAnsiTheme="minorHAnsi" w:cstheme="minorHAnsi"/>
        </w:rPr>
        <w:t xml:space="preserve"> to broadcast their radio services in either </w:t>
      </w:r>
      <w:r w:rsidR="00851788" w:rsidRPr="00E5315D">
        <w:rPr>
          <w:rFonts w:asciiTheme="minorHAnsi" w:hAnsiTheme="minorHAnsi" w:cstheme="minorHAnsi"/>
        </w:rPr>
        <w:t>analogue</w:t>
      </w:r>
      <w:r w:rsidR="005077CA" w:rsidRPr="00E5315D">
        <w:rPr>
          <w:rFonts w:asciiTheme="minorHAnsi" w:hAnsiTheme="minorHAnsi" w:cstheme="minorHAnsi"/>
        </w:rPr>
        <w:t xml:space="preserve">-only format, or digital-only format (or in both </w:t>
      </w:r>
      <w:r w:rsidR="00851788" w:rsidRPr="00E5315D">
        <w:rPr>
          <w:rFonts w:asciiTheme="minorHAnsi" w:hAnsiTheme="minorHAnsi" w:cstheme="minorHAnsi"/>
        </w:rPr>
        <w:t>analogue</w:t>
      </w:r>
      <w:r w:rsidR="005077CA" w:rsidRPr="00E5315D">
        <w:rPr>
          <w:rFonts w:asciiTheme="minorHAnsi" w:hAnsiTheme="minorHAnsi" w:cstheme="minorHAnsi"/>
        </w:rPr>
        <w:t xml:space="preserve"> and digital if they wish to do so) would give radio broadcasters flexibility in service delivery and would also allow duplicate transmission costs to be avoided. However, allowing broadcasters to operate in a digital-only format would raise questions regarding the operation of regulatory arrangements for matters such as </w:t>
      </w:r>
      <w:r w:rsidR="00EF03CD">
        <w:rPr>
          <w:rFonts w:asciiTheme="minorHAnsi" w:hAnsiTheme="minorHAnsi" w:cstheme="minorHAnsi"/>
        </w:rPr>
        <w:t xml:space="preserve">Australian and </w:t>
      </w:r>
      <w:r w:rsidR="005077CA" w:rsidRPr="00E5315D">
        <w:rPr>
          <w:rFonts w:asciiTheme="minorHAnsi" w:hAnsiTheme="minorHAnsi" w:cstheme="minorHAnsi"/>
        </w:rPr>
        <w:t>local content obligations and potentially others. These issues should be investigated further.</w:t>
      </w:r>
    </w:p>
    <w:p w14:paraId="3F406ED6" w14:textId="42F1C19A" w:rsidR="005077CA" w:rsidRPr="00E5315D" w:rsidRDefault="005077CA" w:rsidP="005077CA">
      <w:pPr>
        <w:pStyle w:val="BodyText"/>
        <w:rPr>
          <w:rFonts w:asciiTheme="minorHAnsi" w:hAnsiTheme="minorHAnsi" w:cstheme="minorHAnsi"/>
          <w:b/>
          <w:i/>
        </w:rPr>
      </w:pPr>
      <w:r w:rsidRPr="00E5315D">
        <w:rPr>
          <w:rFonts w:asciiTheme="minorHAnsi" w:hAnsiTheme="minorHAnsi" w:cstheme="minorHAnsi"/>
          <w:b/>
          <w:i/>
        </w:rPr>
        <w:t xml:space="preserve">Recommendation: </w:t>
      </w:r>
      <w:r w:rsidR="00B34D0F">
        <w:rPr>
          <w:rFonts w:asciiTheme="minorHAnsi" w:hAnsiTheme="minorHAnsi" w:cstheme="minorHAnsi"/>
          <w:b/>
          <w:i/>
        </w:rPr>
        <w:t>The Government should consider</w:t>
      </w:r>
      <w:r w:rsidRPr="00E5315D">
        <w:rPr>
          <w:rFonts w:asciiTheme="minorHAnsi" w:hAnsiTheme="minorHAnsi" w:cstheme="minorHAnsi"/>
          <w:b/>
          <w:i/>
        </w:rPr>
        <w:t xml:space="preserve"> </w:t>
      </w:r>
      <w:r w:rsidR="00FE300C">
        <w:rPr>
          <w:rFonts w:asciiTheme="minorHAnsi" w:hAnsiTheme="minorHAnsi" w:cstheme="minorHAnsi"/>
          <w:b/>
          <w:i/>
        </w:rPr>
        <w:t>allowing broadcasters to choose the mode(s) in which they deliver their radio services</w:t>
      </w:r>
      <w:r w:rsidRPr="00E5315D">
        <w:rPr>
          <w:rFonts w:asciiTheme="minorHAnsi" w:hAnsiTheme="minorHAnsi" w:cstheme="minorHAnsi"/>
          <w:b/>
          <w:i/>
        </w:rPr>
        <w:t>.</w:t>
      </w:r>
    </w:p>
    <w:p w14:paraId="25E8EB66" w14:textId="77777777" w:rsidR="005077CA" w:rsidRPr="00E5315D" w:rsidRDefault="005077CA" w:rsidP="005077CA">
      <w:pPr>
        <w:pStyle w:val="Heading2"/>
        <w:numPr>
          <w:ilvl w:val="1"/>
          <w:numId w:val="71"/>
        </w:numPr>
        <w:rPr>
          <w:i/>
        </w:rPr>
      </w:pPr>
      <w:bookmarkStart w:id="77" w:name="_Toc405482190"/>
      <w:bookmarkStart w:id="78" w:name="_Toc390438503"/>
      <w:bookmarkStart w:id="79" w:name="_Toc395694235"/>
      <w:bookmarkStart w:id="80" w:name="_Toc396212050"/>
      <w:bookmarkStart w:id="81" w:name="_Toc397517877"/>
      <w:bookmarkStart w:id="82" w:name="_Toc423532101"/>
      <w:bookmarkEnd w:id="77"/>
      <w:r w:rsidRPr="00E5315D">
        <w:rPr>
          <w:i/>
        </w:rPr>
        <w:t>Digital radio start-up date</w:t>
      </w:r>
      <w:bookmarkEnd w:id="78"/>
      <w:bookmarkEnd w:id="79"/>
      <w:bookmarkEnd w:id="80"/>
      <w:bookmarkEnd w:id="81"/>
      <w:bookmarkEnd w:id="82"/>
    </w:p>
    <w:p w14:paraId="739B71DB"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Consistent with the Government’s deregulation agenda, the provisions regarding the commencement of digital </w:t>
      </w:r>
      <w:r w:rsidR="003F4D0D">
        <w:rPr>
          <w:rFonts w:asciiTheme="minorHAnsi" w:hAnsiTheme="minorHAnsi" w:cstheme="minorHAnsi"/>
        </w:rPr>
        <w:t xml:space="preserve">terrestrial </w:t>
      </w:r>
      <w:r w:rsidRPr="00E5315D">
        <w:rPr>
          <w:rFonts w:asciiTheme="minorHAnsi" w:hAnsiTheme="minorHAnsi" w:cstheme="minorHAnsi"/>
        </w:rPr>
        <w:t xml:space="preserve">radio services in a licence area should be amended and simplified to remove red tape. </w:t>
      </w:r>
    </w:p>
    <w:p w14:paraId="2D6BDB8A" w14:textId="518C4846" w:rsidR="005077CA" w:rsidRPr="00E5315D" w:rsidRDefault="00EE7B6E" w:rsidP="005077CA">
      <w:pPr>
        <w:pStyle w:val="BodyText"/>
        <w:rPr>
          <w:rFonts w:asciiTheme="minorHAnsi" w:hAnsiTheme="minorHAnsi" w:cstheme="minorHAnsi"/>
        </w:rPr>
      </w:pPr>
      <w:r>
        <w:rPr>
          <w:rFonts w:asciiTheme="minorHAnsi" w:hAnsiTheme="minorHAnsi" w:cstheme="minorHAnsi"/>
        </w:rPr>
        <w:t xml:space="preserve">The findings and recommendations in this report are focused on allowing the market to determine the rollout of digital radio services, responding to consumer demand across a range of digital delivery platforms. </w:t>
      </w:r>
      <w:r w:rsidR="005077CA" w:rsidRPr="00E5315D">
        <w:rPr>
          <w:rFonts w:asciiTheme="minorHAnsi" w:hAnsiTheme="minorHAnsi" w:cstheme="minorHAnsi"/>
        </w:rPr>
        <w:t xml:space="preserve">To this end, the </w:t>
      </w:r>
      <w:r w:rsidR="00AD6BE7">
        <w:rPr>
          <w:rFonts w:asciiTheme="minorHAnsi" w:hAnsiTheme="minorHAnsi" w:cstheme="minorHAnsi"/>
        </w:rPr>
        <w:t xml:space="preserve">gatekeeper role </w:t>
      </w:r>
      <w:r w:rsidR="004B03E7">
        <w:rPr>
          <w:rFonts w:asciiTheme="minorHAnsi" w:hAnsiTheme="minorHAnsi" w:cstheme="minorHAnsi"/>
        </w:rPr>
        <w:t xml:space="preserve">currently </w:t>
      </w:r>
      <w:r w:rsidR="00AD6BE7">
        <w:rPr>
          <w:rFonts w:asciiTheme="minorHAnsi" w:hAnsiTheme="minorHAnsi" w:cstheme="minorHAnsi"/>
        </w:rPr>
        <w:t>held by</w:t>
      </w:r>
      <w:r w:rsidR="005077CA" w:rsidRPr="00E5315D">
        <w:rPr>
          <w:rFonts w:asciiTheme="minorHAnsi" w:hAnsiTheme="minorHAnsi" w:cstheme="minorHAnsi"/>
        </w:rPr>
        <w:t xml:space="preserve"> the Minister for Communications </w:t>
      </w:r>
      <w:r w:rsidR="00AD6BE7">
        <w:rPr>
          <w:rFonts w:asciiTheme="minorHAnsi" w:hAnsiTheme="minorHAnsi" w:cstheme="minorHAnsi"/>
        </w:rPr>
        <w:t>in determining</w:t>
      </w:r>
      <w:r w:rsidR="005077CA" w:rsidRPr="00E5315D">
        <w:rPr>
          <w:rFonts w:asciiTheme="minorHAnsi" w:hAnsiTheme="minorHAnsi" w:cstheme="minorHAnsi"/>
        </w:rPr>
        <w:t xml:space="preserve"> a start-up day for a regional licence area should be removed. This would simplify the regulatory framework by giving the ACMA direct responsibility for determining where and when digital radio services can commence</w:t>
      </w:r>
      <w:r w:rsidR="00726F92">
        <w:rPr>
          <w:rFonts w:asciiTheme="minorHAnsi" w:hAnsiTheme="minorHAnsi" w:cstheme="minorHAnsi"/>
        </w:rPr>
        <w:t xml:space="preserve">, in </w:t>
      </w:r>
      <w:r w:rsidR="00FE300C">
        <w:rPr>
          <w:rFonts w:asciiTheme="minorHAnsi" w:hAnsiTheme="minorHAnsi" w:cstheme="minorHAnsi"/>
        </w:rPr>
        <w:t xml:space="preserve">consultation </w:t>
      </w:r>
      <w:r w:rsidR="00726F92">
        <w:rPr>
          <w:rFonts w:asciiTheme="minorHAnsi" w:hAnsiTheme="minorHAnsi" w:cstheme="minorHAnsi"/>
        </w:rPr>
        <w:t>with the industry</w:t>
      </w:r>
      <w:r w:rsidR="005077CA" w:rsidRPr="00E5315D">
        <w:rPr>
          <w:rFonts w:asciiTheme="minorHAnsi" w:hAnsiTheme="minorHAnsi" w:cstheme="minorHAnsi"/>
        </w:rPr>
        <w:t>. The establishment of an industry planning group dedicated to planning the rollout of regional digital radio services, proposed in a number of submissions</w:t>
      </w:r>
      <w:r w:rsidR="00EF03CD">
        <w:rPr>
          <w:rFonts w:asciiTheme="minorHAnsi" w:hAnsiTheme="minorHAnsi" w:cstheme="minorHAnsi"/>
        </w:rPr>
        <w:t xml:space="preserve"> and referred to in part 3.</w:t>
      </w:r>
      <w:r w:rsidR="00171FCB">
        <w:rPr>
          <w:rFonts w:asciiTheme="minorHAnsi" w:hAnsiTheme="minorHAnsi" w:cstheme="minorHAnsi"/>
        </w:rPr>
        <w:t>3</w:t>
      </w:r>
      <w:r w:rsidR="00EF03CD">
        <w:rPr>
          <w:rFonts w:asciiTheme="minorHAnsi" w:hAnsiTheme="minorHAnsi" w:cstheme="minorHAnsi"/>
        </w:rPr>
        <w:t xml:space="preserve"> of this report</w:t>
      </w:r>
      <w:r w:rsidR="005077CA" w:rsidRPr="00E5315D">
        <w:rPr>
          <w:rFonts w:asciiTheme="minorHAnsi" w:hAnsiTheme="minorHAnsi" w:cstheme="minorHAnsi"/>
        </w:rPr>
        <w:t xml:space="preserve">, would also assist the ACMA when developing the timeframe and sequence of any </w:t>
      </w:r>
      <w:r w:rsidR="00067E69">
        <w:rPr>
          <w:rFonts w:asciiTheme="minorHAnsi" w:hAnsiTheme="minorHAnsi" w:cstheme="minorHAnsi"/>
        </w:rPr>
        <w:t xml:space="preserve">future </w:t>
      </w:r>
      <w:r w:rsidR="005077CA" w:rsidRPr="00E5315D">
        <w:rPr>
          <w:rFonts w:asciiTheme="minorHAnsi" w:hAnsiTheme="minorHAnsi" w:cstheme="minorHAnsi"/>
        </w:rPr>
        <w:t>rollout.</w:t>
      </w:r>
      <w:r w:rsidR="00067E69">
        <w:rPr>
          <w:rFonts w:asciiTheme="minorHAnsi" w:hAnsiTheme="minorHAnsi" w:cstheme="minorHAnsi"/>
        </w:rPr>
        <w:t xml:space="preserve"> It could also assist in developing a pathway to the Canberra and Darwin trial services becoming permanent.</w:t>
      </w:r>
    </w:p>
    <w:p w14:paraId="00E17409" w14:textId="71B9B1AE" w:rsidR="005077CA" w:rsidRPr="00E5315D" w:rsidRDefault="005077CA" w:rsidP="005077CA">
      <w:pPr>
        <w:pStyle w:val="BodyText"/>
        <w:rPr>
          <w:rFonts w:asciiTheme="minorHAnsi" w:hAnsiTheme="minorHAnsi" w:cstheme="minorHAnsi"/>
          <w:b/>
          <w:i/>
        </w:rPr>
      </w:pPr>
      <w:r w:rsidRPr="00E5315D">
        <w:rPr>
          <w:rFonts w:asciiTheme="minorHAnsi" w:hAnsiTheme="minorHAnsi" w:cstheme="minorHAnsi"/>
          <w:b/>
          <w:i/>
        </w:rPr>
        <w:t>Recommendation:</w:t>
      </w:r>
      <w:r w:rsidRPr="00E5315D">
        <w:rPr>
          <w:b/>
          <w:i/>
        </w:rPr>
        <w:t xml:space="preserve"> </w:t>
      </w:r>
      <w:r w:rsidR="00E045F4">
        <w:rPr>
          <w:b/>
          <w:i/>
        </w:rPr>
        <w:t xml:space="preserve">The </w:t>
      </w:r>
      <w:r w:rsidR="00B34D0F">
        <w:rPr>
          <w:b/>
          <w:i/>
        </w:rPr>
        <w:t xml:space="preserve">Government should give the </w:t>
      </w:r>
      <w:r w:rsidR="00E045F4">
        <w:rPr>
          <w:b/>
          <w:i/>
        </w:rPr>
        <w:t>ACMA r</w:t>
      </w:r>
      <w:r w:rsidRPr="00E5315D">
        <w:rPr>
          <w:rFonts w:asciiTheme="minorHAnsi" w:hAnsiTheme="minorHAnsi" w:cstheme="minorHAnsi"/>
          <w:b/>
          <w:i/>
        </w:rPr>
        <w:t xml:space="preserve">esponsibility for determining where and when digital </w:t>
      </w:r>
      <w:r w:rsidR="00103074">
        <w:rPr>
          <w:rFonts w:asciiTheme="minorHAnsi" w:hAnsiTheme="minorHAnsi" w:cstheme="minorHAnsi"/>
          <w:b/>
          <w:i/>
        </w:rPr>
        <w:t xml:space="preserve">terrestrial </w:t>
      </w:r>
      <w:r w:rsidRPr="00E5315D">
        <w:rPr>
          <w:rFonts w:asciiTheme="minorHAnsi" w:hAnsiTheme="minorHAnsi" w:cstheme="minorHAnsi"/>
          <w:b/>
          <w:i/>
        </w:rPr>
        <w:t>radio services can commence.</w:t>
      </w:r>
    </w:p>
    <w:p w14:paraId="642D268E" w14:textId="77777777" w:rsidR="007D7D11" w:rsidRDefault="00DC5278" w:rsidP="005077CA">
      <w:pPr>
        <w:pStyle w:val="Heading2"/>
        <w:numPr>
          <w:ilvl w:val="1"/>
          <w:numId w:val="71"/>
        </w:numPr>
        <w:rPr>
          <w:i/>
        </w:rPr>
      </w:pPr>
      <w:bookmarkStart w:id="83" w:name="_Toc423532102"/>
      <w:r>
        <w:rPr>
          <w:i/>
        </w:rPr>
        <w:t>ACMA planning and licensing framework</w:t>
      </w:r>
      <w:bookmarkEnd w:id="83"/>
    </w:p>
    <w:p w14:paraId="5E65A02C" w14:textId="1BAFA7BD" w:rsidR="00D52CB7" w:rsidRDefault="002A1F10" w:rsidP="00E32812">
      <w:pPr>
        <w:pStyle w:val="Bodytext-Indent"/>
        <w:tabs>
          <w:tab w:val="left" w:pos="0"/>
        </w:tabs>
        <w:ind w:left="0"/>
      </w:pPr>
      <w:r>
        <w:t xml:space="preserve">The current digital radio </w:t>
      </w:r>
      <w:r w:rsidR="00B343B2">
        <w:t xml:space="preserve">planning and licensing </w:t>
      </w:r>
      <w:r>
        <w:t xml:space="preserve">framework in the </w:t>
      </w:r>
      <w:r w:rsidRPr="00852FF6">
        <w:t>Radiocommunications Act</w:t>
      </w:r>
      <w:r w:rsidRPr="00E32812">
        <w:rPr>
          <w:i/>
        </w:rPr>
        <w:t xml:space="preserve"> </w:t>
      </w:r>
      <w:r>
        <w:t>restricts the options currently available to the ACMA</w:t>
      </w:r>
      <w:r w:rsidR="00B343B2">
        <w:t xml:space="preserve">, </w:t>
      </w:r>
      <w:r>
        <w:t xml:space="preserve">particularly </w:t>
      </w:r>
      <w:r w:rsidR="00B343B2">
        <w:t xml:space="preserve">in </w:t>
      </w:r>
      <w:r>
        <w:t>planning for the national broadcasters</w:t>
      </w:r>
      <w:r w:rsidR="00D52CB7">
        <w:t xml:space="preserve"> and for dealing with excess capacity</w:t>
      </w:r>
      <w:r w:rsidR="00EE407D">
        <w:t xml:space="preserve">. </w:t>
      </w:r>
    </w:p>
    <w:p w14:paraId="7BBE97F7" w14:textId="77777777" w:rsidR="00D52CB7" w:rsidRPr="00E32812" w:rsidRDefault="00D52CB7" w:rsidP="00E32812">
      <w:pPr>
        <w:pStyle w:val="Bodytext-Indent"/>
        <w:tabs>
          <w:tab w:val="left" w:pos="0"/>
        </w:tabs>
        <w:ind w:left="0"/>
        <w:rPr>
          <w:i/>
        </w:rPr>
      </w:pPr>
      <w:r w:rsidRPr="00E32812">
        <w:rPr>
          <w:i/>
        </w:rPr>
        <w:t>Requirement to plan category 3 multiplex</w:t>
      </w:r>
    </w:p>
    <w:p w14:paraId="59D8D2B8" w14:textId="3E2C7655" w:rsidR="00D52CB7" w:rsidRDefault="002A1F10" w:rsidP="00E32812">
      <w:pPr>
        <w:pStyle w:val="Bodytext-Indent"/>
        <w:tabs>
          <w:tab w:val="left" w:pos="0"/>
        </w:tabs>
        <w:ind w:left="0"/>
      </w:pPr>
      <w:r>
        <w:t xml:space="preserve">The ACMA is required to reserve a frequency channel for a category 3 </w:t>
      </w:r>
      <w:r w:rsidR="00067E69">
        <w:t>DRMT</w:t>
      </w:r>
      <w:r>
        <w:t xml:space="preserve"> </w:t>
      </w:r>
      <w:r w:rsidR="00656894">
        <w:t xml:space="preserve">licence </w:t>
      </w:r>
      <w:r>
        <w:t>(national</w:t>
      </w:r>
      <w:r w:rsidR="003F4D0D">
        <w:t xml:space="preserve"> broadcaster</w:t>
      </w:r>
      <w:r>
        <w:t xml:space="preserve">s only) in each licence area </w:t>
      </w:r>
      <w:r w:rsidR="005C1C7E">
        <w:t xml:space="preserve">(section 44A of the </w:t>
      </w:r>
      <w:r w:rsidR="001B0F8E">
        <w:t xml:space="preserve">Radiocommunications </w:t>
      </w:r>
      <w:r w:rsidR="005C1C7E">
        <w:t>Act</w:t>
      </w:r>
      <w:r w:rsidR="005C1C7E" w:rsidRPr="00067E69">
        <w:t>)</w:t>
      </w:r>
      <w:r w:rsidR="008462FF" w:rsidRPr="00067E69">
        <w:t xml:space="preserve">. </w:t>
      </w:r>
      <w:r w:rsidR="00656894">
        <w:t xml:space="preserve">The </w:t>
      </w:r>
      <w:r w:rsidR="008462FF" w:rsidRPr="00067E69">
        <w:t xml:space="preserve">ACMA is also required to ensure that enough category 1 and/or 2 </w:t>
      </w:r>
      <w:r w:rsidR="00656894">
        <w:t>DRMT</w:t>
      </w:r>
      <w:r w:rsidR="008462FF" w:rsidRPr="00067E69">
        <w:t xml:space="preserve"> licences are planned and issued to satisfy the likely standard access entitlements of the incumbent commercial radio broadcasters (section 8AC of the BSA). Additionally, it is noted that the national broadcasters have the option of electing to jointly (i.e. with commercial and/or community broadcasters) hold a category 2 </w:t>
      </w:r>
      <w:r w:rsidR="00656894">
        <w:t>DRMT licence</w:t>
      </w:r>
      <w:r w:rsidR="008462FF" w:rsidRPr="00067E69">
        <w:t xml:space="preserve">, whether or not they accept the offer of a category 3 </w:t>
      </w:r>
      <w:r w:rsidR="00656894">
        <w:t>DRMT licence</w:t>
      </w:r>
      <w:r w:rsidR="00EE407D">
        <w:t xml:space="preserve">. </w:t>
      </w:r>
      <w:r w:rsidRPr="00067E69">
        <w:t xml:space="preserve">This </w:t>
      </w:r>
      <w:r w:rsidR="005C1C7E" w:rsidRPr="00067E69">
        <w:t xml:space="preserve">dual </w:t>
      </w:r>
      <w:r w:rsidRPr="00067E69">
        <w:t xml:space="preserve">requirement </w:t>
      </w:r>
      <w:r w:rsidR="005C1C7E" w:rsidRPr="00067E69">
        <w:t xml:space="preserve">is unlikely to result in a spectrally efficient outcome and </w:t>
      </w:r>
      <w:r w:rsidRPr="00067E69">
        <w:t>does not take account of the demand for these</w:t>
      </w:r>
      <w:r>
        <w:t xml:space="preserve"> services</w:t>
      </w:r>
      <w:r w:rsidR="005C1C7E">
        <w:t xml:space="preserve"> or </w:t>
      </w:r>
      <w:r>
        <w:t>spectrum availability</w:t>
      </w:r>
      <w:r w:rsidR="005C1C7E">
        <w:t xml:space="preserve"> in individual licence areas, or the rollout decisions of the national broadcasters</w:t>
      </w:r>
      <w:r w:rsidR="00EE407D">
        <w:t xml:space="preserve">. </w:t>
      </w:r>
      <w:r w:rsidR="00D52CB7">
        <w:t>The CRA submission recommends the combined rollout of national and commercial broadcasting services at the same time using a single multiplex model</w:t>
      </w:r>
      <w:r w:rsidR="00F42EAE">
        <w:t>, noting that there are already discussions in regional markets about shared infrastructure</w:t>
      </w:r>
      <w:r w:rsidR="00D52CB7">
        <w:t>.</w:t>
      </w:r>
      <w:r w:rsidR="00D52CB7">
        <w:rPr>
          <w:rStyle w:val="FootnoteReference"/>
        </w:rPr>
        <w:footnoteReference w:id="98"/>
      </w:r>
      <w:r w:rsidR="00656894">
        <w:t xml:space="preserve">  </w:t>
      </w:r>
    </w:p>
    <w:p w14:paraId="462D9D59" w14:textId="406C832D" w:rsidR="00DC5278" w:rsidRDefault="00A01B07" w:rsidP="00E32812">
      <w:pPr>
        <w:pStyle w:val="Bodytext-Indent"/>
        <w:tabs>
          <w:tab w:val="left" w:pos="0"/>
        </w:tabs>
        <w:ind w:left="0"/>
      </w:pPr>
      <w:r>
        <w:t>T</w:t>
      </w:r>
      <w:r w:rsidR="002A1F10">
        <w:t>he ACMA has advised that there is unlikely to be sufficient spectrum in all licence areas for two multiplexes</w:t>
      </w:r>
      <w:r>
        <w:t>. C</w:t>
      </w:r>
      <w:r w:rsidR="005C1C7E">
        <w:t xml:space="preserve">onsideration should be given to amending the legislation to provide </w:t>
      </w:r>
      <w:r>
        <w:t xml:space="preserve">the </w:t>
      </w:r>
      <w:r w:rsidR="005C1C7E">
        <w:t xml:space="preserve">ACMA </w:t>
      </w:r>
      <w:r>
        <w:t xml:space="preserve">with </w:t>
      </w:r>
      <w:r w:rsidR="005C1C7E">
        <w:t xml:space="preserve">the discretion to not plan for a category 3 licence in each licence area if they have consulted with the national broadcasters and been advised that the nationals will be participating on a </w:t>
      </w:r>
      <w:r w:rsidR="00D52CB7">
        <w:t>category 2 multiplex</w:t>
      </w:r>
      <w:r w:rsidR="00426EDF">
        <w:t>.</w:t>
      </w:r>
    </w:p>
    <w:p w14:paraId="5EFA3D5E" w14:textId="10D6FF5B" w:rsidR="00E51774" w:rsidRPr="00E32812" w:rsidRDefault="00E51774" w:rsidP="00E32812">
      <w:pPr>
        <w:pStyle w:val="BodyText"/>
        <w:tabs>
          <w:tab w:val="left" w:pos="0"/>
        </w:tabs>
        <w:rPr>
          <w:i/>
        </w:rPr>
      </w:pPr>
      <w:r w:rsidRPr="00E32812">
        <w:rPr>
          <w:i/>
        </w:rPr>
        <w:t xml:space="preserve">Access </w:t>
      </w:r>
      <w:r w:rsidR="00EF061D">
        <w:rPr>
          <w:i/>
        </w:rPr>
        <w:t>entitlements</w:t>
      </w:r>
      <w:r w:rsidR="00B37CFC">
        <w:rPr>
          <w:i/>
        </w:rPr>
        <w:t xml:space="preserve"> and allocation of excess capacity</w:t>
      </w:r>
    </w:p>
    <w:p w14:paraId="4111176A" w14:textId="2B612548" w:rsidR="00B37CFC" w:rsidRDefault="00EF061D" w:rsidP="00E32812">
      <w:pPr>
        <w:pStyle w:val="BodyText"/>
        <w:tabs>
          <w:tab w:val="left" w:pos="0"/>
        </w:tabs>
      </w:pPr>
      <w:r>
        <w:t>T</w:t>
      </w:r>
      <w:r w:rsidR="00E51774">
        <w:t xml:space="preserve">he legislation </w:t>
      </w:r>
      <w:r w:rsidR="006E610E">
        <w:t xml:space="preserve">currently </w:t>
      </w:r>
      <w:r w:rsidR="00E51774">
        <w:t>provides a sin</w:t>
      </w:r>
      <w:r w:rsidR="00076233">
        <w:t>g</w:t>
      </w:r>
      <w:r w:rsidR="00E51774">
        <w:t xml:space="preserve">le fixed formula for the sharing of a </w:t>
      </w:r>
      <w:r>
        <w:t xml:space="preserve">category 2 </w:t>
      </w:r>
      <w:r w:rsidR="00E51774">
        <w:t>multiplex between national, commercial and community broadcasters</w:t>
      </w:r>
      <w:r w:rsidR="00EE407D">
        <w:t xml:space="preserve">. </w:t>
      </w:r>
      <w:r>
        <w:t>Each incumbent commercial broadcaster is eligible to receive 1/9</w:t>
      </w:r>
      <w:r w:rsidRPr="00AE6F30">
        <w:rPr>
          <w:vertAlign w:val="superscript"/>
        </w:rPr>
        <w:t>th</w:t>
      </w:r>
      <w:r>
        <w:t xml:space="preserve"> of the capacity</w:t>
      </w:r>
      <w:r w:rsidR="009A3BA5">
        <w:t xml:space="preserve"> (up to </w:t>
      </w:r>
      <w:r w:rsidR="003F2AA0">
        <w:t>5</w:t>
      </w:r>
      <w:r w:rsidR="009A3BA5">
        <w:t>/9</w:t>
      </w:r>
      <w:r w:rsidR="009A3BA5" w:rsidRPr="00AE6F30">
        <w:rPr>
          <w:vertAlign w:val="superscript"/>
        </w:rPr>
        <w:t>th</w:t>
      </w:r>
      <w:r w:rsidR="009A3BA5">
        <w:t xml:space="preserve"> in total for commercial broadcasters</w:t>
      </w:r>
      <w:r w:rsidR="003F2AA0">
        <w:t>, although the maximum number of incumbent commercial broadcasters in any regional licence area is four</w:t>
      </w:r>
      <w:r w:rsidR="009A3BA5">
        <w:t>)</w:t>
      </w:r>
      <w:r>
        <w:t>, each incumbent national broadcaster similarly is eligible to receive 1/9</w:t>
      </w:r>
      <w:r w:rsidRPr="00AE6F30">
        <w:rPr>
          <w:vertAlign w:val="superscript"/>
        </w:rPr>
        <w:t>th</w:t>
      </w:r>
      <w:r>
        <w:t>, and the community broadcasters are eligible to share 2/9</w:t>
      </w:r>
      <w:r w:rsidRPr="00AE6F30">
        <w:rPr>
          <w:vertAlign w:val="superscript"/>
        </w:rPr>
        <w:t>th</w:t>
      </w:r>
      <w:r>
        <w:t xml:space="preserve"> amongst them</w:t>
      </w:r>
      <w:r w:rsidR="00EE407D">
        <w:t xml:space="preserve">. </w:t>
      </w:r>
      <w:r w:rsidR="00B37CFC">
        <w:t>The remaining 1/9</w:t>
      </w:r>
      <w:r w:rsidR="00B37CFC" w:rsidRPr="00AE6F30">
        <w:rPr>
          <w:vertAlign w:val="superscript"/>
        </w:rPr>
        <w:t>th</w:t>
      </w:r>
      <w:r w:rsidR="00B37CFC">
        <w:t xml:space="preserve"> is available for allocation through auction.</w:t>
      </w:r>
    </w:p>
    <w:p w14:paraId="47BC164C" w14:textId="2733E610" w:rsidR="00EF061D" w:rsidRDefault="00EF061D" w:rsidP="00E32812">
      <w:pPr>
        <w:pStyle w:val="BodyText"/>
        <w:tabs>
          <w:tab w:val="left" w:pos="0"/>
        </w:tabs>
      </w:pPr>
      <w:r>
        <w:t>In practice, given the different number of commercial broadcasters in each area, the actual usage of the available capacity will vary</w:t>
      </w:r>
      <w:r w:rsidR="00EE407D">
        <w:t xml:space="preserve">. </w:t>
      </w:r>
      <w:r>
        <w:t>Moreover, with the proposed flexible arrangements recommended by this review, it is possible not all entitlements may be taken up by eligible broadcasters</w:t>
      </w:r>
      <w:r w:rsidR="00EE407D">
        <w:t xml:space="preserve">. </w:t>
      </w:r>
    </w:p>
    <w:p w14:paraId="15B044D1" w14:textId="4E38945C" w:rsidR="00A51497" w:rsidRDefault="00A51497" w:rsidP="00A51497">
      <w:pPr>
        <w:pStyle w:val="BodyText"/>
        <w:tabs>
          <w:tab w:val="left" w:pos="0"/>
        </w:tabs>
      </w:pPr>
      <w:r>
        <w:t>1/9</w:t>
      </w:r>
      <w:r w:rsidRPr="007F4553">
        <w:rPr>
          <w:vertAlign w:val="superscript"/>
        </w:rPr>
        <w:t>th</w:t>
      </w:r>
      <w:r>
        <w:t xml:space="preserve"> of the capacity will not be enough to allow terrestrial transmission of digital versions of each existing analogue national broadcaster service, let alone the full suite of national digital radio service currently on offer</w:t>
      </w:r>
      <w:r w:rsidR="00EE407D">
        <w:t xml:space="preserve">. </w:t>
      </w:r>
      <w:r>
        <w:t>To address this, national broadcasters could seek to provide their own (category 3) independent multiplex, if spectrum is available</w:t>
      </w:r>
      <w:r w:rsidR="00EE407D">
        <w:t xml:space="preserve">. </w:t>
      </w:r>
      <w:r>
        <w:t>However this would require national broadcasters to establish (and fund) a fully independent set of transmission infrastructure at the site, rather than sharing costs with commercial and community broadcasters as would be possible with a category 2 multiplex arrangement.</w:t>
      </w:r>
    </w:p>
    <w:p w14:paraId="264CCC49" w14:textId="3C9E3F34" w:rsidR="00A51497" w:rsidRDefault="00A51497" w:rsidP="001405E4">
      <w:pPr>
        <w:pStyle w:val="BodyText"/>
        <w:tabs>
          <w:tab w:val="left" w:pos="0"/>
        </w:tabs>
      </w:pPr>
      <w:r>
        <w:t>There are therefore three options available to use any excess capacity</w:t>
      </w:r>
      <w:r w:rsidR="00A22FCD">
        <w:t>, some of which may require legislative amendments</w:t>
      </w:r>
      <w:r>
        <w:t>:</w:t>
      </w:r>
    </w:p>
    <w:p w14:paraId="6B45D57F" w14:textId="77777777" w:rsidR="00A51497" w:rsidRDefault="00A51497" w:rsidP="004F237D">
      <w:pPr>
        <w:pStyle w:val="BodyText"/>
        <w:numPr>
          <w:ilvl w:val="0"/>
          <w:numId w:val="102"/>
        </w:numPr>
        <w:tabs>
          <w:tab w:val="left" w:pos="0"/>
        </w:tabs>
      </w:pPr>
      <w:r>
        <w:t>Provide first rights to spare capacity to the national broadcasters to enable a greater range of national broadcaster digital services to be transmitted</w:t>
      </w:r>
    </w:p>
    <w:p w14:paraId="711C6630" w14:textId="074A41AA" w:rsidR="00A51497" w:rsidRDefault="00A51497" w:rsidP="004F237D">
      <w:pPr>
        <w:pStyle w:val="BodyText"/>
        <w:numPr>
          <w:ilvl w:val="0"/>
          <w:numId w:val="102"/>
        </w:numPr>
        <w:tabs>
          <w:tab w:val="left" w:pos="0"/>
        </w:tabs>
      </w:pPr>
      <w:r>
        <w:t>Auction spectrum; u</w:t>
      </w:r>
      <w:r w:rsidR="00B37CFC">
        <w:t>nder the existing arrangements, auction bidders for excess capacity would be restricted to national, commercial and community broadcasters</w:t>
      </w:r>
    </w:p>
    <w:p w14:paraId="698945C8" w14:textId="131A90E9" w:rsidR="00B37CFC" w:rsidRDefault="00A51497" w:rsidP="004F237D">
      <w:pPr>
        <w:pStyle w:val="BodyText"/>
        <w:numPr>
          <w:ilvl w:val="0"/>
          <w:numId w:val="102"/>
        </w:numPr>
        <w:tabs>
          <w:tab w:val="left" w:pos="0"/>
        </w:tabs>
      </w:pPr>
      <w:r>
        <w:t xml:space="preserve">Reserve spare capacity for future allocation once demand becomes clearer; this could include </w:t>
      </w:r>
      <w:r w:rsidR="00B37CFC">
        <w:t>opening the market up to non-incumbent broadcasters and to narrowcasters (which is d</w:t>
      </w:r>
      <w:r>
        <w:t>iscussed in section 4.4 below).</w:t>
      </w:r>
    </w:p>
    <w:p w14:paraId="79029587" w14:textId="0850AD45" w:rsidR="00A51497" w:rsidRDefault="004F237D" w:rsidP="00E32812">
      <w:pPr>
        <w:pStyle w:val="BodyText"/>
        <w:tabs>
          <w:tab w:val="left" w:pos="0"/>
        </w:tabs>
      </w:pPr>
      <w:r>
        <w:t xml:space="preserve">The </w:t>
      </w:r>
      <w:r w:rsidR="00983D04">
        <w:t>CBAA has argued that any excess capacity be reserved to meet community broadcasting requ</w:t>
      </w:r>
      <w:r w:rsidR="00A51497">
        <w:t>i</w:t>
      </w:r>
      <w:r w:rsidR="00983D04">
        <w:t>rements.</w:t>
      </w:r>
      <w:r w:rsidR="00983D04">
        <w:rPr>
          <w:rStyle w:val="FootnoteReference"/>
        </w:rPr>
        <w:footnoteReference w:id="99"/>
      </w:r>
      <w:r w:rsidR="00983D04">
        <w:t xml:space="preserve">  </w:t>
      </w:r>
    </w:p>
    <w:p w14:paraId="78F025B4" w14:textId="3126D751" w:rsidR="00ED51B6" w:rsidRDefault="00DA7533" w:rsidP="00E32812">
      <w:pPr>
        <w:pStyle w:val="BodyText"/>
        <w:tabs>
          <w:tab w:val="left" w:pos="0"/>
        </w:tabs>
      </w:pPr>
      <w:r>
        <w:t xml:space="preserve">With a price based approach it is likely that commercial operators would be in a better position </w:t>
      </w:r>
      <w:r w:rsidR="00E86592">
        <w:t xml:space="preserve">to obtain excess capacity </w:t>
      </w:r>
      <w:r>
        <w:t>than either the</w:t>
      </w:r>
      <w:r w:rsidR="00E86592">
        <w:t xml:space="preserve"> national or</w:t>
      </w:r>
      <w:r>
        <w:t xml:space="preserve"> community broadcasters</w:t>
      </w:r>
      <w:r w:rsidR="00EE407D">
        <w:t xml:space="preserve">. </w:t>
      </w:r>
      <w:r w:rsidR="005F6065">
        <w:t>The CRA</w:t>
      </w:r>
      <w:r w:rsidR="001145CA">
        <w:t xml:space="preserve"> submission raised the preference to avoid an auction in favour of a sharing of the capacity between existing access seekers.</w:t>
      </w:r>
      <w:r w:rsidR="001145CA">
        <w:rPr>
          <w:rStyle w:val="FootnoteReference"/>
        </w:rPr>
        <w:footnoteReference w:id="100"/>
      </w:r>
      <w:r w:rsidR="00A51497">
        <w:t xml:space="preserve"> </w:t>
      </w:r>
      <w:r w:rsidR="00ED51B6">
        <w:t>However, given that the amount of excess capacity and the demand for services will vary across regional licence areas, it is difficult to determine the actual degree of c</w:t>
      </w:r>
      <w:r>
        <w:t xml:space="preserve">ompetitive tension </w:t>
      </w:r>
      <w:r w:rsidR="00ED51B6">
        <w:t xml:space="preserve">that will arise. </w:t>
      </w:r>
    </w:p>
    <w:p w14:paraId="43BF0C7B" w14:textId="7D4C3EAE" w:rsidR="00116EF6" w:rsidRDefault="00605735" w:rsidP="00A51497">
      <w:pPr>
        <w:pStyle w:val="BodyText"/>
        <w:tabs>
          <w:tab w:val="left" w:pos="0"/>
        </w:tabs>
      </w:pPr>
      <w:r>
        <w:t>Legislative amendments would be required if it is proposed to impose conditions on the auction process or if an alternative system for allocating excess capacity is proposed</w:t>
      </w:r>
      <w:r w:rsidR="00EE407D">
        <w:t xml:space="preserve">. </w:t>
      </w:r>
      <w:r>
        <w:t>This would be done in consultation with the ACMA and industry.</w:t>
      </w:r>
      <w:r w:rsidR="00A51497" w:rsidRPr="00A51497">
        <w:t xml:space="preserve"> </w:t>
      </w:r>
    </w:p>
    <w:p w14:paraId="134EA9D8" w14:textId="22250917" w:rsidR="00A51497" w:rsidRPr="00E51774" w:rsidRDefault="00A51497" w:rsidP="00A51497">
      <w:pPr>
        <w:pStyle w:val="BodyText"/>
        <w:tabs>
          <w:tab w:val="left" w:pos="0"/>
        </w:tabs>
      </w:pPr>
      <w:r>
        <w:t>Consideration could be given to providing the ACMA with greater flexibility to allocate access entitlements</w:t>
      </w:r>
      <w:r w:rsidR="00EE407D">
        <w:t xml:space="preserve">. </w:t>
      </w:r>
      <w:r>
        <w:t xml:space="preserve">This would give the ACMA the ability to vary the entitlements for each licence area, subject to discussions with the existing stakeholders </w:t>
      </w:r>
      <w:r w:rsidR="00E86592">
        <w:t>and</w:t>
      </w:r>
      <w:r>
        <w:t xml:space="preserve"> the overriding conditions of spectrum efficiency and improved programs for listeners</w:t>
      </w:r>
      <w:r w:rsidR="00426EDF">
        <w:t xml:space="preserve">. </w:t>
      </w:r>
    </w:p>
    <w:p w14:paraId="018C0653" w14:textId="1DF12CB8" w:rsidR="001F07F3" w:rsidRPr="00E32812" w:rsidRDefault="001F07F3" w:rsidP="00E32812">
      <w:pPr>
        <w:pStyle w:val="BodyText"/>
        <w:tabs>
          <w:tab w:val="left" w:pos="0"/>
        </w:tabs>
        <w:rPr>
          <w:b/>
          <w:i/>
        </w:rPr>
      </w:pPr>
      <w:r w:rsidRPr="00E32812">
        <w:rPr>
          <w:b/>
          <w:i/>
        </w:rPr>
        <w:t>Recommendation: The Government should consider minor amendments to the current digital radio regulatory regime to provide a simpler, more flexible process for planning and licensing of digital radio in regional Australia</w:t>
      </w:r>
      <w:r w:rsidR="003F0E0F" w:rsidRPr="003F0E0F">
        <w:rPr>
          <w:b/>
          <w:i/>
        </w:rPr>
        <w:t>, with a view to permanent services being licensed in Canberra and Darwin as a priority</w:t>
      </w:r>
      <w:r w:rsidR="00426EDF">
        <w:rPr>
          <w:b/>
          <w:i/>
        </w:rPr>
        <w:t xml:space="preserve">. </w:t>
      </w:r>
    </w:p>
    <w:p w14:paraId="73DB609C" w14:textId="77777777" w:rsidR="005077CA" w:rsidRPr="00E5315D" w:rsidRDefault="005077CA" w:rsidP="005077CA">
      <w:pPr>
        <w:pStyle w:val="Heading2"/>
        <w:numPr>
          <w:ilvl w:val="1"/>
          <w:numId w:val="71"/>
        </w:numPr>
        <w:rPr>
          <w:i/>
        </w:rPr>
      </w:pPr>
      <w:bookmarkStart w:id="84" w:name="_Toc423532103"/>
      <w:r w:rsidRPr="00E5315D">
        <w:rPr>
          <w:i/>
        </w:rPr>
        <w:t>Who can provide digital radio services</w:t>
      </w:r>
      <w:bookmarkEnd w:id="84"/>
    </w:p>
    <w:p w14:paraId="4216454C" w14:textId="1A7CBEAF"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At present, apart from the national broadcasters, only those commercial and wide-area community broadcasters who are licensed to provide </w:t>
      </w:r>
      <w:r w:rsidR="00851788" w:rsidRPr="00E5315D">
        <w:rPr>
          <w:rFonts w:asciiTheme="minorHAnsi" w:hAnsiTheme="minorHAnsi" w:cstheme="minorHAnsi"/>
        </w:rPr>
        <w:t>analogue</w:t>
      </w:r>
      <w:r w:rsidRPr="00E5315D">
        <w:rPr>
          <w:rFonts w:asciiTheme="minorHAnsi" w:hAnsiTheme="minorHAnsi" w:cstheme="minorHAnsi"/>
        </w:rPr>
        <w:t xml:space="preserve"> radio services in a particular licence area may seek to provide digital radio services in those areas. </w:t>
      </w:r>
      <w:r w:rsidR="00DC42A7">
        <w:rPr>
          <w:rFonts w:asciiTheme="minorHAnsi" w:hAnsiTheme="minorHAnsi" w:cstheme="minorHAnsi"/>
        </w:rPr>
        <w:t xml:space="preserve">These restrictions operate in addition to the moratorium provisions discussed at </w:t>
      </w:r>
      <w:r w:rsidR="00DC42A7" w:rsidRPr="006E1F51">
        <w:rPr>
          <w:rFonts w:asciiTheme="minorHAnsi" w:hAnsiTheme="minorHAnsi" w:cstheme="minorHAnsi"/>
        </w:rPr>
        <w:t>section</w:t>
      </w:r>
      <w:r w:rsidR="00DC42A7">
        <w:rPr>
          <w:rFonts w:asciiTheme="minorHAnsi" w:hAnsiTheme="minorHAnsi" w:cstheme="minorHAnsi"/>
        </w:rPr>
        <w:t xml:space="preserve"> 4.1. </w:t>
      </w:r>
      <w:r w:rsidRPr="00E5315D">
        <w:rPr>
          <w:rFonts w:asciiTheme="minorHAnsi" w:hAnsiTheme="minorHAnsi" w:cstheme="minorHAnsi"/>
        </w:rPr>
        <w:t xml:space="preserve">The review notes that this approach is consistent with the finding that digital radio will continue as a supplementary, rather than a replacement, technology in at least the short to medium term. However, if incumbent broadcasters </w:t>
      </w:r>
      <w:r w:rsidR="00EF03CD">
        <w:rPr>
          <w:rFonts w:asciiTheme="minorHAnsi" w:hAnsiTheme="minorHAnsi" w:cstheme="minorHAnsi"/>
        </w:rPr>
        <w:t>choose to</w:t>
      </w:r>
      <w:r w:rsidRPr="00E5315D">
        <w:rPr>
          <w:rFonts w:asciiTheme="minorHAnsi" w:hAnsiTheme="minorHAnsi" w:cstheme="minorHAnsi"/>
        </w:rPr>
        <w:t xml:space="preserve"> not provide digital radio services </w:t>
      </w:r>
      <w:r w:rsidR="004212A7">
        <w:rPr>
          <w:rFonts w:asciiTheme="minorHAnsi" w:hAnsiTheme="minorHAnsi" w:cstheme="minorHAnsi"/>
        </w:rPr>
        <w:t xml:space="preserve">in regional areas, </w:t>
      </w:r>
      <w:r w:rsidRPr="00E5315D">
        <w:rPr>
          <w:rFonts w:asciiTheme="minorHAnsi" w:hAnsiTheme="minorHAnsi" w:cstheme="minorHAnsi"/>
        </w:rPr>
        <w:t xml:space="preserve">then </w:t>
      </w:r>
      <w:r w:rsidR="004212A7">
        <w:rPr>
          <w:rFonts w:asciiTheme="minorHAnsi" w:hAnsiTheme="minorHAnsi" w:cstheme="minorHAnsi"/>
        </w:rPr>
        <w:t xml:space="preserve">the practical outcome is that </w:t>
      </w:r>
      <w:r w:rsidRPr="00E5315D">
        <w:rPr>
          <w:rFonts w:asciiTheme="minorHAnsi" w:hAnsiTheme="minorHAnsi" w:cstheme="minorHAnsi"/>
        </w:rPr>
        <w:t xml:space="preserve">listeners are denied </w:t>
      </w:r>
      <w:r w:rsidR="004212A7">
        <w:rPr>
          <w:rFonts w:asciiTheme="minorHAnsi" w:hAnsiTheme="minorHAnsi" w:cstheme="minorHAnsi"/>
        </w:rPr>
        <w:t>such</w:t>
      </w:r>
      <w:r w:rsidR="004212A7" w:rsidRPr="00E5315D">
        <w:rPr>
          <w:rFonts w:asciiTheme="minorHAnsi" w:hAnsiTheme="minorHAnsi" w:cstheme="minorHAnsi"/>
        </w:rPr>
        <w:t xml:space="preserve"> </w:t>
      </w:r>
      <w:r w:rsidRPr="00E5315D">
        <w:rPr>
          <w:rFonts w:asciiTheme="minorHAnsi" w:hAnsiTheme="minorHAnsi" w:cstheme="minorHAnsi"/>
        </w:rPr>
        <w:t>services and valuable spectrum is not utilised.</w:t>
      </w:r>
    </w:p>
    <w:p w14:paraId="6B6D46F4" w14:textId="1A272AB6"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Therefore, the review considers that if incumbent radio broadcasters in regional licence areas have not established digital</w:t>
      </w:r>
      <w:r w:rsidR="00133E40">
        <w:rPr>
          <w:rFonts w:asciiTheme="minorHAnsi" w:hAnsiTheme="minorHAnsi" w:cstheme="minorHAnsi"/>
        </w:rPr>
        <w:t xml:space="preserve"> terrestrial</w:t>
      </w:r>
      <w:r w:rsidRPr="00E5315D">
        <w:rPr>
          <w:rFonts w:asciiTheme="minorHAnsi" w:hAnsiTheme="minorHAnsi" w:cstheme="minorHAnsi"/>
        </w:rPr>
        <w:t xml:space="preserve"> radio services, or taken positive steps towards their establishment, by </w:t>
      </w:r>
      <w:r w:rsidR="001E3FC5">
        <w:rPr>
          <w:rFonts w:asciiTheme="minorHAnsi" w:hAnsiTheme="minorHAnsi" w:cstheme="minorHAnsi"/>
        </w:rPr>
        <w:t>30 June 2018</w:t>
      </w:r>
      <w:r w:rsidRPr="00E5315D">
        <w:rPr>
          <w:rFonts w:asciiTheme="minorHAnsi" w:hAnsiTheme="minorHAnsi" w:cstheme="minorHAnsi"/>
        </w:rPr>
        <w:t xml:space="preserve">, the Government should consider relaxing the restrictions in the BSA on who may provide </w:t>
      </w:r>
      <w:r w:rsidR="00133E40">
        <w:rPr>
          <w:rFonts w:asciiTheme="minorHAnsi" w:hAnsiTheme="minorHAnsi" w:cstheme="minorHAnsi"/>
        </w:rPr>
        <w:t>such</w:t>
      </w:r>
      <w:r w:rsidRPr="00E5315D">
        <w:rPr>
          <w:rFonts w:asciiTheme="minorHAnsi" w:hAnsiTheme="minorHAnsi" w:cstheme="minorHAnsi"/>
        </w:rPr>
        <w:t xml:space="preserve"> services.</w:t>
      </w:r>
    </w:p>
    <w:p w14:paraId="5A47F061" w14:textId="19C3EC55"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This would give incumbent radio broadcasters sufficient time to </w:t>
      </w:r>
      <w:r w:rsidR="004212A7">
        <w:rPr>
          <w:rFonts w:asciiTheme="minorHAnsi" w:hAnsiTheme="minorHAnsi" w:cstheme="minorHAnsi"/>
        </w:rPr>
        <w:t>determine</w:t>
      </w:r>
      <w:r w:rsidR="004212A7" w:rsidRPr="00E5315D">
        <w:rPr>
          <w:rFonts w:asciiTheme="minorHAnsi" w:hAnsiTheme="minorHAnsi" w:cstheme="minorHAnsi"/>
        </w:rPr>
        <w:t xml:space="preserve"> </w:t>
      </w:r>
      <w:r w:rsidRPr="00E5315D">
        <w:rPr>
          <w:rFonts w:asciiTheme="minorHAnsi" w:hAnsiTheme="minorHAnsi" w:cstheme="minorHAnsi"/>
        </w:rPr>
        <w:t>the business case for rolling out digital</w:t>
      </w:r>
      <w:r w:rsidR="00133E40">
        <w:rPr>
          <w:rFonts w:asciiTheme="minorHAnsi" w:hAnsiTheme="minorHAnsi" w:cstheme="minorHAnsi"/>
        </w:rPr>
        <w:t xml:space="preserve"> terrestrial</w:t>
      </w:r>
      <w:r w:rsidRPr="00E5315D">
        <w:rPr>
          <w:rFonts w:asciiTheme="minorHAnsi" w:hAnsiTheme="minorHAnsi" w:cstheme="minorHAnsi"/>
        </w:rPr>
        <w:t xml:space="preserve"> radio. If incumbent broadcasters decide that the business case is not viable, then it may be appropriate to allow other </w:t>
      </w:r>
      <w:r w:rsidR="00F3008D">
        <w:rPr>
          <w:rFonts w:asciiTheme="minorHAnsi" w:hAnsiTheme="minorHAnsi" w:cstheme="minorHAnsi"/>
        </w:rPr>
        <w:t xml:space="preserve">parties, including </w:t>
      </w:r>
      <w:r w:rsidRPr="00E5315D">
        <w:rPr>
          <w:rFonts w:asciiTheme="minorHAnsi" w:hAnsiTheme="minorHAnsi" w:cstheme="minorHAnsi"/>
        </w:rPr>
        <w:t>narrowcasters</w:t>
      </w:r>
      <w:r w:rsidR="00F3008D">
        <w:rPr>
          <w:rFonts w:asciiTheme="minorHAnsi" w:hAnsiTheme="minorHAnsi" w:cstheme="minorHAnsi"/>
        </w:rPr>
        <w:t>,</w:t>
      </w:r>
      <w:r w:rsidRPr="00E5315D">
        <w:rPr>
          <w:rFonts w:asciiTheme="minorHAnsi" w:hAnsiTheme="minorHAnsi" w:cstheme="minorHAnsi"/>
        </w:rPr>
        <w:t xml:space="preserve"> to do so. As the ACCC noted in its submission, the potential emergence of new competitors may stimulate the market by driving innovation and investment.</w:t>
      </w:r>
      <w:r w:rsidRPr="00E5315D">
        <w:rPr>
          <w:rStyle w:val="FootnoteReference"/>
          <w:rFonts w:asciiTheme="minorHAnsi" w:hAnsiTheme="minorHAnsi" w:cstheme="minorHAnsi"/>
        </w:rPr>
        <w:footnoteReference w:id="101"/>
      </w:r>
    </w:p>
    <w:p w14:paraId="17990750" w14:textId="788F9A1D"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In considering whether to relax the restrictions on who can provide digital </w:t>
      </w:r>
      <w:r w:rsidR="00133E40">
        <w:rPr>
          <w:rFonts w:asciiTheme="minorHAnsi" w:hAnsiTheme="minorHAnsi" w:cstheme="minorHAnsi"/>
        </w:rPr>
        <w:t xml:space="preserve">terrestrial </w:t>
      </w:r>
      <w:r w:rsidRPr="00E5315D">
        <w:rPr>
          <w:rFonts w:asciiTheme="minorHAnsi" w:hAnsiTheme="minorHAnsi" w:cstheme="minorHAnsi"/>
        </w:rPr>
        <w:t>radio services, the Government would need to take account of a range of complex policy and regulatory issues. These would include the benefits to listeners in a given area of obtaining a</w:t>
      </w:r>
      <w:r w:rsidR="00F3008D">
        <w:rPr>
          <w:rFonts w:asciiTheme="minorHAnsi" w:hAnsiTheme="minorHAnsi" w:cstheme="minorHAnsi"/>
        </w:rPr>
        <w:t>ccess to digital radio services</w:t>
      </w:r>
      <w:r w:rsidR="00C20230">
        <w:rPr>
          <w:rFonts w:asciiTheme="minorHAnsi" w:hAnsiTheme="minorHAnsi" w:cstheme="minorHAnsi"/>
        </w:rPr>
        <w:t>,</w:t>
      </w:r>
      <w:r w:rsidR="00F3008D">
        <w:rPr>
          <w:rFonts w:asciiTheme="minorHAnsi" w:hAnsiTheme="minorHAnsi" w:cstheme="minorHAnsi"/>
        </w:rPr>
        <w:t xml:space="preserve"> </w:t>
      </w:r>
      <w:r w:rsidRPr="00E5315D">
        <w:rPr>
          <w:rFonts w:asciiTheme="minorHAnsi" w:hAnsiTheme="minorHAnsi" w:cstheme="minorHAnsi"/>
        </w:rPr>
        <w:t xml:space="preserve">the impact on existing </w:t>
      </w:r>
      <w:r w:rsidR="00851788">
        <w:rPr>
          <w:rFonts w:asciiTheme="minorHAnsi" w:hAnsiTheme="minorHAnsi" w:cstheme="minorHAnsi"/>
        </w:rPr>
        <w:t>analogue</w:t>
      </w:r>
      <w:r w:rsidR="00F3008D">
        <w:rPr>
          <w:rFonts w:asciiTheme="minorHAnsi" w:hAnsiTheme="minorHAnsi" w:cstheme="minorHAnsi"/>
        </w:rPr>
        <w:t xml:space="preserve"> radio broadcasters</w:t>
      </w:r>
      <w:r w:rsidR="00C20230">
        <w:rPr>
          <w:rFonts w:asciiTheme="minorHAnsi" w:hAnsiTheme="minorHAnsi" w:cstheme="minorHAnsi"/>
        </w:rPr>
        <w:t xml:space="preserve">, and the arrangements for accessing any excess capacity on </w:t>
      </w:r>
      <w:r w:rsidR="00C20230" w:rsidRPr="000C0ADB">
        <w:rPr>
          <w:rFonts w:asciiTheme="minorHAnsi" w:hAnsiTheme="minorHAnsi" w:cstheme="minorHAnsi"/>
        </w:rPr>
        <w:t xml:space="preserve">the </w:t>
      </w:r>
      <w:r w:rsidR="00DA1BC6" w:rsidRPr="000C0ADB">
        <w:rPr>
          <w:rFonts w:asciiTheme="minorHAnsi" w:hAnsiTheme="minorHAnsi" w:cstheme="minorHAnsi"/>
        </w:rPr>
        <w:t>c</w:t>
      </w:r>
      <w:r w:rsidR="00C20230" w:rsidRPr="000C0ADB">
        <w:rPr>
          <w:rFonts w:asciiTheme="minorHAnsi" w:hAnsiTheme="minorHAnsi" w:cstheme="minorHAnsi"/>
        </w:rPr>
        <w:t>ategory 2</w:t>
      </w:r>
      <w:r w:rsidR="00C20230">
        <w:rPr>
          <w:rFonts w:asciiTheme="minorHAnsi" w:hAnsiTheme="minorHAnsi" w:cstheme="minorHAnsi"/>
        </w:rPr>
        <w:t xml:space="preserve"> multiplexes</w:t>
      </w:r>
      <w:r w:rsidRPr="00E5315D">
        <w:rPr>
          <w:rFonts w:asciiTheme="minorHAnsi" w:hAnsiTheme="minorHAnsi" w:cstheme="minorHAnsi"/>
        </w:rPr>
        <w:t>.</w:t>
      </w:r>
    </w:p>
    <w:p w14:paraId="64BA5277" w14:textId="3E52588C" w:rsidR="005077CA" w:rsidRPr="00E5315D" w:rsidRDefault="005077CA" w:rsidP="005077CA">
      <w:pPr>
        <w:pStyle w:val="BodyText"/>
        <w:rPr>
          <w:rFonts w:asciiTheme="minorHAnsi" w:hAnsiTheme="minorHAnsi" w:cstheme="minorHAnsi"/>
          <w:b/>
          <w:i/>
        </w:rPr>
      </w:pPr>
      <w:r w:rsidRPr="00E5315D">
        <w:rPr>
          <w:rFonts w:asciiTheme="minorHAnsi" w:hAnsiTheme="minorHAnsi" w:cstheme="minorHAnsi"/>
          <w:b/>
          <w:i/>
        </w:rPr>
        <w:t xml:space="preserve">Recommendation: The Government should consider whether the statutory </w:t>
      </w:r>
      <w:r w:rsidR="008460BB">
        <w:rPr>
          <w:rFonts w:asciiTheme="minorHAnsi" w:hAnsiTheme="minorHAnsi" w:cstheme="minorHAnsi"/>
          <w:b/>
          <w:i/>
        </w:rPr>
        <w:t>restrictions on who can provide</w:t>
      </w:r>
      <w:r w:rsidRPr="00E5315D">
        <w:rPr>
          <w:rFonts w:asciiTheme="minorHAnsi" w:hAnsiTheme="minorHAnsi" w:cstheme="minorHAnsi"/>
          <w:b/>
          <w:i/>
        </w:rPr>
        <w:t xml:space="preserve"> digital</w:t>
      </w:r>
      <w:r w:rsidR="00133E40">
        <w:rPr>
          <w:rFonts w:asciiTheme="minorHAnsi" w:hAnsiTheme="minorHAnsi" w:cstheme="minorHAnsi"/>
          <w:b/>
          <w:i/>
        </w:rPr>
        <w:t xml:space="preserve"> </w:t>
      </w:r>
      <w:r w:rsidRPr="00E5315D">
        <w:rPr>
          <w:rFonts w:asciiTheme="minorHAnsi" w:hAnsiTheme="minorHAnsi" w:cstheme="minorHAnsi"/>
          <w:b/>
          <w:i/>
        </w:rPr>
        <w:t xml:space="preserve">radio services should be relaxed in the event that incumbent radio broadcasters in regional licence areas have not established </w:t>
      </w:r>
      <w:r w:rsidR="00103074">
        <w:rPr>
          <w:rFonts w:asciiTheme="minorHAnsi" w:hAnsiTheme="minorHAnsi" w:cstheme="minorHAnsi"/>
          <w:b/>
          <w:i/>
        </w:rPr>
        <w:t>digital radio</w:t>
      </w:r>
      <w:r w:rsidR="00133E40">
        <w:rPr>
          <w:rFonts w:asciiTheme="minorHAnsi" w:hAnsiTheme="minorHAnsi" w:cstheme="minorHAnsi"/>
          <w:b/>
          <w:i/>
        </w:rPr>
        <w:t xml:space="preserve"> </w:t>
      </w:r>
      <w:r w:rsidRPr="00E5315D">
        <w:rPr>
          <w:rFonts w:asciiTheme="minorHAnsi" w:hAnsiTheme="minorHAnsi" w:cstheme="minorHAnsi"/>
          <w:b/>
          <w:i/>
        </w:rPr>
        <w:t xml:space="preserve">services, or taken positive steps towards their establishment, by </w:t>
      </w:r>
      <w:r w:rsidR="001E3FC5">
        <w:rPr>
          <w:rFonts w:asciiTheme="minorHAnsi" w:hAnsiTheme="minorHAnsi" w:cstheme="minorHAnsi"/>
          <w:b/>
          <w:i/>
        </w:rPr>
        <w:t>30 June 2018</w:t>
      </w:r>
      <w:r w:rsidRPr="00E5315D">
        <w:rPr>
          <w:rFonts w:asciiTheme="minorHAnsi" w:hAnsiTheme="minorHAnsi" w:cstheme="minorHAnsi"/>
          <w:b/>
          <w:i/>
        </w:rPr>
        <w:t>.</w:t>
      </w:r>
    </w:p>
    <w:p w14:paraId="5AFA873B"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In addition to the issues noted above, there are </w:t>
      </w:r>
      <w:r w:rsidR="00F3008D">
        <w:rPr>
          <w:rFonts w:asciiTheme="minorHAnsi" w:hAnsiTheme="minorHAnsi" w:cstheme="minorHAnsi"/>
        </w:rPr>
        <w:t>other</w:t>
      </w:r>
      <w:r w:rsidRPr="00E5315D">
        <w:rPr>
          <w:rFonts w:asciiTheme="minorHAnsi" w:hAnsiTheme="minorHAnsi" w:cstheme="minorHAnsi"/>
        </w:rPr>
        <w:t xml:space="preserve"> matters to be resolved before a decision could be made on whether narrowcasters be permitted to provide digital</w:t>
      </w:r>
      <w:r w:rsidR="00C23289">
        <w:rPr>
          <w:rFonts w:asciiTheme="minorHAnsi" w:hAnsiTheme="minorHAnsi" w:cstheme="minorHAnsi"/>
        </w:rPr>
        <w:t xml:space="preserve"> terrestrial</w:t>
      </w:r>
      <w:r w:rsidRPr="00E5315D">
        <w:rPr>
          <w:rFonts w:asciiTheme="minorHAnsi" w:hAnsiTheme="minorHAnsi" w:cstheme="minorHAnsi"/>
        </w:rPr>
        <w:t xml:space="preserve"> radio services. As narrowcasting services are class licensed, they do not operate under the same licensing arrangements as commercial or community broadcasters and may have effectively acquired access to spectrum at a considerably lower cost than commercial broadcasters. Furthermore, their coverage does not necessarily correspond to commercial services. In particular, low powered narrowcasters would generally operate over a much smaller area than a commercial radio licence area. If narrowcasters were permitted to provide digital radio services, their coverage may significantly exceed the coverage of their </w:t>
      </w:r>
      <w:r w:rsidR="00851788" w:rsidRPr="00E5315D">
        <w:rPr>
          <w:rFonts w:asciiTheme="minorHAnsi" w:hAnsiTheme="minorHAnsi" w:cstheme="minorHAnsi"/>
        </w:rPr>
        <w:t>analogue</w:t>
      </w:r>
      <w:r w:rsidRPr="00E5315D">
        <w:rPr>
          <w:rFonts w:asciiTheme="minorHAnsi" w:hAnsiTheme="minorHAnsi" w:cstheme="minorHAnsi"/>
        </w:rPr>
        <w:t xml:space="preserve"> services.</w:t>
      </w:r>
    </w:p>
    <w:p w14:paraId="5822C0C4" w14:textId="77777777" w:rsidR="005077CA" w:rsidRPr="00E5315D" w:rsidRDefault="00726F92" w:rsidP="005077CA">
      <w:pPr>
        <w:pStyle w:val="BodyText"/>
        <w:rPr>
          <w:rFonts w:asciiTheme="minorHAnsi" w:hAnsiTheme="minorHAnsi" w:cstheme="minorHAnsi"/>
        </w:rPr>
      </w:pPr>
      <w:r>
        <w:rPr>
          <w:rFonts w:asciiTheme="minorHAnsi" w:hAnsiTheme="minorHAnsi" w:cstheme="minorHAnsi"/>
        </w:rPr>
        <w:t>However</w:t>
      </w:r>
      <w:r w:rsidR="005077CA" w:rsidRPr="00E5315D">
        <w:rPr>
          <w:rFonts w:asciiTheme="minorHAnsi" w:hAnsiTheme="minorHAnsi" w:cstheme="minorHAnsi"/>
        </w:rPr>
        <w:t>, where digital</w:t>
      </w:r>
      <w:r w:rsidR="00C23289">
        <w:rPr>
          <w:rFonts w:asciiTheme="minorHAnsi" w:hAnsiTheme="minorHAnsi" w:cstheme="minorHAnsi"/>
        </w:rPr>
        <w:t xml:space="preserve"> terrestrial</w:t>
      </w:r>
      <w:r w:rsidR="005077CA" w:rsidRPr="00E5315D">
        <w:rPr>
          <w:rFonts w:asciiTheme="minorHAnsi" w:hAnsiTheme="minorHAnsi" w:cstheme="minorHAnsi"/>
        </w:rPr>
        <w:t xml:space="preserve"> radio services have already been established or where services are being rolled out in regional areas and there is sufficient spectrum available to accommodate narrowcasting services, permitting narrowcasters to provide digital radio services </w:t>
      </w:r>
      <w:r w:rsidR="00F27ED5">
        <w:rPr>
          <w:rFonts w:asciiTheme="minorHAnsi" w:hAnsiTheme="minorHAnsi" w:cstheme="minorHAnsi"/>
        </w:rPr>
        <w:t xml:space="preserve">and contribute to infrastructure costs </w:t>
      </w:r>
      <w:r w:rsidR="005077CA" w:rsidRPr="00E5315D">
        <w:rPr>
          <w:rFonts w:asciiTheme="minorHAnsi" w:hAnsiTheme="minorHAnsi" w:cstheme="minorHAnsi"/>
        </w:rPr>
        <w:t xml:space="preserve">could </w:t>
      </w:r>
      <w:r w:rsidR="00F27ED5">
        <w:rPr>
          <w:rFonts w:asciiTheme="minorHAnsi" w:hAnsiTheme="minorHAnsi" w:cstheme="minorHAnsi"/>
        </w:rPr>
        <w:t xml:space="preserve">enhance </w:t>
      </w:r>
      <w:r w:rsidR="005077CA" w:rsidRPr="00E5315D">
        <w:rPr>
          <w:rFonts w:asciiTheme="minorHAnsi" w:hAnsiTheme="minorHAnsi" w:cstheme="minorHAnsi"/>
        </w:rPr>
        <w:t xml:space="preserve">the attractiveness of digital radio to listeners and </w:t>
      </w:r>
      <w:r w:rsidR="00F27ED5">
        <w:rPr>
          <w:rFonts w:asciiTheme="minorHAnsi" w:hAnsiTheme="minorHAnsi" w:cstheme="minorHAnsi"/>
        </w:rPr>
        <w:t>increase the commercial viability of digital radio</w:t>
      </w:r>
      <w:r w:rsidR="005077CA" w:rsidRPr="00E5315D">
        <w:rPr>
          <w:rFonts w:asciiTheme="minorHAnsi" w:hAnsiTheme="minorHAnsi" w:cstheme="minorHAnsi"/>
        </w:rPr>
        <w:t>.</w:t>
      </w:r>
    </w:p>
    <w:p w14:paraId="484A1357" w14:textId="781BB8D7" w:rsidR="005077CA" w:rsidRPr="00E5315D" w:rsidRDefault="005077CA" w:rsidP="005077CA">
      <w:pPr>
        <w:pStyle w:val="BodyText"/>
        <w:rPr>
          <w:rFonts w:asciiTheme="minorHAnsi" w:hAnsiTheme="minorHAnsi" w:cstheme="minorHAnsi"/>
          <w:b/>
          <w:i/>
        </w:rPr>
      </w:pPr>
      <w:r w:rsidRPr="00E5315D">
        <w:rPr>
          <w:rFonts w:asciiTheme="minorHAnsi" w:hAnsiTheme="minorHAnsi" w:cstheme="minorHAnsi"/>
          <w:b/>
          <w:i/>
        </w:rPr>
        <w:t>Recommendation: The Government should consider the arrangements required to enable narrowcasters to provide digital</w:t>
      </w:r>
      <w:r w:rsidR="00C23289">
        <w:rPr>
          <w:rFonts w:asciiTheme="minorHAnsi" w:hAnsiTheme="minorHAnsi" w:cstheme="minorHAnsi"/>
          <w:b/>
          <w:i/>
        </w:rPr>
        <w:t xml:space="preserve"> </w:t>
      </w:r>
      <w:r w:rsidRPr="00E5315D">
        <w:rPr>
          <w:rFonts w:asciiTheme="minorHAnsi" w:hAnsiTheme="minorHAnsi" w:cstheme="minorHAnsi"/>
          <w:b/>
          <w:i/>
        </w:rPr>
        <w:t xml:space="preserve">radio services in areas where services have already been established or to join </w:t>
      </w:r>
      <w:r w:rsidR="007860FA">
        <w:rPr>
          <w:rFonts w:asciiTheme="minorHAnsi" w:hAnsiTheme="minorHAnsi" w:cstheme="minorHAnsi"/>
          <w:b/>
          <w:i/>
        </w:rPr>
        <w:t xml:space="preserve">incumbent </w:t>
      </w:r>
      <w:r w:rsidRPr="00E5315D">
        <w:rPr>
          <w:rFonts w:asciiTheme="minorHAnsi" w:hAnsiTheme="minorHAnsi" w:cstheme="minorHAnsi"/>
          <w:b/>
          <w:i/>
        </w:rPr>
        <w:t>broadcasters in rolling out services, subject to the availability of spectrum</w:t>
      </w:r>
      <w:r w:rsidR="001E3FC5">
        <w:rPr>
          <w:rFonts w:asciiTheme="minorHAnsi" w:hAnsiTheme="minorHAnsi" w:cstheme="minorHAnsi"/>
          <w:b/>
          <w:i/>
        </w:rPr>
        <w:t xml:space="preserve"> and multiplex capacity</w:t>
      </w:r>
      <w:r w:rsidRPr="00E5315D">
        <w:rPr>
          <w:rFonts w:asciiTheme="minorHAnsi" w:hAnsiTheme="minorHAnsi" w:cstheme="minorHAnsi"/>
          <w:b/>
          <w:i/>
        </w:rPr>
        <w:t>.</w:t>
      </w:r>
    </w:p>
    <w:p w14:paraId="5CD4DF46"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The review also considered the operation of the restricted datacasting licence (RDL) category. This category was introduced in order to enable new service providers to make use of the digital radio platform to provide content which, it was hoped, would be different from traditional radio content. As the ACMA has issued no RDLs to date, one course of action would be to remove this licence category from the digital radio framework. </w:t>
      </w:r>
    </w:p>
    <w:p w14:paraId="6D866521" w14:textId="5989E84D"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The ABC, in its submission, noted that, in the absence of demand for these licences and the scarcity of spectrum, there may be no need to retain this licence category.</w:t>
      </w:r>
      <w:r w:rsidRPr="00E5315D">
        <w:rPr>
          <w:rStyle w:val="FootnoteReference"/>
          <w:rFonts w:asciiTheme="minorHAnsi" w:hAnsiTheme="minorHAnsi" w:cstheme="minorHAnsi"/>
        </w:rPr>
        <w:footnoteReference w:id="102"/>
      </w:r>
      <w:r w:rsidR="00AC7E5B">
        <w:rPr>
          <w:rFonts w:asciiTheme="minorHAnsi" w:hAnsiTheme="minorHAnsi" w:cstheme="minorHAnsi"/>
        </w:rPr>
        <w:t xml:space="preserve"> </w:t>
      </w:r>
      <w:r w:rsidR="005F6065">
        <w:rPr>
          <w:rFonts w:asciiTheme="minorHAnsi" w:hAnsiTheme="minorHAnsi" w:cstheme="minorHAnsi"/>
        </w:rPr>
        <w:t xml:space="preserve">The CRA </w:t>
      </w:r>
      <w:r w:rsidRPr="00E5315D">
        <w:rPr>
          <w:rFonts w:asciiTheme="minorHAnsi" w:hAnsiTheme="minorHAnsi" w:cstheme="minorHAnsi"/>
        </w:rPr>
        <w:t>submission also questioned the need to retain RDLs</w:t>
      </w:r>
      <w:r w:rsidR="00AC7E5B">
        <w:rPr>
          <w:rFonts w:asciiTheme="minorHAnsi" w:hAnsiTheme="minorHAnsi" w:cstheme="minorHAnsi"/>
        </w:rPr>
        <w:t>; as</w:t>
      </w:r>
      <w:r w:rsidRPr="00E5315D">
        <w:rPr>
          <w:rFonts w:asciiTheme="minorHAnsi" w:hAnsiTheme="minorHAnsi" w:cstheme="minorHAnsi"/>
        </w:rPr>
        <w:t xml:space="preserve"> there </w:t>
      </w:r>
      <w:r w:rsidR="00AC7E5B">
        <w:rPr>
          <w:rFonts w:asciiTheme="minorHAnsi" w:hAnsiTheme="minorHAnsi" w:cstheme="minorHAnsi"/>
        </w:rPr>
        <w:t xml:space="preserve">is </w:t>
      </w:r>
      <w:r w:rsidRPr="00E5315D">
        <w:rPr>
          <w:rFonts w:asciiTheme="minorHAnsi" w:hAnsiTheme="minorHAnsi" w:cstheme="minorHAnsi"/>
        </w:rPr>
        <w:t xml:space="preserve">no excess capacity across commercial, national and community broadcasters in </w:t>
      </w:r>
      <w:r w:rsidR="002F6FC4">
        <w:rPr>
          <w:rFonts w:asciiTheme="minorHAnsi" w:hAnsiTheme="minorHAnsi" w:cstheme="minorHAnsi"/>
        </w:rPr>
        <w:t xml:space="preserve">mainland state </w:t>
      </w:r>
      <w:r w:rsidRPr="00E5315D">
        <w:rPr>
          <w:rFonts w:asciiTheme="minorHAnsi" w:hAnsiTheme="minorHAnsi" w:cstheme="minorHAnsi"/>
        </w:rPr>
        <w:t xml:space="preserve">capital cities, </w:t>
      </w:r>
      <w:r w:rsidR="00AC7E5B">
        <w:rPr>
          <w:rFonts w:asciiTheme="minorHAnsi" w:hAnsiTheme="minorHAnsi" w:cstheme="minorHAnsi"/>
        </w:rPr>
        <w:t>other than</w:t>
      </w:r>
      <w:r w:rsidRPr="00E5315D">
        <w:rPr>
          <w:rFonts w:asciiTheme="minorHAnsi" w:hAnsiTheme="minorHAnsi" w:cstheme="minorHAnsi"/>
        </w:rPr>
        <w:t xml:space="preserve"> Brisbane, no multiplex capacity is available for RDL use.</w:t>
      </w:r>
      <w:r w:rsidRPr="00E5315D">
        <w:rPr>
          <w:rStyle w:val="FootnoteReference"/>
          <w:rFonts w:asciiTheme="minorHAnsi" w:hAnsiTheme="minorHAnsi" w:cstheme="minorHAnsi"/>
        </w:rPr>
        <w:footnoteReference w:id="103"/>
      </w:r>
      <w:r w:rsidRPr="00E5315D">
        <w:rPr>
          <w:rFonts w:asciiTheme="minorHAnsi" w:hAnsiTheme="minorHAnsi" w:cstheme="minorHAnsi"/>
        </w:rPr>
        <w:t xml:space="preserve">  </w:t>
      </w:r>
    </w:p>
    <w:p w14:paraId="716E3438"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ANRA indicated in its submission that if the RDL requirements were modified, there could be some interest on the part of narrowcasters in providing niche services under this part of the legislation.</w:t>
      </w:r>
      <w:r w:rsidRPr="00E5315D">
        <w:rPr>
          <w:rStyle w:val="FootnoteReference"/>
          <w:rFonts w:asciiTheme="minorHAnsi" w:hAnsiTheme="minorHAnsi" w:cstheme="minorHAnsi"/>
        </w:rPr>
        <w:footnoteReference w:id="104"/>
      </w:r>
      <w:r w:rsidRPr="00E5315D">
        <w:rPr>
          <w:rFonts w:asciiTheme="minorHAnsi" w:hAnsiTheme="minorHAnsi" w:cstheme="minorHAnsi"/>
        </w:rPr>
        <w:t xml:space="preserve"> There is nothing in the current legislation to prevent an existing narrowcaster applying for an RDL, although no existing narrowcaster has done so. </w:t>
      </w:r>
    </w:p>
    <w:p w14:paraId="52266898"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Given the lack of take up of RDLs, the review does not expect repealing the RDL category would compromise the provision of innovative services</w:t>
      </w:r>
      <w:r w:rsidR="00133E40">
        <w:rPr>
          <w:rFonts w:asciiTheme="minorHAnsi" w:hAnsiTheme="minorHAnsi" w:cstheme="minorHAnsi"/>
        </w:rPr>
        <w:t>, and it would simplify the overall regulatory framework</w:t>
      </w:r>
      <w:r w:rsidRPr="00E5315D">
        <w:rPr>
          <w:rFonts w:asciiTheme="minorHAnsi" w:hAnsiTheme="minorHAnsi" w:cstheme="minorHAnsi"/>
        </w:rPr>
        <w:t xml:space="preserve">. </w:t>
      </w:r>
    </w:p>
    <w:p w14:paraId="2687769F" w14:textId="77777777" w:rsidR="005077CA" w:rsidRPr="00E5315D" w:rsidRDefault="005077CA" w:rsidP="005077CA">
      <w:pPr>
        <w:pStyle w:val="BodyText"/>
        <w:rPr>
          <w:rFonts w:asciiTheme="minorHAnsi" w:hAnsiTheme="minorHAnsi" w:cstheme="minorHAnsi"/>
          <w:b/>
          <w:i/>
        </w:rPr>
      </w:pPr>
      <w:r w:rsidRPr="00E5315D">
        <w:rPr>
          <w:rFonts w:asciiTheme="minorHAnsi" w:hAnsiTheme="minorHAnsi" w:cstheme="minorHAnsi"/>
          <w:b/>
          <w:i/>
        </w:rPr>
        <w:t xml:space="preserve">Recommendation: The </w:t>
      </w:r>
      <w:r w:rsidR="00765AFD">
        <w:rPr>
          <w:rFonts w:asciiTheme="minorHAnsi" w:hAnsiTheme="minorHAnsi" w:cstheme="minorHAnsi"/>
          <w:b/>
          <w:i/>
        </w:rPr>
        <w:t xml:space="preserve">Government should repeal the </w:t>
      </w:r>
      <w:r w:rsidRPr="00E5315D">
        <w:rPr>
          <w:rFonts w:asciiTheme="minorHAnsi" w:hAnsiTheme="minorHAnsi" w:cstheme="minorHAnsi"/>
          <w:b/>
          <w:i/>
        </w:rPr>
        <w:t>restricted datacasting licence category.</w:t>
      </w:r>
    </w:p>
    <w:p w14:paraId="35DE7EB7" w14:textId="77777777" w:rsidR="005077CA" w:rsidRPr="00E5315D" w:rsidRDefault="005077CA" w:rsidP="005077CA">
      <w:pPr>
        <w:pStyle w:val="Heading2"/>
        <w:numPr>
          <w:ilvl w:val="1"/>
          <w:numId w:val="71"/>
        </w:numPr>
        <w:rPr>
          <w:i/>
        </w:rPr>
      </w:pPr>
      <w:bookmarkStart w:id="85" w:name="_Toc405470642"/>
      <w:bookmarkStart w:id="86" w:name="_Toc405482193"/>
      <w:bookmarkStart w:id="87" w:name="_Toc390438504"/>
      <w:bookmarkStart w:id="88" w:name="_Toc395694236"/>
      <w:bookmarkStart w:id="89" w:name="_Toc396212051"/>
      <w:bookmarkStart w:id="90" w:name="_Toc397517878"/>
      <w:bookmarkStart w:id="91" w:name="_Toc423532104"/>
      <w:bookmarkEnd w:id="85"/>
      <w:bookmarkEnd w:id="86"/>
      <w:r w:rsidRPr="00E5315D">
        <w:rPr>
          <w:i/>
        </w:rPr>
        <w:t>Sharing of multiplexes by commercial, national and community broadcasters</w:t>
      </w:r>
      <w:bookmarkEnd w:id="87"/>
      <w:bookmarkEnd w:id="88"/>
      <w:bookmarkEnd w:id="89"/>
      <w:bookmarkEnd w:id="90"/>
      <w:bookmarkEnd w:id="91"/>
    </w:p>
    <w:p w14:paraId="33AFFADD" w14:textId="5DEC21D4"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The review proposes no fundamental changes to the legislative arrangements governing the establishment and sharing of digital radio transmission infrastructure (digital radio multiplexes) by radio broadcasters</w:t>
      </w:r>
      <w:r w:rsidR="000B1F05">
        <w:rPr>
          <w:rFonts w:asciiTheme="minorHAnsi" w:hAnsiTheme="minorHAnsi" w:cstheme="minorHAnsi"/>
        </w:rPr>
        <w:t>, beyond the issues raised in Part 4.3 above</w:t>
      </w:r>
      <w:r w:rsidRPr="00E5315D">
        <w:rPr>
          <w:rFonts w:asciiTheme="minorHAnsi" w:hAnsiTheme="minorHAnsi" w:cstheme="minorHAnsi"/>
        </w:rPr>
        <w:t xml:space="preserve">. </w:t>
      </w:r>
    </w:p>
    <w:p w14:paraId="0137B599" w14:textId="150EAE31" w:rsidR="005077CA" w:rsidRPr="00E5315D" w:rsidRDefault="005F6065" w:rsidP="005077CA">
      <w:pPr>
        <w:pStyle w:val="BodyText"/>
        <w:rPr>
          <w:rFonts w:asciiTheme="minorHAnsi" w:hAnsiTheme="minorHAnsi" w:cstheme="minorHAnsi"/>
        </w:rPr>
      </w:pPr>
      <w:r>
        <w:rPr>
          <w:rFonts w:asciiTheme="minorHAnsi" w:hAnsiTheme="minorHAnsi" w:cstheme="minorHAnsi"/>
        </w:rPr>
        <w:t xml:space="preserve">The </w:t>
      </w:r>
      <w:r w:rsidR="005077CA" w:rsidRPr="00E5315D">
        <w:rPr>
          <w:rFonts w:asciiTheme="minorHAnsi" w:hAnsiTheme="minorHAnsi" w:cstheme="minorHAnsi"/>
        </w:rPr>
        <w:t xml:space="preserve">CRA did not outline any significant issues with the existing legislative arrangements stating that </w:t>
      </w:r>
      <w:r w:rsidR="005077CA" w:rsidRPr="00E5315D">
        <w:t>the current regulatory and technical framework for digital radio is broadly well suited to providing services to population centres over 5,000 and along main arterial roads.</w:t>
      </w:r>
      <w:r w:rsidR="005077CA" w:rsidRPr="00E5315D">
        <w:rPr>
          <w:rStyle w:val="FootnoteReference"/>
          <w:rFonts w:asciiTheme="minorHAnsi" w:hAnsiTheme="minorHAnsi" w:cstheme="minorHAnsi"/>
        </w:rPr>
        <w:footnoteReference w:id="105"/>
      </w:r>
      <w:r w:rsidR="005077CA" w:rsidRPr="00E5315D">
        <w:t xml:space="preserve"> </w:t>
      </w:r>
      <w:r>
        <w:t xml:space="preserve">The </w:t>
      </w:r>
      <w:r w:rsidR="005077CA" w:rsidRPr="00E5315D">
        <w:t xml:space="preserve">CRA did </w:t>
      </w:r>
      <w:r w:rsidR="005077CA" w:rsidRPr="00E5315D">
        <w:rPr>
          <w:rFonts w:asciiTheme="minorHAnsi" w:hAnsiTheme="minorHAnsi" w:cstheme="minorHAnsi"/>
        </w:rPr>
        <w:t>note that digital radio is a whole new way of working for broadcasters who have not previously shared infrastructure on this scale and that time was needed for the establishment of the joint venture companies (JVC) to own the spectrum licence and transmission equipment.</w:t>
      </w:r>
      <w:r w:rsidR="005077CA" w:rsidRPr="00E5315D">
        <w:rPr>
          <w:rStyle w:val="FootnoteReference"/>
          <w:rFonts w:asciiTheme="minorHAnsi" w:hAnsiTheme="minorHAnsi" w:cstheme="minorHAnsi"/>
        </w:rPr>
        <w:footnoteReference w:id="106"/>
      </w:r>
    </w:p>
    <w:p w14:paraId="02DF6223" w14:textId="2F597436"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The national broadcasters </w:t>
      </w:r>
      <w:r w:rsidR="00914FEB">
        <w:rPr>
          <w:rFonts w:asciiTheme="minorHAnsi" w:hAnsiTheme="minorHAnsi" w:cstheme="minorHAnsi"/>
        </w:rPr>
        <w:t>did not</w:t>
      </w:r>
      <w:r w:rsidR="00914FEB" w:rsidRPr="00E5315D">
        <w:rPr>
          <w:rFonts w:asciiTheme="minorHAnsi" w:hAnsiTheme="minorHAnsi" w:cstheme="minorHAnsi"/>
        </w:rPr>
        <w:t xml:space="preserve"> </w:t>
      </w:r>
      <w:r w:rsidRPr="00E5315D">
        <w:rPr>
          <w:rFonts w:asciiTheme="minorHAnsi" w:hAnsiTheme="minorHAnsi" w:cstheme="minorHAnsi"/>
        </w:rPr>
        <w:t xml:space="preserve">raise any significant issues with the existing legislative arrangements. The ABC stated that ‘the ABC and SBS currently provide a national DAB multiplex in each of the five mainland </w:t>
      </w:r>
      <w:r w:rsidR="002F6FC4">
        <w:rPr>
          <w:rFonts w:asciiTheme="minorHAnsi" w:hAnsiTheme="minorHAnsi" w:cstheme="minorHAnsi"/>
        </w:rPr>
        <w:t xml:space="preserve">state </w:t>
      </w:r>
      <w:r w:rsidRPr="00E5315D">
        <w:rPr>
          <w:rFonts w:asciiTheme="minorHAnsi" w:hAnsiTheme="minorHAnsi" w:cstheme="minorHAnsi"/>
        </w:rPr>
        <w:t>capital cities through a joint venture. This JV has proven to be an effective method of providing DAB transmission services for both national broadcasters, and the ABC would prefer to retain the model as the benchmark for planning ABC and SBS digital radio services across the country’.</w:t>
      </w:r>
      <w:r w:rsidRPr="00E5315D">
        <w:rPr>
          <w:rStyle w:val="FootnoteReference"/>
          <w:rFonts w:asciiTheme="minorHAnsi" w:hAnsiTheme="minorHAnsi" w:cstheme="minorHAnsi"/>
        </w:rPr>
        <w:footnoteReference w:id="107"/>
      </w:r>
      <w:r w:rsidRPr="00E5315D">
        <w:rPr>
          <w:rFonts w:asciiTheme="minorHAnsi" w:hAnsiTheme="minorHAnsi" w:cstheme="minorHAnsi"/>
        </w:rPr>
        <w:t xml:space="preserve"> </w:t>
      </w:r>
    </w:p>
    <w:p w14:paraId="62D34189" w14:textId="550D0F82" w:rsidR="005077CA" w:rsidRPr="00E5315D" w:rsidRDefault="005077CA" w:rsidP="005077CA">
      <w:pPr>
        <w:pStyle w:val="BodyText"/>
      </w:pPr>
      <w:r w:rsidRPr="00E5315D">
        <w:rPr>
          <w:rFonts w:asciiTheme="minorHAnsi" w:hAnsiTheme="minorHAnsi" w:cstheme="minorHAnsi"/>
        </w:rPr>
        <w:t>As any digital</w:t>
      </w:r>
      <w:r w:rsidR="000B1F05">
        <w:rPr>
          <w:rFonts w:asciiTheme="minorHAnsi" w:hAnsiTheme="minorHAnsi" w:cstheme="minorHAnsi"/>
        </w:rPr>
        <w:t xml:space="preserve"> terrestrial</w:t>
      </w:r>
      <w:r w:rsidRPr="00E5315D">
        <w:rPr>
          <w:rFonts w:asciiTheme="minorHAnsi" w:hAnsiTheme="minorHAnsi" w:cstheme="minorHAnsi"/>
        </w:rPr>
        <w:t xml:space="preserve"> radio rollout to regional licence areas would be a decision for the national broadcasters, national broadcasters retain their ability to choose whether to join commercial and community broadcasters in a JVC to establish a DAB+ multiplex in a licence area. National broadcasters may either accept the invitation to join a JVC or separately apply for a digital multiplex which is exclusively for their use.</w:t>
      </w:r>
      <w:r w:rsidRPr="00E5315D">
        <w:t>.</w:t>
      </w:r>
    </w:p>
    <w:p w14:paraId="5D862113" w14:textId="6FE195BF" w:rsidR="005077CA" w:rsidRPr="00E5315D" w:rsidRDefault="005077CA" w:rsidP="005077CA">
      <w:pPr>
        <w:pStyle w:val="CommentText"/>
        <w:rPr>
          <w:rFonts w:asciiTheme="minorHAnsi" w:hAnsiTheme="minorHAnsi" w:cstheme="minorHAnsi"/>
          <w:sz w:val="22"/>
          <w:szCs w:val="22"/>
        </w:rPr>
      </w:pPr>
      <w:r w:rsidRPr="00E5315D">
        <w:rPr>
          <w:rFonts w:asciiTheme="minorHAnsi" w:hAnsiTheme="minorHAnsi" w:cstheme="minorHAnsi"/>
          <w:sz w:val="22"/>
          <w:szCs w:val="22"/>
        </w:rPr>
        <w:t>Community broadcasters were less satisfied with the multiplex sharing arrangements stating that ‘under the current framework…. community broadcasters have significant limitations on capacity available per service. The equivalent of two standard access entitlements is shared among many wide area community broadcasters</w:t>
      </w:r>
      <w:r w:rsidRPr="00E5315D">
        <w:rPr>
          <w:rStyle w:val="FootnoteReference"/>
          <w:rFonts w:asciiTheme="minorHAnsi" w:hAnsiTheme="minorHAnsi" w:cstheme="minorHAnsi"/>
          <w:sz w:val="22"/>
          <w:szCs w:val="22"/>
        </w:rPr>
        <w:footnoteReference w:id="108"/>
      </w:r>
      <w:r w:rsidRPr="00E5315D">
        <w:rPr>
          <w:rFonts w:asciiTheme="minorHAnsi" w:hAnsiTheme="minorHAnsi" w:cstheme="minorHAnsi"/>
          <w:sz w:val="22"/>
          <w:szCs w:val="22"/>
        </w:rPr>
        <w:t xml:space="preserve"> in an area, as many as six in Adelaide and seven in Perth where there is only one available multiplex. This presents severe challenges to the community broadcasters to provide basic digital radio’.</w:t>
      </w:r>
      <w:r w:rsidRPr="00E5315D">
        <w:rPr>
          <w:rStyle w:val="FootnoteReference"/>
          <w:rFonts w:asciiTheme="minorHAnsi" w:hAnsiTheme="minorHAnsi" w:cstheme="minorHAnsi"/>
          <w:sz w:val="22"/>
          <w:szCs w:val="22"/>
        </w:rPr>
        <w:footnoteReference w:id="109"/>
      </w:r>
      <w:r w:rsidRPr="00E5315D">
        <w:rPr>
          <w:rFonts w:asciiTheme="minorHAnsi" w:hAnsiTheme="minorHAnsi" w:cstheme="minorHAnsi"/>
          <w:sz w:val="22"/>
          <w:szCs w:val="22"/>
        </w:rPr>
        <w:t xml:space="preserve"> In its submission, </w:t>
      </w:r>
      <w:r w:rsidR="00DF25B6">
        <w:rPr>
          <w:rFonts w:asciiTheme="minorHAnsi" w:hAnsiTheme="minorHAnsi" w:cstheme="minorHAnsi"/>
          <w:sz w:val="22"/>
          <w:szCs w:val="22"/>
        </w:rPr>
        <w:t xml:space="preserve">the </w:t>
      </w:r>
      <w:r w:rsidRPr="00E5315D">
        <w:rPr>
          <w:rFonts w:asciiTheme="minorHAnsi" w:hAnsiTheme="minorHAnsi" w:cstheme="minorHAnsi"/>
          <w:sz w:val="22"/>
          <w:szCs w:val="22"/>
        </w:rPr>
        <w:t>CBAA suggested that an additional DRMT licence should be provided in an area where community broadcasting services need additional capacity as well as overflow capacity for commercial broadcasters.</w:t>
      </w:r>
      <w:r w:rsidRPr="00E5315D">
        <w:rPr>
          <w:rStyle w:val="FootnoteReference"/>
          <w:rFonts w:asciiTheme="minorHAnsi" w:hAnsiTheme="minorHAnsi" w:cstheme="minorHAnsi"/>
          <w:sz w:val="22"/>
          <w:szCs w:val="22"/>
        </w:rPr>
        <w:footnoteReference w:id="110"/>
      </w:r>
      <w:r w:rsidRPr="00E5315D">
        <w:rPr>
          <w:rFonts w:asciiTheme="minorHAnsi" w:hAnsiTheme="minorHAnsi" w:cstheme="minorHAnsi"/>
          <w:sz w:val="22"/>
          <w:szCs w:val="22"/>
        </w:rPr>
        <w:t xml:space="preserve"> As </w:t>
      </w:r>
      <w:r w:rsidR="00DC42A7">
        <w:rPr>
          <w:rFonts w:asciiTheme="minorHAnsi" w:hAnsiTheme="minorHAnsi" w:cstheme="minorHAnsi"/>
          <w:sz w:val="22"/>
          <w:szCs w:val="22"/>
        </w:rPr>
        <w:t xml:space="preserve">the </w:t>
      </w:r>
      <w:r w:rsidRPr="00E5315D">
        <w:rPr>
          <w:rFonts w:asciiTheme="minorHAnsi" w:hAnsiTheme="minorHAnsi" w:cstheme="minorHAnsi"/>
          <w:sz w:val="22"/>
          <w:szCs w:val="22"/>
        </w:rPr>
        <w:t xml:space="preserve">CBAA has pointed out, an additional foundation DRMT licence would require legislative amendment. </w:t>
      </w:r>
    </w:p>
    <w:p w14:paraId="0EAFCDAB" w14:textId="78790FDA"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While the review acknowledges the difficulties associated with access to spectrum, the review does not </w:t>
      </w:r>
      <w:r w:rsidR="000B1F05">
        <w:rPr>
          <w:rFonts w:asciiTheme="minorHAnsi" w:hAnsiTheme="minorHAnsi" w:cstheme="minorHAnsi"/>
        </w:rPr>
        <w:t>consider there is a</w:t>
      </w:r>
      <w:r w:rsidRPr="00E5315D">
        <w:rPr>
          <w:rFonts w:asciiTheme="minorHAnsi" w:hAnsiTheme="minorHAnsi" w:cstheme="minorHAnsi"/>
        </w:rPr>
        <w:t xml:space="preserve"> need for </w:t>
      </w:r>
      <w:r w:rsidR="000B1F05">
        <w:rPr>
          <w:rFonts w:asciiTheme="minorHAnsi" w:hAnsiTheme="minorHAnsi" w:cstheme="minorHAnsi"/>
        </w:rPr>
        <w:t>general and fundamental revisions to the framework</w:t>
      </w:r>
      <w:r w:rsidRPr="00E5315D">
        <w:rPr>
          <w:rFonts w:asciiTheme="minorHAnsi" w:hAnsiTheme="minorHAnsi" w:cstheme="minorHAnsi"/>
        </w:rPr>
        <w:t xml:space="preserve">. It is a matter for community radio broadcasters to negotiate the provision of their content in their commercial agreements with the JVCs for access to the multiplex. </w:t>
      </w:r>
      <w:r w:rsidRPr="00E5315D">
        <w:rPr>
          <w:rFonts w:cs="Calibri"/>
        </w:rPr>
        <w:t xml:space="preserve">The availability of suitable spectrum and the limitations on multiplex capacity will always be a potential constraint to the provision of all DAB+ radio services, and more specifically when accommodating the requirements of a large number of community broadcasters in some licence areas. </w:t>
      </w:r>
    </w:p>
    <w:p w14:paraId="70693CBB" w14:textId="77777777" w:rsidR="005077CA" w:rsidRPr="00E5315D" w:rsidRDefault="005077CA" w:rsidP="005077CA">
      <w:pPr>
        <w:pStyle w:val="Heading2"/>
        <w:numPr>
          <w:ilvl w:val="1"/>
          <w:numId w:val="71"/>
        </w:numPr>
        <w:rPr>
          <w:i/>
        </w:rPr>
      </w:pPr>
      <w:bookmarkStart w:id="92" w:name="_Toc398130880"/>
      <w:bookmarkStart w:id="93" w:name="_Toc423532105"/>
      <w:bookmarkEnd w:id="92"/>
      <w:r w:rsidRPr="00E5315D">
        <w:rPr>
          <w:i/>
        </w:rPr>
        <w:t>Access regime for digital radio</w:t>
      </w:r>
      <w:bookmarkEnd w:id="93"/>
    </w:p>
    <w:p w14:paraId="104BC434" w14:textId="77777777" w:rsidR="005077CA" w:rsidRPr="00E5315D" w:rsidRDefault="005077CA" w:rsidP="005077CA">
      <w:pPr>
        <w:pStyle w:val="BodyText"/>
        <w:rPr>
          <w:rFonts w:asciiTheme="minorHAnsi" w:hAnsiTheme="minorHAnsi" w:cstheme="minorHAnsi"/>
        </w:rPr>
      </w:pPr>
      <w:r w:rsidRPr="00E5315D">
        <w:rPr>
          <w:rFonts w:asciiTheme="minorHAnsi" w:hAnsiTheme="minorHAnsi" w:cstheme="minorHAnsi"/>
        </w:rPr>
        <w:t xml:space="preserve">The ACCC, which administers the digital </w:t>
      </w:r>
      <w:r w:rsidR="000B1F05">
        <w:rPr>
          <w:rFonts w:asciiTheme="minorHAnsi" w:hAnsiTheme="minorHAnsi" w:cstheme="minorHAnsi"/>
        </w:rPr>
        <w:t xml:space="preserve">terrestrial </w:t>
      </w:r>
      <w:r w:rsidRPr="00E5315D">
        <w:rPr>
          <w:rFonts w:asciiTheme="minorHAnsi" w:hAnsiTheme="minorHAnsi" w:cstheme="minorHAnsi"/>
        </w:rPr>
        <w:t>radio access regime, noted in its submission that the current access framework appears to be operating effectively.</w:t>
      </w:r>
      <w:r w:rsidRPr="00E5315D">
        <w:rPr>
          <w:rStyle w:val="FootnoteReference"/>
          <w:rFonts w:asciiTheme="minorHAnsi" w:hAnsiTheme="minorHAnsi" w:cstheme="minorHAnsi"/>
        </w:rPr>
        <w:footnoteReference w:id="111"/>
      </w:r>
      <w:r w:rsidRPr="00E5315D">
        <w:rPr>
          <w:rFonts w:asciiTheme="minorHAnsi" w:hAnsiTheme="minorHAnsi" w:cstheme="minorHAnsi"/>
        </w:rPr>
        <w:t xml:space="preserve"> However, the ACCC encouraged greater consultation between JVCs and broadcasters seeking access to their services.</w:t>
      </w:r>
      <w:r w:rsidRPr="00E5315D">
        <w:rPr>
          <w:rStyle w:val="FootnoteReference"/>
          <w:rFonts w:asciiTheme="minorHAnsi" w:hAnsiTheme="minorHAnsi" w:cstheme="minorHAnsi"/>
        </w:rPr>
        <w:footnoteReference w:id="112"/>
      </w:r>
      <w:r w:rsidRPr="00E5315D">
        <w:rPr>
          <w:rFonts w:asciiTheme="minorHAnsi" w:hAnsiTheme="minorHAnsi" w:cstheme="minorHAnsi"/>
        </w:rPr>
        <w:t xml:space="preserve">  </w:t>
      </w:r>
    </w:p>
    <w:p w14:paraId="4380D276" w14:textId="71156123" w:rsidR="005077CA" w:rsidRPr="00E5315D" w:rsidRDefault="005F6065" w:rsidP="005077CA">
      <w:pPr>
        <w:pStyle w:val="BodyText"/>
      </w:pPr>
      <w:r>
        <w:t xml:space="preserve">The </w:t>
      </w:r>
      <w:r w:rsidR="005077CA" w:rsidRPr="00E5315D">
        <w:t>CRA noted that, while the use of an access regime was a relatively novel construct for the broadcasting sector when it was first implemented in 2009, it considers that the existing access regime provides a workable approach to the delivery of multiplex capacity to both commercial and community broadcasters.</w:t>
      </w:r>
      <w:r w:rsidR="005077CA" w:rsidRPr="00E5315D">
        <w:rPr>
          <w:rStyle w:val="FootnoteReference"/>
        </w:rPr>
        <w:footnoteReference w:id="113"/>
      </w:r>
      <w:r w:rsidR="005077CA" w:rsidRPr="00E5315D">
        <w:t xml:space="preserve"> </w:t>
      </w:r>
    </w:p>
    <w:p w14:paraId="45004E0C" w14:textId="77777777" w:rsidR="005077CA" w:rsidRPr="00E5315D" w:rsidRDefault="005077CA" w:rsidP="005077CA">
      <w:pPr>
        <w:pStyle w:val="BodyText"/>
      </w:pPr>
      <w:r w:rsidRPr="00E5315D">
        <w:rPr>
          <w:rFonts w:asciiTheme="minorHAnsi" w:hAnsiTheme="minorHAnsi" w:cstheme="minorHAnsi"/>
        </w:rPr>
        <w:t>The CBAA’s submission supported greater consultation between JVCs and access seekers in cases where actions of the JVCs may result in increased fixed recurring costs for the access seeker.</w:t>
      </w:r>
      <w:r w:rsidRPr="00E5315D">
        <w:rPr>
          <w:rStyle w:val="FootnoteReference"/>
          <w:rFonts w:asciiTheme="minorHAnsi" w:hAnsiTheme="minorHAnsi" w:cstheme="minorHAnsi"/>
        </w:rPr>
        <w:footnoteReference w:id="114"/>
      </w:r>
      <w:r w:rsidRPr="00E5315D">
        <w:rPr>
          <w:rFonts w:asciiTheme="minorHAnsi" w:hAnsiTheme="minorHAnsi" w:cstheme="minorHAnsi"/>
        </w:rPr>
        <w:t xml:space="preserve"> The CBAA expressed concern that the extension of DAB+ digital radio coverage through the use of on-channel repeaters may be undertaken without any consultation with relevant access seekers to the digital radio multiplex, resulting in adjustments to fixed recurring costs for access seekers.</w:t>
      </w:r>
      <w:r w:rsidRPr="00E5315D">
        <w:rPr>
          <w:rStyle w:val="FootnoteReference"/>
          <w:rFonts w:asciiTheme="minorHAnsi" w:hAnsiTheme="minorHAnsi" w:cstheme="minorHAnsi"/>
        </w:rPr>
        <w:footnoteReference w:id="115"/>
      </w:r>
      <w:r w:rsidRPr="00E5315D">
        <w:rPr>
          <w:rFonts w:asciiTheme="minorHAnsi" w:hAnsiTheme="minorHAnsi" w:cstheme="minorHAnsi"/>
        </w:rPr>
        <w:t xml:space="preserve"> The CBAA proposed that the access regime be amended to require a separate consultation process with access seekers where a multiplex licensee proposes to establish an on-channel repeater, add a redundant main site, or materially change the scope or cost of DRMT infrastructure.</w:t>
      </w:r>
      <w:r w:rsidRPr="00E5315D">
        <w:rPr>
          <w:rStyle w:val="FootnoteReference"/>
        </w:rPr>
        <w:footnoteReference w:id="116"/>
      </w:r>
      <w:r w:rsidRPr="00E5315D">
        <w:t xml:space="preserve">  </w:t>
      </w:r>
    </w:p>
    <w:p w14:paraId="67BA500B" w14:textId="77777777" w:rsidR="005077CA" w:rsidRPr="00E5315D" w:rsidRDefault="005077CA" w:rsidP="005077CA">
      <w:pPr>
        <w:pStyle w:val="BodyText"/>
      </w:pPr>
      <w:r w:rsidRPr="00E5315D">
        <w:t>The ACCC, in its submission, noted that in 2013 it had considered the issue of new investment by multiplex licensees in its decision to accept a request from the five JVCs holding the eight DRMT licences to vary the Access Undertakings and alter the service description to reflect new and future investments in on-channel repeaters.</w:t>
      </w:r>
      <w:r w:rsidRPr="00E5315D">
        <w:rPr>
          <w:rStyle w:val="FootnoteReference"/>
        </w:rPr>
        <w:footnoteReference w:id="117"/>
      </w:r>
      <w:r w:rsidRPr="00E5315D">
        <w:t xml:space="preserve"> The ACCC noted that Access Undertakings contain a mechanism for access seekers to seek a price review or resolve disputes where they have specific concerns.</w:t>
      </w:r>
      <w:r w:rsidRPr="00E5315D">
        <w:rPr>
          <w:rStyle w:val="FootnoteReference"/>
        </w:rPr>
        <w:footnoteReference w:id="118"/>
      </w:r>
      <w:r w:rsidRPr="00E5315D">
        <w:t xml:space="preserve"> The ACCC further noted that the JVCs provide DRMT services to community and commercial broadcasters, both of whom have different needs, and encouraged continued consultation between JVCs and access seekers as an effective industry mechanism by which JVCs could understand and potentially address any concerns.</w:t>
      </w:r>
      <w:r w:rsidRPr="00E5315D">
        <w:rPr>
          <w:rStyle w:val="FootnoteReference"/>
        </w:rPr>
        <w:footnoteReference w:id="119"/>
      </w:r>
      <w:r w:rsidRPr="00E5315D">
        <w:t xml:space="preserve"> Overall, the ACCC concluded that the access regime appeared to be working effectively and efficiently in facilitating access to the DRMT service.</w:t>
      </w:r>
      <w:r w:rsidRPr="00E5315D">
        <w:rPr>
          <w:rStyle w:val="FootnoteReference"/>
        </w:rPr>
        <w:footnoteReference w:id="120"/>
      </w:r>
    </w:p>
    <w:p w14:paraId="41977557" w14:textId="0728BBBA" w:rsidR="005077CA" w:rsidRDefault="005077CA" w:rsidP="005077CA">
      <w:pPr>
        <w:pStyle w:val="BodyText"/>
        <w:rPr>
          <w:rFonts w:asciiTheme="minorHAnsi" w:hAnsiTheme="minorHAnsi" w:cstheme="minorHAnsi"/>
        </w:rPr>
      </w:pPr>
      <w:r w:rsidRPr="00E5315D">
        <w:rPr>
          <w:rFonts w:asciiTheme="minorHAnsi" w:hAnsiTheme="minorHAnsi" w:cstheme="minorHAnsi"/>
        </w:rPr>
        <w:t xml:space="preserve">The review notes that the ACCC undertook full consultation with relevant stakeholders before accepting the Access Undertaking in 2009 and the variation in 2013. The decisions to accept the Undertaking and the variation were based on published decision-making criteria. Therefore, the review does not support the proposal from </w:t>
      </w:r>
      <w:r w:rsidR="00DF25B6">
        <w:rPr>
          <w:rFonts w:asciiTheme="minorHAnsi" w:hAnsiTheme="minorHAnsi" w:cstheme="minorHAnsi"/>
        </w:rPr>
        <w:t>the</w:t>
      </w:r>
      <w:r w:rsidRPr="00E5315D">
        <w:rPr>
          <w:rFonts w:asciiTheme="minorHAnsi" w:hAnsiTheme="minorHAnsi" w:cstheme="minorHAnsi"/>
        </w:rPr>
        <w:t xml:space="preserve"> CBAA for the access regime to be amended to require further consultation by multiplex licensees before making investments. However, the review endorses the ACCC’s encouragement of greater consultation between JVCs and access seekers on an informal basis.</w:t>
      </w:r>
    </w:p>
    <w:p w14:paraId="6A7D6890" w14:textId="6C77A73B" w:rsidR="00D475EE" w:rsidRDefault="00D475EE" w:rsidP="0024046F">
      <w:pPr>
        <w:pStyle w:val="BodyText"/>
        <w:rPr>
          <w:rFonts w:asciiTheme="minorHAnsi" w:hAnsiTheme="minorHAnsi" w:cstheme="minorHAnsi"/>
        </w:rPr>
      </w:pPr>
      <w:r w:rsidRPr="00D475EE">
        <w:rPr>
          <w:rFonts w:asciiTheme="minorHAnsi" w:hAnsiTheme="minorHAnsi" w:cstheme="minorHAnsi"/>
        </w:rPr>
        <w:t xml:space="preserve">The review proposes no fundamental changes to the legislative arrangements governing the </w:t>
      </w:r>
      <w:r>
        <w:rPr>
          <w:rFonts w:asciiTheme="minorHAnsi" w:hAnsiTheme="minorHAnsi" w:cstheme="minorHAnsi"/>
        </w:rPr>
        <w:t xml:space="preserve">digital </w:t>
      </w:r>
      <w:r w:rsidR="000B1F05">
        <w:rPr>
          <w:rFonts w:asciiTheme="minorHAnsi" w:hAnsiTheme="minorHAnsi" w:cstheme="minorHAnsi"/>
        </w:rPr>
        <w:t xml:space="preserve">terrestrial </w:t>
      </w:r>
      <w:r>
        <w:rPr>
          <w:rFonts w:asciiTheme="minorHAnsi" w:hAnsiTheme="minorHAnsi" w:cstheme="minorHAnsi"/>
        </w:rPr>
        <w:t>radio access regime</w:t>
      </w:r>
      <w:r w:rsidR="00EE407D">
        <w:rPr>
          <w:rFonts w:asciiTheme="minorHAnsi" w:hAnsiTheme="minorHAnsi" w:cstheme="minorHAnsi"/>
        </w:rPr>
        <w:t xml:space="preserve">. </w:t>
      </w:r>
      <w:r>
        <w:rPr>
          <w:rFonts w:asciiTheme="minorHAnsi" w:hAnsiTheme="minorHAnsi" w:cstheme="minorHAnsi"/>
        </w:rPr>
        <w:t>Similar to the arrangements for the sharing of multiplexes,</w:t>
      </w:r>
      <w:r w:rsidRPr="00D475EE">
        <w:t xml:space="preserve"> </w:t>
      </w:r>
      <w:r>
        <w:t>c</w:t>
      </w:r>
      <w:r w:rsidRPr="00D475EE">
        <w:rPr>
          <w:rFonts w:asciiTheme="minorHAnsi" w:hAnsiTheme="minorHAnsi" w:cstheme="minorHAnsi"/>
        </w:rPr>
        <w:t>onsequential adjustments to these arrangements may be required in the event that the statutory restrictions on who can provide digital radio services are relaxed (as discussed in Part 4.3)</w:t>
      </w:r>
    </w:p>
    <w:p w14:paraId="682153F9" w14:textId="4566F497" w:rsidR="00AA2650" w:rsidRDefault="005077CA" w:rsidP="0024046F">
      <w:pPr>
        <w:pStyle w:val="BodyText"/>
      </w:pPr>
      <w:r w:rsidRPr="00E5315D">
        <w:rPr>
          <w:rFonts w:asciiTheme="minorHAnsi" w:hAnsiTheme="minorHAnsi" w:cstheme="minorHAnsi"/>
          <w:b/>
          <w:i/>
        </w:rPr>
        <w:t xml:space="preserve">Finding: </w:t>
      </w:r>
      <w:r w:rsidR="001E3FC5" w:rsidRPr="001E3FC5">
        <w:rPr>
          <w:rFonts w:asciiTheme="minorHAnsi" w:hAnsiTheme="minorHAnsi" w:cstheme="minorHAnsi"/>
          <w:b/>
          <w:i/>
        </w:rPr>
        <w:t>The arrangements governing the establishment of digital radio transmission infrastructure (multiplexes) by broadcasters and access to capacity on the multiplexes are generally working satisfactorily in the mainland state capital cities. However, some adjustments are likely to be needed to optimise the use of spectrum and infrastructure in regional areas, to accommodate the differing combinations of commercial, national and community broadcasters in different areas. Adjustments may also be needed in the event that the statutory restrictions on who can provide digital radio services are relaxed in the future.</w:t>
      </w:r>
    </w:p>
    <w:sectPr w:rsidR="00AA2650" w:rsidSect="00556F5C">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276" w:left="1440" w:header="510" w:footer="48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C11EE" w14:textId="77777777" w:rsidR="0087153B" w:rsidRDefault="0087153B" w:rsidP="000720AB">
      <w:r>
        <w:separator/>
      </w:r>
    </w:p>
    <w:p w14:paraId="27B8932E" w14:textId="77777777" w:rsidR="0087153B" w:rsidRDefault="0087153B"/>
    <w:p w14:paraId="6EF31CA2" w14:textId="77777777" w:rsidR="0087153B" w:rsidRDefault="0087153B"/>
  </w:endnote>
  <w:endnote w:type="continuationSeparator" w:id="0">
    <w:p w14:paraId="77EDE8AA" w14:textId="77777777" w:rsidR="0087153B" w:rsidRDefault="0087153B" w:rsidP="000720AB">
      <w:r>
        <w:continuationSeparator/>
      </w:r>
    </w:p>
    <w:p w14:paraId="7D03B72B" w14:textId="77777777" w:rsidR="0087153B" w:rsidRDefault="0087153B"/>
    <w:p w14:paraId="1296DEBD" w14:textId="77777777" w:rsidR="0087153B" w:rsidRDefault="0087153B"/>
  </w:endnote>
  <w:endnote w:type="continuationNotice" w:id="1">
    <w:p w14:paraId="2FE661F8" w14:textId="77777777" w:rsidR="0087153B" w:rsidRDefault="008715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Geogrotesque-Light">
    <w:altName w:val="Geogrotesque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89762"/>
      <w:docPartObj>
        <w:docPartGallery w:val="Page Numbers (Bottom of Page)"/>
        <w:docPartUnique/>
      </w:docPartObj>
    </w:sdtPr>
    <w:sdtEndPr>
      <w:rPr>
        <w:noProof/>
      </w:rPr>
    </w:sdtEndPr>
    <w:sdtContent>
      <w:p w14:paraId="15F2367C" w14:textId="77777777" w:rsidR="0087153B" w:rsidRPr="00385923" w:rsidRDefault="0087153B">
        <w:pPr>
          <w:pStyle w:val="Footer"/>
          <w:jc w:val="right"/>
          <w:rPr>
            <w:noProof/>
          </w:rPr>
        </w:pPr>
        <w:r w:rsidRPr="00385923">
          <w:rPr>
            <w:noProof/>
            <w:lang w:eastAsia="en-AU"/>
          </w:rPr>
          <w:drawing>
            <wp:anchor distT="0" distB="0" distL="114300" distR="114300" simplePos="0" relativeHeight="251657728" behindDoc="1" locked="0" layoutInCell="1" allowOverlap="1" wp14:anchorId="1327DA8B" wp14:editId="1327DA8C">
              <wp:simplePos x="0" y="0"/>
              <wp:positionH relativeFrom="page">
                <wp:posOffset>49237</wp:posOffset>
              </wp:positionH>
              <wp:positionV relativeFrom="page">
                <wp:posOffset>9546297</wp:posOffset>
              </wp:positionV>
              <wp:extent cx="7559040" cy="725424"/>
              <wp:effectExtent l="0" t="0" r="0" b="1143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7254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 xml:space="preserve">Digital Radio Report  </w:t>
        </w:r>
        <w:r w:rsidRPr="00385923">
          <w:fldChar w:fldCharType="begin"/>
        </w:r>
        <w:r w:rsidRPr="00385923">
          <w:instrText xml:space="preserve"> PAGE   \* MERGEFORMAT </w:instrText>
        </w:r>
        <w:r w:rsidRPr="00385923">
          <w:fldChar w:fldCharType="separate"/>
        </w:r>
        <w:r w:rsidR="007D19CD">
          <w:rPr>
            <w:noProof/>
          </w:rPr>
          <w:t>4</w:t>
        </w:r>
        <w:r w:rsidRPr="00385923">
          <w:rPr>
            <w:noProof/>
          </w:rPr>
          <w:fldChar w:fldCharType="end"/>
        </w:r>
      </w:p>
      <w:p w14:paraId="0820DFA2" w14:textId="77777777" w:rsidR="0087153B" w:rsidRDefault="007D19CD">
        <w:pPr>
          <w:pStyle w:val="Footer"/>
          <w:jc w:val="right"/>
        </w:pPr>
      </w:p>
    </w:sdtContent>
  </w:sdt>
  <w:p w14:paraId="7030003F" w14:textId="77777777" w:rsidR="0087153B" w:rsidRDefault="0087153B" w:rsidP="00556F5C">
    <w:pPr>
      <w:pStyle w:val="Footer"/>
      <w:tabs>
        <w:tab w:val="clear" w:pos="4513"/>
        <w:tab w:val="left" w:pos="4698"/>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184474"/>
      <w:docPartObj>
        <w:docPartGallery w:val="Page Numbers (Bottom of Page)"/>
        <w:docPartUnique/>
      </w:docPartObj>
    </w:sdtPr>
    <w:sdtEndPr>
      <w:rPr>
        <w:noProof/>
      </w:rPr>
    </w:sdtEndPr>
    <w:sdtContent>
      <w:p w14:paraId="4BEF99A3" w14:textId="77777777" w:rsidR="0087153B" w:rsidRDefault="0087153B">
        <w:pPr>
          <w:pStyle w:val="Footer"/>
        </w:pPr>
        <w:r w:rsidRPr="00385923">
          <w:rPr>
            <w:noProof/>
            <w:lang w:eastAsia="en-AU"/>
          </w:rPr>
          <w:drawing>
            <wp:anchor distT="0" distB="0" distL="114300" distR="114300" simplePos="0" relativeHeight="251658752" behindDoc="1" locked="0" layoutInCell="1" allowOverlap="1" wp14:anchorId="1327DA8D" wp14:editId="1327DA8E">
              <wp:simplePos x="0" y="0"/>
              <wp:positionH relativeFrom="page">
                <wp:posOffset>0</wp:posOffset>
              </wp:positionH>
              <wp:positionV relativeFrom="page">
                <wp:posOffset>9789160</wp:posOffset>
              </wp:positionV>
              <wp:extent cx="7559040" cy="725424"/>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7254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85923">
          <w:fldChar w:fldCharType="begin"/>
        </w:r>
        <w:r w:rsidRPr="00385923">
          <w:instrText xml:space="preserve"> PAGE   \* MERGEFORMAT </w:instrText>
        </w:r>
        <w:r w:rsidRPr="00385923">
          <w:fldChar w:fldCharType="separate"/>
        </w:r>
        <w:r w:rsidR="007D19CD">
          <w:rPr>
            <w:noProof/>
          </w:rPr>
          <w:t>3</w:t>
        </w:r>
        <w:r w:rsidRPr="00385923">
          <w:rPr>
            <w:noProof/>
          </w:rPr>
          <w:fldChar w:fldCharType="end"/>
        </w:r>
        <w:r>
          <w:rPr>
            <w:noProof/>
          </w:rPr>
          <w:t xml:space="preserve">  Digital Radio Report</w:t>
        </w:r>
      </w:p>
    </w:sdtContent>
  </w:sdt>
  <w:p w14:paraId="41E5E618" w14:textId="77777777" w:rsidR="0087153B" w:rsidRDefault="0087153B" w:rsidP="00713743">
    <w:pPr>
      <w:pStyle w:val="Footer"/>
      <w:tabs>
        <w:tab w:val="clear" w:pos="4513"/>
        <w:tab w:val="clear" w:pos="9026"/>
        <w:tab w:val="left" w:pos="3578"/>
      </w:tabs>
      <w:ind w:firstLine="360"/>
      <w:rPr>
        <w:rStyle w:val="PageNumber"/>
      </w:rPr>
    </w:pP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53B9" w14:textId="77777777" w:rsidR="0087153B" w:rsidRPr="002E2136" w:rsidRDefault="0087153B" w:rsidP="002E2136">
    <w:pPr>
      <w:pStyle w:val="Footer"/>
      <w:tabs>
        <w:tab w:val="right" w:pos="8080"/>
      </w:tabs>
      <w:ind w:right="-618"/>
      <w:rPr>
        <w:rFonts w:ascii="Arial" w:hAnsi="Arial"/>
        <w:sz w:val="18"/>
      </w:rPr>
    </w:pPr>
    <w:r w:rsidRPr="002E2136">
      <w:rPr>
        <w:noProof/>
        <w:lang w:eastAsia="en-AU"/>
      </w:rPr>
      <w:drawing>
        <wp:anchor distT="0" distB="0" distL="114300" distR="114300" simplePos="0" relativeHeight="251659776" behindDoc="1" locked="0" layoutInCell="1" allowOverlap="1" wp14:anchorId="1327DA91" wp14:editId="1327DA92">
          <wp:simplePos x="0" y="0"/>
          <wp:positionH relativeFrom="page">
            <wp:align>left</wp:align>
          </wp:positionH>
          <wp:positionV relativeFrom="page">
            <wp:align>bottom</wp:align>
          </wp:positionV>
          <wp:extent cx="7559040" cy="725424"/>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7254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E2136">
      <w:rPr>
        <w:rFonts w:ascii="Arial" w:hAnsi="Arial"/>
        <w:sz w:val="18"/>
      </w:rPr>
      <w:t xml:space="preserve">GPO Box 2154 Canberra ACT 2601 Australia </w:t>
    </w:r>
    <w:r w:rsidRPr="002E2136">
      <w:rPr>
        <w:rFonts w:ascii="Arial" w:hAnsi="Arial"/>
        <w:sz w:val="18"/>
      </w:rPr>
      <w:sym w:font="Wingdings" w:char="F09F"/>
    </w:r>
    <w:r>
      <w:rPr>
        <w:rFonts w:ascii="Arial" w:hAnsi="Arial"/>
        <w:sz w:val="18"/>
      </w:rPr>
      <w:t xml:space="preserve"> telephone 02 6271 </w:t>
    </w:r>
    <w:r w:rsidRPr="002E2136">
      <w:rPr>
        <w:rFonts w:ascii="Arial" w:hAnsi="Arial"/>
        <w:sz w:val="18"/>
      </w:rPr>
      <w:t>1000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6434C" w14:textId="77777777" w:rsidR="0087153B" w:rsidRDefault="0087153B" w:rsidP="000720AB">
      <w:r>
        <w:separator/>
      </w:r>
    </w:p>
    <w:p w14:paraId="65C0A1DC" w14:textId="77777777" w:rsidR="0087153B" w:rsidRDefault="0087153B"/>
    <w:p w14:paraId="2A0E5A4D" w14:textId="77777777" w:rsidR="0087153B" w:rsidRDefault="0087153B"/>
  </w:footnote>
  <w:footnote w:type="continuationSeparator" w:id="0">
    <w:p w14:paraId="540F0E24" w14:textId="77777777" w:rsidR="0087153B" w:rsidRDefault="0087153B" w:rsidP="000720AB">
      <w:r>
        <w:continuationSeparator/>
      </w:r>
    </w:p>
    <w:p w14:paraId="609E5CA2" w14:textId="77777777" w:rsidR="0087153B" w:rsidRDefault="0087153B"/>
    <w:p w14:paraId="36549FB9" w14:textId="77777777" w:rsidR="0087153B" w:rsidRDefault="0087153B"/>
  </w:footnote>
  <w:footnote w:type="continuationNotice" w:id="1">
    <w:p w14:paraId="4101C113" w14:textId="77777777" w:rsidR="0087153B" w:rsidRDefault="0087153B">
      <w:pPr>
        <w:spacing w:before="0"/>
      </w:pPr>
    </w:p>
  </w:footnote>
  <w:footnote w:id="2">
    <w:p w14:paraId="451A8CD2" w14:textId="0DF340B1" w:rsidR="0087153B" w:rsidRDefault="0087153B">
      <w:pPr>
        <w:pStyle w:val="FootnoteText"/>
      </w:pPr>
      <w:r>
        <w:rPr>
          <w:rStyle w:val="FootnoteReference"/>
        </w:rPr>
        <w:footnoteRef/>
      </w:r>
      <w:r>
        <w:t xml:space="preserve"> The Adelaide, Brisbane, Melbourne, Perth and Sydney licence areas are categorised as metropolitan licence areas. The licence areas for Canberra, Darwin and Hobart are categorised as regional licence areas.</w:t>
      </w:r>
    </w:p>
  </w:footnote>
  <w:footnote w:id="3">
    <w:p w14:paraId="1F59D14C" w14:textId="37970DFA" w:rsidR="0087153B" w:rsidRDefault="0087153B">
      <w:pPr>
        <w:pStyle w:val="FootnoteText"/>
      </w:pPr>
      <w:r>
        <w:rPr>
          <w:rStyle w:val="FootnoteReference"/>
        </w:rPr>
        <w:footnoteRef/>
      </w:r>
      <w:r>
        <w:t xml:space="preserve"> Commercial Radio Australia (2015, 13 March 2015), Digital Radio Quarterly Update, </w:t>
      </w:r>
      <w:hyperlink r:id="rId1" w:history="1">
        <w:r w:rsidRPr="0031351A">
          <w:rPr>
            <w:rStyle w:val="Hyperlink"/>
          </w:rPr>
          <w:t>Digital Radio Quarterly Update March 2015</w:t>
        </w:r>
      </w:hyperlink>
      <w:r>
        <w:rPr>
          <w:rStyle w:val="Hyperlink"/>
        </w:rPr>
        <w:t>.</w:t>
      </w:r>
    </w:p>
  </w:footnote>
  <w:footnote w:id="4">
    <w:p w14:paraId="4E233F44" w14:textId="39ABF4EA" w:rsidR="0087153B" w:rsidRDefault="0087153B">
      <w:pPr>
        <w:pStyle w:val="FootnoteText"/>
      </w:pPr>
      <w:r w:rsidRPr="00C32CE1">
        <w:rPr>
          <w:rStyle w:val="FootnoteReference"/>
        </w:rPr>
        <w:footnoteRef/>
      </w:r>
      <w:r w:rsidRPr="00C32CE1">
        <w:t xml:space="preserve"> Unless otherwise specified, references to regional Australia include remote licence areas.</w:t>
      </w:r>
    </w:p>
  </w:footnote>
  <w:footnote w:id="5">
    <w:p w14:paraId="5081C7E4" w14:textId="443A871A" w:rsidR="0087153B" w:rsidRDefault="0087153B">
      <w:pPr>
        <w:pStyle w:val="FootnoteText"/>
      </w:pPr>
      <w:r>
        <w:rPr>
          <w:rStyle w:val="FootnoteReference"/>
        </w:rPr>
        <w:footnoteRef/>
      </w:r>
      <w:r>
        <w:t xml:space="preserve"> The term ‘digital radio’ is generally used in this report to refer to digital terrestrial radio services.</w:t>
      </w:r>
    </w:p>
  </w:footnote>
  <w:footnote w:id="6">
    <w:p w14:paraId="0863EB93" w14:textId="16D56B7B" w:rsidR="0087153B" w:rsidRDefault="0087153B" w:rsidP="005077CA">
      <w:pPr>
        <w:pStyle w:val="FootnoteText"/>
      </w:pPr>
      <w:r>
        <w:rPr>
          <w:rStyle w:val="FootnoteReference"/>
        </w:rPr>
        <w:footnoteRef/>
      </w:r>
      <w:r>
        <w:t xml:space="preserve"> </w:t>
      </w:r>
      <w:r w:rsidRPr="00C46B5A">
        <w:t xml:space="preserve">Department of Communications (2014, February), </w:t>
      </w:r>
      <w:r w:rsidRPr="00C46B5A">
        <w:rPr>
          <w:i/>
        </w:rPr>
        <w:t xml:space="preserve">Digital Radio, </w:t>
      </w:r>
      <w:hyperlink r:id="rId2" w:history="1">
        <w:r>
          <w:rPr>
            <w:rStyle w:val="Hyperlink"/>
          </w:rPr>
          <w:t>Digital Radio Review Submissions</w:t>
        </w:r>
      </w:hyperlink>
      <w:r>
        <w:rPr>
          <w:rStyle w:val="Hyperlink"/>
        </w:rPr>
        <w:t>.</w:t>
      </w:r>
    </w:p>
  </w:footnote>
  <w:footnote w:id="7">
    <w:p w14:paraId="7C512544" w14:textId="3A85C764" w:rsidR="0087153B" w:rsidRDefault="0087153B" w:rsidP="005077CA">
      <w:pPr>
        <w:pStyle w:val="FootnoteText"/>
      </w:pPr>
      <w:r>
        <w:rPr>
          <w:rStyle w:val="FootnoteReference"/>
        </w:rPr>
        <w:footnoteRef/>
      </w:r>
      <w:r>
        <w:t xml:space="preserve"> </w:t>
      </w:r>
      <w:r w:rsidRPr="00500959">
        <w:t>Digital Radio Plus</w:t>
      </w:r>
      <w:r>
        <w:t>,</w:t>
      </w:r>
      <w:r w:rsidRPr="00500959">
        <w:t xml:space="preserve"> Sydney Digital Radio Stations,  </w:t>
      </w:r>
      <w:hyperlink r:id="rId3" w:history="1">
        <w:r>
          <w:rPr>
            <w:rStyle w:val="Hyperlink"/>
          </w:rPr>
          <w:t>Digital Radio Plus - Sydney Digital Radio Stations</w:t>
        </w:r>
      </w:hyperlink>
      <w:r>
        <w:t xml:space="preserve">. </w:t>
      </w:r>
    </w:p>
  </w:footnote>
  <w:footnote w:id="8">
    <w:p w14:paraId="500F8AC0" w14:textId="77777777" w:rsidR="0087153B" w:rsidRDefault="0087153B" w:rsidP="005077CA">
      <w:pPr>
        <w:pStyle w:val="FootnoteText"/>
      </w:pPr>
      <w:r>
        <w:rPr>
          <w:rStyle w:val="FootnoteReference"/>
        </w:rPr>
        <w:footnoteRef/>
      </w:r>
      <w:r>
        <w:t xml:space="preserve"> Section 8AC of the BSA.</w:t>
      </w:r>
    </w:p>
  </w:footnote>
  <w:footnote w:id="9">
    <w:p w14:paraId="7F4ADB10" w14:textId="38CF054F" w:rsidR="0087153B" w:rsidRDefault="0087153B" w:rsidP="005077CA">
      <w:pPr>
        <w:pStyle w:val="FootnoteText"/>
      </w:pPr>
      <w:r>
        <w:rPr>
          <w:rStyle w:val="FootnoteReference"/>
        </w:rPr>
        <w:footnoteRef/>
      </w:r>
      <w:r>
        <w:t xml:space="preserve"> </w:t>
      </w:r>
      <w:r>
        <w:rPr>
          <w:rFonts w:cs="Calibri"/>
        </w:rPr>
        <w:t>Australian Broadcasting Corporation</w:t>
      </w:r>
      <w:r w:rsidRPr="00C46B5A">
        <w:rPr>
          <w:rFonts w:cs="Calibri"/>
        </w:rPr>
        <w:t xml:space="preserve"> (2014, February)</w:t>
      </w:r>
      <w:r>
        <w:rPr>
          <w:rFonts w:cs="Calibri"/>
        </w:rPr>
        <w:t>,</w:t>
      </w:r>
      <w:r w:rsidRPr="00C46B5A">
        <w:rPr>
          <w:rFonts w:cs="Calibri"/>
        </w:rPr>
        <w:t xml:space="preserve"> </w:t>
      </w:r>
      <w:r w:rsidRPr="00C46B5A">
        <w:rPr>
          <w:rFonts w:cs="Calibri"/>
          <w:i/>
        </w:rPr>
        <w:t>ABC submission to digital radio review</w:t>
      </w:r>
      <w:r w:rsidRPr="00C46B5A">
        <w:rPr>
          <w:rFonts w:cs="Calibri"/>
        </w:rPr>
        <w:t xml:space="preserve">, p. 9. </w:t>
      </w:r>
      <w:r w:rsidRPr="00C46B5A">
        <w:rPr>
          <w:rFonts w:cs="Calibri"/>
          <w:i/>
        </w:rPr>
        <w:t>SBS submission to digital radio review</w:t>
      </w:r>
      <w:r>
        <w:rPr>
          <w:rFonts w:cs="Calibri"/>
        </w:rPr>
        <w:t>, p.2</w:t>
      </w:r>
      <w:r w:rsidRPr="00C46B5A">
        <w:rPr>
          <w:rFonts w:cs="Calibri"/>
        </w:rPr>
        <w:t xml:space="preserve"> </w:t>
      </w:r>
      <w:hyperlink r:id="rId4" w:history="1">
        <w:r>
          <w:rPr>
            <w:rStyle w:val="Hyperlink"/>
            <w:rFonts w:cs="Calibri"/>
          </w:rPr>
          <w:t>Digital Radio Review Submissions</w:t>
        </w:r>
      </w:hyperlink>
      <w:r>
        <w:rPr>
          <w:rStyle w:val="Hyperlink"/>
          <w:rFonts w:cs="Calibri"/>
        </w:rPr>
        <w:t xml:space="preserve">. </w:t>
      </w:r>
    </w:p>
  </w:footnote>
  <w:footnote w:id="10">
    <w:p w14:paraId="75C2E38E" w14:textId="6FE06E6C" w:rsidR="0087153B" w:rsidRPr="00C46B5A" w:rsidRDefault="0087153B" w:rsidP="005077CA">
      <w:pPr>
        <w:pStyle w:val="FootnoteText"/>
        <w:rPr>
          <w:rFonts w:cs="Calibri"/>
          <w:b/>
        </w:rPr>
      </w:pPr>
      <w:r>
        <w:rPr>
          <w:rStyle w:val="FootnoteReference"/>
        </w:rPr>
        <w:footnoteRef/>
      </w:r>
      <w:r>
        <w:t xml:space="preserve"> </w:t>
      </w:r>
      <w:r>
        <w:rPr>
          <w:rFonts w:cs="Calibri"/>
        </w:rPr>
        <w:t xml:space="preserve">Special Broadcasting Service </w:t>
      </w:r>
      <w:r w:rsidRPr="00C46B5A">
        <w:rPr>
          <w:rFonts w:cs="Calibri"/>
        </w:rPr>
        <w:t>(2014, February)</w:t>
      </w:r>
      <w:r>
        <w:rPr>
          <w:rFonts w:cs="Calibri"/>
        </w:rPr>
        <w:t>,</w:t>
      </w:r>
      <w:r w:rsidRPr="00C46B5A">
        <w:rPr>
          <w:rFonts w:cs="Calibri"/>
        </w:rPr>
        <w:t xml:space="preserve"> </w:t>
      </w:r>
      <w:r w:rsidRPr="00C46B5A">
        <w:rPr>
          <w:rFonts w:cs="Calibri"/>
          <w:i/>
        </w:rPr>
        <w:t>SBS submission to digital radio review</w:t>
      </w:r>
      <w:r w:rsidRPr="00C46B5A">
        <w:rPr>
          <w:rFonts w:cs="Calibri"/>
        </w:rPr>
        <w:t xml:space="preserve">, p.2 </w:t>
      </w:r>
      <w:hyperlink r:id="rId5" w:history="1">
        <w:r>
          <w:rPr>
            <w:rStyle w:val="Hyperlink"/>
            <w:rFonts w:cs="Calibri"/>
          </w:rPr>
          <w:t>Digital Radio Review Submissions</w:t>
        </w:r>
      </w:hyperlink>
      <w:r>
        <w:rPr>
          <w:rStyle w:val="Hyperlink"/>
          <w:rFonts w:cs="Calibri"/>
        </w:rPr>
        <w:t>.</w:t>
      </w:r>
    </w:p>
  </w:footnote>
  <w:footnote w:id="11">
    <w:p w14:paraId="50A0AA68" w14:textId="1E43ABC9" w:rsidR="0087153B" w:rsidRDefault="0087153B">
      <w:pPr>
        <w:pStyle w:val="FootnoteText"/>
      </w:pPr>
      <w:r>
        <w:rPr>
          <w:rStyle w:val="FootnoteReference"/>
        </w:rPr>
        <w:footnoteRef/>
      </w:r>
      <w:r>
        <w:t xml:space="preserve"> Commercial Radio Australia (2015, 23 January), </w:t>
      </w:r>
      <w:r w:rsidRPr="00FC7ABE">
        <w:rPr>
          <w:i/>
        </w:rPr>
        <w:t>Figures show a strong year in commercial radio,</w:t>
      </w:r>
      <w:r>
        <w:t xml:space="preserve"> </w:t>
      </w:r>
      <w:hyperlink r:id="rId6" w:history="1">
        <w:r w:rsidRPr="00834B22">
          <w:rPr>
            <w:rStyle w:val="Hyperlink"/>
          </w:rPr>
          <w:t>CRA Media Release Jan</w:t>
        </w:r>
        <w:r>
          <w:rPr>
            <w:rStyle w:val="Hyperlink"/>
          </w:rPr>
          <w:t>uary</w:t>
        </w:r>
        <w:r w:rsidRPr="00834B22">
          <w:rPr>
            <w:rStyle w:val="Hyperlink"/>
          </w:rPr>
          <w:t xml:space="preserve"> 2015</w:t>
        </w:r>
      </w:hyperlink>
      <w:r>
        <w:rPr>
          <w:rStyle w:val="Hyperlink"/>
        </w:rPr>
        <w:t>.</w:t>
      </w:r>
    </w:p>
  </w:footnote>
  <w:footnote w:id="12">
    <w:p w14:paraId="3EB6404E" w14:textId="79D3B274" w:rsidR="0087153B" w:rsidRDefault="0087153B">
      <w:pPr>
        <w:pStyle w:val="FootnoteText"/>
      </w:pPr>
      <w:r>
        <w:rPr>
          <w:rStyle w:val="FootnoteReference"/>
        </w:rPr>
        <w:footnoteRef/>
      </w:r>
      <w:r>
        <w:t xml:space="preserve"> Australian Broadcasting Corporation (2014, 6 October),</w:t>
      </w:r>
      <w:r w:rsidRPr="001A3560">
        <w:t xml:space="preserve"> </w:t>
      </w:r>
      <w:r w:rsidRPr="00856180">
        <w:rPr>
          <w:i/>
        </w:rPr>
        <w:t>ABC Annual Report 2014</w:t>
      </w:r>
      <w:r>
        <w:t>, p.48.</w:t>
      </w:r>
    </w:p>
  </w:footnote>
  <w:footnote w:id="13">
    <w:p w14:paraId="70CDD915" w14:textId="2521EF66" w:rsidR="0087153B" w:rsidRDefault="0087153B" w:rsidP="005077CA">
      <w:pPr>
        <w:pStyle w:val="FootnoteText"/>
      </w:pPr>
      <w:r>
        <w:rPr>
          <w:rStyle w:val="FootnoteReference"/>
        </w:rPr>
        <w:footnoteRef/>
      </w:r>
      <w:r>
        <w:t xml:space="preserve"> Australian Communications and Media Authority (2014, November),</w:t>
      </w:r>
      <w:r w:rsidRPr="007055C6">
        <w:rPr>
          <w:i/>
        </w:rPr>
        <w:t xml:space="preserve"> 2013-14 Annual Report</w:t>
      </w:r>
      <w:r>
        <w:t>, p50. The AM and FM subtotals may not add up to the total licences allocated as some licences have multiple frequencies.</w:t>
      </w:r>
    </w:p>
  </w:footnote>
  <w:footnote w:id="14">
    <w:p w14:paraId="240DF849" w14:textId="37D66567" w:rsidR="0087153B" w:rsidRDefault="0087153B">
      <w:pPr>
        <w:pStyle w:val="FootnoteText"/>
      </w:pPr>
      <w:r>
        <w:rPr>
          <w:rStyle w:val="FootnoteReference"/>
        </w:rPr>
        <w:footnoteRef/>
      </w:r>
      <w:r>
        <w:t xml:space="preserve"> Australian Financial Review (2015, 1 June), </w:t>
      </w:r>
      <w:r w:rsidRPr="009D4AF8">
        <w:rPr>
          <w:i/>
        </w:rPr>
        <w:t>Spotify adding 60,000 Australians per week</w:t>
      </w:r>
      <w:r>
        <w:t>.</w:t>
      </w:r>
    </w:p>
  </w:footnote>
  <w:footnote w:id="15">
    <w:p w14:paraId="46FAD386" w14:textId="280EB0E7" w:rsidR="0087153B" w:rsidRDefault="0087153B">
      <w:pPr>
        <w:pStyle w:val="FootnoteText"/>
      </w:pPr>
      <w:r>
        <w:rPr>
          <w:rStyle w:val="FootnoteReference"/>
        </w:rPr>
        <w:footnoteRef/>
      </w:r>
      <w:r>
        <w:t xml:space="preserve"> Apple (2015, 8 June), </w:t>
      </w:r>
      <w:r>
        <w:rPr>
          <w:i/>
        </w:rPr>
        <w:t xml:space="preserve">Introducing Apple Music – All The Ways You Love Music. All in One Place. </w:t>
      </w:r>
      <w:hyperlink r:id="rId7" w:history="1">
        <w:r>
          <w:rPr>
            <w:rStyle w:val="Hyperlink"/>
            <w:i/>
          </w:rPr>
          <w:t>Apple Press</w:t>
        </w:r>
        <w:r w:rsidRPr="004E48A5">
          <w:rPr>
            <w:rStyle w:val="Hyperlink"/>
            <w:i/>
          </w:rPr>
          <w:t xml:space="preserve"> Release</w:t>
        </w:r>
      </w:hyperlink>
      <w:r>
        <w:rPr>
          <w:i/>
        </w:rPr>
        <w:t xml:space="preserve">. </w:t>
      </w:r>
    </w:p>
  </w:footnote>
  <w:footnote w:id="16">
    <w:p w14:paraId="1F918EB4" w14:textId="329528C1" w:rsidR="0087153B" w:rsidRPr="00D1205E" w:rsidRDefault="0087153B" w:rsidP="005077CA">
      <w:pPr>
        <w:pStyle w:val="FootnoteText"/>
        <w:rPr>
          <w:rFonts w:ascii="Times New Roman" w:hAnsi="Times New Roman" w:cs="Times New Roman"/>
          <w:sz w:val="22"/>
          <w:szCs w:val="22"/>
        </w:rPr>
      </w:pPr>
      <w:r w:rsidRPr="00C46B5A">
        <w:rPr>
          <w:rStyle w:val="FootnoteReference"/>
          <w:rFonts w:cs="Calibri"/>
        </w:rPr>
        <w:footnoteRef/>
      </w:r>
      <w:r w:rsidRPr="00C46B5A">
        <w:rPr>
          <w:rFonts w:cs="Calibri"/>
        </w:rPr>
        <w:t xml:space="preserve"> </w:t>
      </w:r>
      <w:r>
        <w:rPr>
          <w:rFonts w:cs="Calibri"/>
        </w:rPr>
        <w:t>Australian Broadcasting Corporation</w:t>
      </w:r>
      <w:r w:rsidRPr="00C46B5A">
        <w:rPr>
          <w:rFonts w:cs="Calibri"/>
        </w:rPr>
        <w:t xml:space="preserve"> (2014, February)</w:t>
      </w:r>
      <w:r>
        <w:rPr>
          <w:rFonts w:cs="Calibri"/>
        </w:rPr>
        <w:t>,</w:t>
      </w:r>
      <w:r w:rsidRPr="00C46B5A">
        <w:rPr>
          <w:rFonts w:cs="Calibri"/>
        </w:rPr>
        <w:t xml:space="preserve"> </w:t>
      </w:r>
      <w:r w:rsidRPr="00C46B5A">
        <w:rPr>
          <w:rFonts w:cs="Calibri"/>
          <w:i/>
        </w:rPr>
        <w:t>ABC submission to digital radio review</w:t>
      </w:r>
      <w:r w:rsidRPr="00C46B5A">
        <w:rPr>
          <w:rFonts w:cs="Calibri"/>
        </w:rPr>
        <w:t xml:space="preserve">, p.5 </w:t>
      </w:r>
      <w:hyperlink r:id="rId8" w:history="1">
        <w:r>
          <w:rPr>
            <w:rStyle w:val="Hyperlink"/>
            <w:rFonts w:cs="Calibri"/>
          </w:rPr>
          <w:t>Digital Radio Review Submissions</w:t>
        </w:r>
      </w:hyperlink>
      <w:r>
        <w:rPr>
          <w:rStyle w:val="Hyperlink"/>
          <w:rFonts w:cs="Calibri"/>
        </w:rPr>
        <w:t>.</w:t>
      </w:r>
    </w:p>
  </w:footnote>
  <w:footnote w:id="17">
    <w:p w14:paraId="2E1C4CC2" w14:textId="3DFEBE8C" w:rsidR="0087153B" w:rsidRPr="00C46B5A" w:rsidRDefault="0087153B" w:rsidP="005077CA">
      <w:pPr>
        <w:pStyle w:val="FootnoteText"/>
        <w:rPr>
          <w:rFonts w:cs="Calibri"/>
        </w:rPr>
      </w:pPr>
      <w:r>
        <w:rPr>
          <w:rStyle w:val="FootnoteReference"/>
        </w:rPr>
        <w:footnoteRef/>
      </w:r>
      <w:r>
        <w:t xml:space="preserve"> </w:t>
      </w:r>
      <w:r>
        <w:rPr>
          <w:rFonts w:cs="Calibri"/>
        </w:rPr>
        <w:t>Broadcast Australia</w:t>
      </w:r>
      <w:r w:rsidRPr="00C46B5A">
        <w:rPr>
          <w:rFonts w:cs="Calibri"/>
        </w:rPr>
        <w:t xml:space="preserve"> (2014, February)</w:t>
      </w:r>
      <w:r>
        <w:rPr>
          <w:rFonts w:cs="Calibri"/>
        </w:rPr>
        <w:t>,</w:t>
      </w:r>
      <w:r w:rsidRPr="00C46B5A">
        <w:rPr>
          <w:rFonts w:cs="Calibri"/>
        </w:rPr>
        <w:t xml:space="preserve"> </w:t>
      </w:r>
      <w:r w:rsidRPr="00C46B5A">
        <w:rPr>
          <w:rFonts w:cs="Calibri"/>
          <w:i/>
        </w:rPr>
        <w:t>Broadcast Australia submission to digital radio review</w:t>
      </w:r>
      <w:r w:rsidRPr="00C46B5A">
        <w:rPr>
          <w:rFonts w:cs="Calibri"/>
        </w:rPr>
        <w:t xml:space="preserve">, p.5 </w:t>
      </w:r>
      <w:hyperlink r:id="rId9" w:history="1">
        <w:r>
          <w:rPr>
            <w:rStyle w:val="Hyperlink"/>
            <w:rFonts w:cs="Calibri"/>
          </w:rPr>
          <w:t>Digital Radio Review Submissions</w:t>
        </w:r>
      </w:hyperlink>
      <w:r>
        <w:rPr>
          <w:rStyle w:val="Hyperlink"/>
          <w:rFonts w:cs="Calibri"/>
        </w:rPr>
        <w:t>.</w:t>
      </w:r>
    </w:p>
  </w:footnote>
  <w:footnote w:id="18">
    <w:p w14:paraId="0EB97F41" w14:textId="2A4916B4"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w:t>
      </w:r>
      <w:r>
        <w:rPr>
          <w:rFonts w:cs="Calibri"/>
        </w:rPr>
        <w:t>Australian Narrowcast Radio Australia</w:t>
      </w:r>
      <w:r w:rsidRPr="00C46B5A">
        <w:rPr>
          <w:rFonts w:cs="Calibri"/>
        </w:rPr>
        <w:t xml:space="preserve"> (2014, February), </w:t>
      </w:r>
      <w:r w:rsidRPr="00C46B5A">
        <w:rPr>
          <w:rFonts w:cs="Calibri"/>
          <w:i/>
        </w:rPr>
        <w:t>Australian Narrowcast Radio Association submission to digital radio review</w:t>
      </w:r>
      <w:r w:rsidRPr="00C46B5A">
        <w:rPr>
          <w:rFonts w:cs="Calibri"/>
        </w:rPr>
        <w:t xml:space="preserve">, p.3 </w:t>
      </w:r>
      <w:hyperlink r:id="rId10" w:history="1">
        <w:r>
          <w:rPr>
            <w:rStyle w:val="Hyperlink"/>
            <w:rFonts w:cs="Calibri"/>
          </w:rPr>
          <w:t xml:space="preserve">Digital Radio Review Submissions. </w:t>
        </w:r>
      </w:hyperlink>
    </w:p>
  </w:footnote>
  <w:footnote w:id="19">
    <w:p w14:paraId="7D538CBE" w14:textId="6304581B"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w:t>
      </w:r>
      <w:r>
        <w:rPr>
          <w:rFonts w:cs="Calibri"/>
        </w:rPr>
        <w:t>Rebel Media</w:t>
      </w:r>
      <w:r w:rsidRPr="00C46B5A">
        <w:rPr>
          <w:rFonts w:cs="Calibri"/>
        </w:rPr>
        <w:t xml:space="preserve"> (2014, February), </w:t>
      </w:r>
      <w:r w:rsidRPr="00C46B5A">
        <w:rPr>
          <w:rFonts w:cs="Calibri"/>
          <w:i/>
        </w:rPr>
        <w:t>Rebel Media submission to digital radio review</w:t>
      </w:r>
      <w:r w:rsidRPr="00C46B5A">
        <w:rPr>
          <w:rFonts w:cs="Calibri"/>
        </w:rPr>
        <w:t xml:space="preserve">, p. 2 </w:t>
      </w:r>
      <w:hyperlink r:id="rId11" w:history="1">
        <w:r>
          <w:rPr>
            <w:rStyle w:val="Hyperlink"/>
            <w:rFonts w:cs="Calibri"/>
          </w:rPr>
          <w:t>Digital Radio Review Submissions</w:t>
        </w:r>
      </w:hyperlink>
      <w:r>
        <w:rPr>
          <w:rStyle w:val="Hyperlink"/>
          <w:rFonts w:cs="Calibri"/>
        </w:rPr>
        <w:t>.</w:t>
      </w:r>
    </w:p>
  </w:footnote>
  <w:footnote w:id="20">
    <w:p w14:paraId="094B54B4" w14:textId="501D183B"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w:t>
      </w:r>
      <w:r>
        <w:rPr>
          <w:rFonts w:cs="Calibri"/>
        </w:rPr>
        <w:t>Special Broadcasting Service</w:t>
      </w:r>
      <w:r w:rsidRPr="00C46B5A">
        <w:rPr>
          <w:rFonts w:cs="Calibri"/>
        </w:rPr>
        <w:t xml:space="preserve"> (2014, February)</w:t>
      </w:r>
      <w:r>
        <w:rPr>
          <w:rFonts w:cs="Calibri"/>
        </w:rPr>
        <w:t>,</w:t>
      </w:r>
      <w:r w:rsidRPr="00C46B5A">
        <w:rPr>
          <w:rFonts w:cs="Calibri"/>
        </w:rPr>
        <w:t xml:space="preserve"> </w:t>
      </w:r>
      <w:r w:rsidRPr="00C46B5A">
        <w:rPr>
          <w:rFonts w:cs="Calibri"/>
          <w:i/>
        </w:rPr>
        <w:t>SBS submission to digital radio review</w:t>
      </w:r>
      <w:r w:rsidRPr="00C46B5A">
        <w:rPr>
          <w:rFonts w:cs="Calibri"/>
        </w:rPr>
        <w:t xml:space="preserve">, p. 9 </w:t>
      </w:r>
      <w:hyperlink r:id="rId12" w:history="1">
        <w:r>
          <w:rPr>
            <w:rStyle w:val="Hyperlink"/>
            <w:rFonts w:cs="Calibri"/>
          </w:rPr>
          <w:t>Digital Radio Review Submissions</w:t>
        </w:r>
      </w:hyperlink>
      <w:r>
        <w:rPr>
          <w:rStyle w:val="Hyperlink"/>
          <w:rFonts w:cs="Calibri"/>
        </w:rPr>
        <w:t>.</w:t>
      </w:r>
    </w:p>
  </w:footnote>
  <w:footnote w:id="21">
    <w:p w14:paraId="29FD44A6" w14:textId="3CC18499" w:rsidR="0087153B" w:rsidRPr="00D1205E" w:rsidRDefault="0087153B" w:rsidP="005077CA">
      <w:pPr>
        <w:pStyle w:val="FootnoteText"/>
        <w:rPr>
          <w:rFonts w:asciiTheme="minorHAnsi" w:hAnsiTheme="minorHAnsi" w:cstheme="minorHAnsi"/>
          <w:sz w:val="22"/>
          <w:szCs w:val="22"/>
        </w:rPr>
      </w:pPr>
      <w:r w:rsidRPr="00C46B5A">
        <w:rPr>
          <w:rStyle w:val="FootnoteReference"/>
          <w:rFonts w:cs="Calibri"/>
        </w:rPr>
        <w:footnoteRef/>
      </w:r>
      <w:r w:rsidRPr="00C46B5A">
        <w:rPr>
          <w:rFonts w:cs="Calibri"/>
        </w:rPr>
        <w:t xml:space="preserve"> </w:t>
      </w:r>
      <w:r>
        <w:rPr>
          <w:rFonts w:cs="Calibri"/>
        </w:rPr>
        <w:t>Commercial Radio Australia</w:t>
      </w:r>
      <w:r w:rsidRPr="00C46B5A">
        <w:rPr>
          <w:rFonts w:cs="Calibri"/>
        </w:rPr>
        <w:t xml:space="preserve"> (2014, February), </w:t>
      </w:r>
      <w:r w:rsidRPr="00C46B5A">
        <w:rPr>
          <w:rFonts w:cs="Calibri"/>
          <w:i/>
        </w:rPr>
        <w:t>Commercial Radio Australia submission to digital radio review</w:t>
      </w:r>
      <w:r w:rsidRPr="00C46B5A">
        <w:rPr>
          <w:rFonts w:cs="Calibri"/>
        </w:rPr>
        <w:t xml:space="preserve">, p. 29 </w:t>
      </w:r>
      <w:hyperlink r:id="rId13" w:history="1">
        <w:r>
          <w:rPr>
            <w:rStyle w:val="Hyperlink"/>
            <w:rFonts w:cs="Calibri"/>
          </w:rPr>
          <w:t>Digital Radio Review Submissions</w:t>
        </w:r>
      </w:hyperlink>
      <w:r>
        <w:rPr>
          <w:rStyle w:val="Hyperlink"/>
          <w:rFonts w:cs="Calibri"/>
        </w:rPr>
        <w:t>.</w:t>
      </w:r>
    </w:p>
  </w:footnote>
  <w:footnote w:id="22">
    <w:p w14:paraId="743F642D" w14:textId="58BC183B" w:rsidR="0087153B" w:rsidRPr="00C46B5A" w:rsidRDefault="0087153B" w:rsidP="005077CA">
      <w:pPr>
        <w:pStyle w:val="FootnoteText"/>
        <w:rPr>
          <w:rFonts w:cs="Calibri"/>
        </w:rPr>
      </w:pPr>
      <w:r>
        <w:rPr>
          <w:rStyle w:val="FootnoteReference"/>
        </w:rPr>
        <w:footnoteRef/>
      </w:r>
      <w:r>
        <w:t xml:space="preserve"> </w:t>
      </w:r>
      <w:r>
        <w:rPr>
          <w:rFonts w:cs="Calibri"/>
        </w:rPr>
        <w:t>Broadcast Australia</w:t>
      </w:r>
      <w:r w:rsidRPr="00C46B5A">
        <w:rPr>
          <w:rFonts w:cs="Calibri"/>
        </w:rPr>
        <w:t xml:space="preserve"> (2014, February)</w:t>
      </w:r>
      <w:r>
        <w:rPr>
          <w:rFonts w:cs="Calibri"/>
        </w:rPr>
        <w:t>,</w:t>
      </w:r>
      <w:r w:rsidRPr="00C46B5A">
        <w:rPr>
          <w:rFonts w:cs="Calibri"/>
        </w:rPr>
        <w:t xml:space="preserve"> </w:t>
      </w:r>
      <w:r w:rsidRPr="00C46B5A">
        <w:rPr>
          <w:rFonts w:cs="Calibri"/>
          <w:i/>
        </w:rPr>
        <w:t>Broadcast Australia submission to digital radio review</w:t>
      </w:r>
      <w:r w:rsidRPr="00C46B5A">
        <w:rPr>
          <w:rFonts w:cs="Calibri"/>
        </w:rPr>
        <w:t xml:space="preserve">, p. 7 </w:t>
      </w:r>
      <w:hyperlink r:id="rId14" w:history="1">
        <w:r>
          <w:rPr>
            <w:rStyle w:val="Hyperlink"/>
            <w:rFonts w:cs="Calibri"/>
          </w:rPr>
          <w:t>Digital Radio Review Submissions</w:t>
        </w:r>
      </w:hyperlink>
      <w:r>
        <w:rPr>
          <w:rStyle w:val="Hyperlink"/>
          <w:rFonts w:cs="Calibri"/>
        </w:rPr>
        <w:t>.</w:t>
      </w:r>
    </w:p>
  </w:footnote>
  <w:footnote w:id="23">
    <w:p w14:paraId="3EF30450" w14:textId="1FE12359"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w:t>
      </w:r>
      <w:r>
        <w:rPr>
          <w:rFonts w:cs="Calibri"/>
        </w:rPr>
        <w:t xml:space="preserve">Australian Narrowcast Radio Association </w:t>
      </w:r>
      <w:r w:rsidRPr="00C46B5A">
        <w:rPr>
          <w:rFonts w:cs="Calibri"/>
        </w:rPr>
        <w:t xml:space="preserve">(2014, February), </w:t>
      </w:r>
      <w:r w:rsidRPr="00C46B5A">
        <w:rPr>
          <w:rFonts w:cs="Calibri"/>
          <w:i/>
        </w:rPr>
        <w:t>Australian Narrowcast Radio Association submission to digital radio review</w:t>
      </w:r>
      <w:r w:rsidRPr="00C46B5A">
        <w:rPr>
          <w:rFonts w:cs="Calibri"/>
        </w:rPr>
        <w:t xml:space="preserve">, p.4, </w:t>
      </w:r>
      <w:hyperlink r:id="rId15" w:history="1">
        <w:r>
          <w:rPr>
            <w:rStyle w:val="Hyperlink"/>
            <w:rFonts w:cs="Calibri"/>
          </w:rPr>
          <w:t>Digital Radio Review Submissions</w:t>
        </w:r>
      </w:hyperlink>
      <w:r>
        <w:rPr>
          <w:rStyle w:val="Hyperlink"/>
          <w:rFonts w:cs="Calibri"/>
        </w:rPr>
        <w:t>.</w:t>
      </w:r>
    </w:p>
  </w:footnote>
  <w:footnote w:id="24">
    <w:p w14:paraId="0BF9558B" w14:textId="71646E7F" w:rsidR="0087153B" w:rsidRDefault="0087153B" w:rsidP="005077CA">
      <w:pPr>
        <w:pStyle w:val="FootnoteText"/>
      </w:pPr>
      <w:r>
        <w:rPr>
          <w:rStyle w:val="FootnoteReference"/>
        </w:rPr>
        <w:footnoteRef/>
      </w:r>
      <w:r>
        <w:t xml:space="preserve"> Buddecomm (2014), </w:t>
      </w:r>
      <w:r w:rsidRPr="00C220E9">
        <w:rPr>
          <w:i/>
        </w:rPr>
        <w:t>Australia Broadcasting – Pay TV, IPTV, Mobile TV</w:t>
      </w:r>
      <w:r>
        <w:t xml:space="preserve"> (15</w:t>
      </w:r>
      <w:r w:rsidRPr="00C220E9">
        <w:rPr>
          <w:vertAlign w:val="superscript"/>
        </w:rPr>
        <w:t>th</w:t>
      </w:r>
      <w:r>
        <w:t xml:space="preserve"> edition) p.134.</w:t>
      </w:r>
    </w:p>
  </w:footnote>
  <w:footnote w:id="25">
    <w:p w14:paraId="77537F39" w14:textId="24E73B75" w:rsidR="0087153B" w:rsidRPr="00C46B5A" w:rsidRDefault="0087153B" w:rsidP="005077CA">
      <w:pPr>
        <w:pStyle w:val="Default"/>
        <w:spacing w:before="240"/>
        <w:rPr>
          <w:rFonts w:ascii="Calibri" w:hAnsi="Calibri" w:cs="Calibri"/>
          <w:sz w:val="20"/>
          <w:szCs w:val="20"/>
        </w:rPr>
      </w:pPr>
      <w:r w:rsidRPr="00C46B5A">
        <w:rPr>
          <w:rStyle w:val="FootnoteReference"/>
          <w:rFonts w:ascii="Calibri" w:hAnsi="Calibri" w:cs="Calibri"/>
          <w:sz w:val="20"/>
          <w:szCs w:val="20"/>
        </w:rPr>
        <w:footnoteRef/>
      </w:r>
      <w:r w:rsidRPr="00C46B5A">
        <w:rPr>
          <w:rFonts w:ascii="Calibri" w:hAnsi="Calibri" w:cs="Calibri"/>
          <w:sz w:val="20"/>
          <w:szCs w:val="20"/>
        </w:rPr>
        <w:t xml:space="preserve"> Department of Communications (2011), </w:t>
      </w:r>
      <w:r w:rsidRPr="00C46B5A">
        <w:rPr>
          <w:rFonts w:ascii="Calibri" w:hAnsi="Calibri" w:cs="Calibri"/>
          <w:bCs/>
          <w:i/>
          <w:sz w:val="20"/>
          <w:szCs w:val="20"/>
        </w:rPr>
        <w:t xml:space="preserve">Review of technologies for digital radio in regional Australia, </w:t>
      </w:r>
      <w:r w:rsidRPr="00C46B5A">
        <w:rPr>
          <w:rFonts w:ascii="Calibri" w:hAnsi="Calibri" w:cs="Calibri"/>
          <w:bCs/>
          <w:sz w:val="20"/>
          <w:szCs w:val="20"/>
        </w:rPr>
        <w:t>p. 21,</w:t>
      </w:r>
      <w:r w:rsidRPr="00C46B5A">
        <w:rPr>
          <w:rFonts w:ascii="Calibri" w:hAnsi="Calibri" w:cs="Calibri"/>
          <w:i/>
          <w:sz w:val="20"/>
          <w:szCs w:val="20"/>
        </w:rPr>
        <w:t xml:space="preserve"> </w:t>
      </w:r>
      <w:hyperlink r:id="rId16" w:history="1">
        <w:r>
          <w:rPr>
            <w:rStyle w:val="Hyperlink"/>
            <w:rFonts w:ascii="Calibri" w:hAnsi="Calibri" w:cs="Calibri"/>
            <w:sz w:val="20"/>
            <w:szCs w:val="20"/>
          </w:rPr>
          <w:t>Communications Review of Digital Radio Technologies for Regional Australia</w:t>
        </w:r>
      </w:hyperlink>
      <w:r>
        <w:rPr>
          <w:rStyle w:val="Hyperlink"/>
          <w:rFonts w:ascii="Calibri" w:hAnsi="Calibri" w:cs="Calibri"/>
          <w:sz w:val="20"/>
          <w:szCs w:val="20"/>
        </w:rPr>
        <w:t>.</w:t>
      </w:r>
    </w:p>
  </w:footnote>
  <w:footnote w:id="26">
    <w:p w14:paraId="5944A3B8" w14:textId="11FF33F8" w:rsidR="0087153B" w:rsidRDefault="0087153B" w:rsidP="00A30D49">
      <w:pPr>
        <w:pStyle w:val="FootnoteText"/>
      </w:pPr>
      <w:r>
        <w:rPr>
          <w:rStyle w:val="FootnoteReference"/>
        </w:rPr>
        <w:footnoteRef/>
      </w:r>
      <w:r>
        <w:t xml:space="preserve"> Newcastle Herald (2015, 11 May), </w:t>
      </w:r>
      <w:r w:rsidRPr="00E32812">
        <w:rPr>
          <w:i/>
        </w:rPr>
        <w:t>Spotify triples its losses to $231 m</w:t>
      </w:r>
      <w:r>
        <w:t xml:space="preserve">, p.18; The Guardian (2015, 11 May), </w:t>
      </w:r>
      <w:r w:rsidRPr="00E32812">
        <w:rPr>
          <w:i/>
        </w:rPr>
        <w:t xml:space="preserve">Spotify financial </w:t>
      </w:r>
      <w:r w:rsidRPr="00851788">
        <w:rPr>
          <w:i/>
        </w:rPr>
        <w:t>results</w:t>
      </w:r>
      <w:r w:rsidRPr="00E32812">
        <w:rPr>
          <w:i/>
        </w:rPr>
        <w:t xml:space="preserve"> show struggle to make streaming music profitable</w:t>
      </w:r>
      <w:r>
        <w:t xml:space="preserve">, </w:t>
      </w:r>
      <w:hyperlink r:id="rId17" w:history="1">
        <w:r w:rsidRPr="006D45D0">
          <w:rPr>
            <w:rStyle w:val="Hyperlink"/>
          </w:rPr>
          <w:t>Guardian Spotify article</w:t>
        </w:r>
      </w:hyperlink>
      <w:r>
        <w:rPr>
          <w:rStyle w:val="Hyperlink"/>
        </w:rPr>
        <w:t>.</w:t>
      </w:r>
    </w:p>
  </w:footnote>
  <w:footnote w:id="27">
    <w:p w14:paraId="26EB2FC0" w14:textId="06796BEB" w:rsidR="0087153B" w:rsidRDefault="0087153B" w:rsidP="00501FC0">
      <w:pPr>
        <w:pStyle w:val="FootnoteText"/>
      </w:pPr>
      <w:r>
        <w:rPr>
          <w:rStyle w:val="FootnoteReference"/>
        </w:rPr>
        <w:footnoteRef/>
      </w:r>
      <w:r>
        <w:t xml:space="preserve"> Australian Broadcasting Corporation (2015, 14 April), </w:t>
      </w:r>
      <w:r w:rsidRPr="00856180">
        <w:rPr>
          <w:i/>
        </w:rPr>
        <w:t>ABC investment in regional radio streaming</w:t>
      </w:r>
      <w:r>
        <w:t xml:space="preserve">, </w:t>
      </w:r>
      <w:hyperlink r:id="rId18" w:history="1">
        <w:r w:rsidRPr="00650F95">
          <w:rPr>
            <w:rStyle w:val="Hyperlink"/>
          </w:rPr>
          <w:t xml:space="preserve">ABC Media Release 14 </w:t>
        </w:r>
        <w:r>
          <w:rPr>
            <w:rStyle w:val="Hyperlink"/>
          </w:rPr>
          <w:t>April</w:t>
        </w:r>
        <w:r w:rsidRPr="00650F95">
          <w:rPr>
            <w:rStyle w:val="Hyperlink"/>
          </w:rPr>
          <w:t xml:space="preserve"> 2015</w:t>
        </w:r>
      </w:hyperlink>
      <w:r>
        <w:rPr>
          <w:rStyle w:val="Hyperlink"/>
        </w:rPr>
        <w:t>.</w:t>
      </w:r>
    </w:p>
  </w:footnote>
  <w:footnote w:id="28">
    <w:p w14:paraId="3949A6FB" w14:textId="3E34BA78" w:rsidR="0087153B" w:rsidRPr="00CA091D" w:rsidRDefault="0087153B" w:rsidP="005077CA">
      <w:pPr>
        <w:pStyle w:val="FootnoteText"/>
        <w:rPr>
          <w:rFonts w:cs="Calibri"/>
        </w:rPr>
      </w:pPr>
      <w:r w:rsidRPr="00C46B5A">
        <w:rPr>
          <w:rStyle w:val="FootnoteReference"/>
          <w:rFonts w:cs="Calibri"/>
        </w:rPr>
        <w:footnoteRef/>
      </w:r>
      <w:r w:rsidRPr="00C46B5A">
        <w:rPr>
          <w:rFonts w:cs="Calibri"/>
        </w:rPr>
        <w:t xml:space="preserve"> Teracom (2</w:t>
      </w:r>
      <w:r>
        <w:rPr>
          <w:rFonts w:cs="Calibri"/>
        </w:rPr>
        <w:t>01</w:t>
      </w:r>
      <w:r w:rsidRPr="00C46B5A">
        <w:rPr>
          <w:rFonts w:cs="Calibri"/>
        </w:rPr>
        <w:t>3)</w:t>
      </w:r>
      <w:r>
        <w:rPr>
          <w:rFonts w:cs="Calibri"/>
        </w:rPr>
        <w:t>,</w:t>
      </w:r>
      <w:r w:rsidRPr="00C46B5A">
        <w:rPr>
          <w:rFonts w:cs="Calibri"/>
        </w:rPr>
        <w:t xml:space="preserve"> </w:t>
      </w:r>
      <w:r w:rsidRPr="00856180">
        <w:rPr>
          <w:rFonts w:cs="Calibri"/>
          <w:i/>
        </w:rPr>
        <w:t>Teracom White Paper: Can the cellular networks cope with linear radio broadcasting?</w:t>
      </w:r>
      <w:r>
        <w:rPr>
          <w:rFonts w:cs="Calibri"/>
        </w:rPr>
        <w:t xml:space="preserve"> </w:t>
      </w:r>
      <w:hyperlink r:id="rId19" w:history="1">
        <w:r>
          <w:rPr>
            <w:rStyle w:val="Hyperlink"/>
            <w:rFonts w:cs="Calibri"/>
          </w:rPr>
          <w:t xml:space="preserve">Teracom White Paper. </w:t>
        </w:r>
      </w:hyperlink>
    </w:p>
  </w:footnote>
  <w:footnote w:id="29">
    <w:p w14:paraId="5997BC8E" w14:textId="12762CB5" w:rsidR="0087153B" w:rsidRDefault="0087153B" w:rsidP="005077CA">
      <w:pPr>
        <w:pStyle w:val="FootnoteText"/>
      </w:pPr>
      <w:r w:rsidRPr="00C46B5A">
        <w:rPr>
          <w:rStyle w:val="FootnoteReference"/>
          <w:rFonts w:cs="Calibri"/>
        </w:rPr>
        <w:footnoteRef/>
      </w:r>
      <w:r w:rsidRPr="00C46B5A">
        <w:rPr>
          <w:rFonts w:cs="Calibri"/>
        </w:rPr>
        <w:t xml:space="preserve"> Friedl, G., Schäfer, P, &amp; Scheubel, C (2014)</w:t>
      </w:r>
      <w:r>
        <w:rPr>
          <w:rFonts w:cs="Calibri"/>
        </w:rPr>
        <w:t>,</w:t>
      </w:r>
      <w:r w:rsidRPr="00C46B5A">
        <w:rPr>
          <w:rFonts w:cs="Calibri"/>
        </w:rPr>
        <w:t xml:space="preserve"> </w:t>
      </w:r>
      <w:r w:rsidRPr="00064681">
        <w:rPr>
          <w:rFonts w:cs="Calibri"/>
          <w:i/>
        </w:rPr>
        <w:t>broadcast or broadband? On the future of terrestrial radio supply</w:t>
      </w:r>
      <w:r w:rsidRPr="00C46B5A">
        <w:rPr>
          <w:rFonts w:cs="Calibri"/>
        </w:rPr>
        <w:t>.</w:t>
      </w:r>
    </w:p>
  </w:footnote>
  <w:footnote w:id="30">
    <w:p w14:paraId="2D297778" w14:textId="4CAAF666" w:rsidR="0087153B" w:rsidRPr="00C46B5A" w:rsidRDefault="0087153B" w:rsidP="005077CA">
      <w:pPr>
        <w:pStyle w:val="FootnoteText"/>
        <w:rPr>
          <w:rFonts w:cs="Calibri"/>
        </w:rPr>
      </w:pPr>
      <w:r w:rsidRPr="00D1205E">
        <w:rPr>
          <w:rStyle w:val="FootnoteReference"/>
          <w:rFonts w:asciiTheme="minorHAnsi" w:hAnsiTheme="minorHAnsi" w:cstheme="minorHAnsi"/>
          <w:sz w:val="22"/>
          <w:szCs w:val="22"/>
        </w:rPr>
        <w:footnoteRef/>
      </w:r>
      <w:r w:rsidRPr="00D1205E">
        <w:rPr>
          <w:rFonts w:asciiTheme="minorHAnsi" w:hAnsiTheme="minorHAnsi" w:cstheme="minorHAnsi"/>
          <w:sz w:val="22"/>
          <w:szCs w:val="22"/>
        </w:rPr>
        <w:t xml:space="preserve"> </w:t>
      </w:r>
      <w:r w:rsidRPr="00C46B5A">
        <w:rPr>
          <w:rFonts w:cs="Calibri"/>
        </w:rPr>
        <w:t>Telstra (201</w:t>
      </w:r>
      <w:r>
        <w:rPr>
          <w:rFonts w:cs="Calibri"/>
        </w:rPr>
        <w:t>5</w:t>
      </w:r>
      <w:r w:rsidRPr="00C46B5A">
        <w:rPr>
          <w:rFonts w:cs="Calibri"/>
        </w:rPr>
        <w:t xml:space="preserve">), </w:t>
      </w:r>
      <w:r>
        <w:rPr>
          <w:rFonts w:cs="Calibri"/>
          <w:i/>
        </w:rPr>
        <w:t>Telstra Air</w:t>
      </w:r>
      <w:r w:rsidRPr="00C46B5A">
        <w:rPr>
          <w:rFonts w:cs="Calibri"/>
          <w:i/>
        </w:rPr>
        <w:t xml:space="preserve">, </w:t>
      </w:r>
      <w:hyperlink r:id="rId20" w:history="1">
        <w:r>
          <w:rPr>
            <w:rStyle w:val="Hyperlink"/>
            <w:rFonts w:cs="Calibri"/>
          </w:rPr>
          <w:t xml:space="preserve">Telstra Website. </w:t>
        </w:r>
      </w:hyperlink>
    </w:p>
  </w:footnote>
  <w:footnote w:id="31">
    <w:p w14:paraId="2AD8EEF1" w14:textId="504AA4F1" w:rsidR="0087153B" w:rsidRDefault="0087153B" w:rsidP="005077CA">
      <w:pPr>
        <w:pStyle w:val="FootnoteText"/>
      </w:pPr>
      <w:r>
        <w:rPr>
          <w:rStyle w:val="FootnoteReference"/>
        </w:rPr>
        <w:footnoteRef/>
      </w:r>
      <w:r>
        <w:t xml:space="preserve"> ACT Government Information Portal (2014), </w:t>
      </w:r>
      <w:r w:rsidRPr="00856180">
        <w:rPr>
          <w:i/>
        </w:rPr>
        <w:t>Canberra home to Australia’s largest free public Wi-Fi network</w:t>
      </w:r>
      <w:r>
        <w:t xml:space="preserve">, </w:t>
      </w:r>
      <w:hyperlink r:id="rId21" w:history="1">
        <w:r>
          <w:rPr>
            <w:rStyle w:val="Hyperlink"/>
          </w:rPr>
          <w:t>ACT Government Website – Our City Our Community, Spring 2014 Bia</w:t>
        </w:r>
      </w:hyperlink>
      <w:r>
        <w:rPr>
          <w:rStyle w:val="Hyperlink"/>
        </w:rPr>
        <w:t>nnual Edition.</w:t>
      </w:r>
    </w:p>
  </w:footnote>
  <w:footnote w:id="32">
    <w:p w14:paraId="5F535DCE" w14:textId="5079AC8A"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w:t>
      </w:r>
      <w:r>
        <w:rPr>
          <w:rFonts w:cs="Calibri"/>
        </w:rPr>
        <w:t>Broadcast Australia</w:t>
      </w:r>
      <w:r w:rsidRPr="00C46B5A">
        <w:rPr>
          <w:rFonts w:cs="Calibri"/>
        </w:rPr>
        <w:t xml:space="preserve"> (2014, February)</w:t>
      </w:r>
      <w:r>
        <w:rPr>
          <w:rFonts w:cs="Calibri"/>
        </w:rPr>
        <w:t>,</w:t>
      </w:r>
      <w:r w:rsidRPr="00C46B5A">
        <w:rPr>
          <w:rFonts w:cs="Calibri"/>
        </w:rPr>
        <w:t xml:space="preserve"> </w:t>
      </w:r>
      <w:r w:rsidRPr="00C46B5A">
        <w:rPr>
          <w:rFonts w:cs="Calibri"/>
          <w:i/>
        </w:rPr>
        <w:t>Broadcast Australia submission to digital radio review</w:t>
      </w:r>
      <w:r w:rsidRPr="00C46B5A">
        <w:rPr>
          <w:rFonts w:cs="Calibri"/>
        </w:rPr>
        <w:t xml:space="preserve">, p.5 </w:t>
      </w:r>
      <w:hyperlink r:id="rId22" w:history="1">
        <w:r>
          <w:rPr>
            <w:rStyle w:val="Hyperlink"/>
            <w:rFonts w:cs="Calibri"/>
          </w:rPr>
          <w:t>Digital Radio Review Submissions</w:t>
        </w:r>
      </w:hyperlink>
      <w:r>
        <w:rPr>
          <w:rStyle w:val="Hyperlink"/>
          <w:rFonts w:cs="Calibri"/>
        </w:rPr>
        <w:t>.</w:t>
      </w:r>
    </w:p>
  </w:footnote>
  <w:footnote w:id="33">
    <w:p w14:paraId="1C4281E7" w14:textId="45ECC8B1"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w:t>
      </w:r>
      <w:r>
        <w:rPr>
          <w:rFonts w:cs="Calibri"/>
        </w:rPr>
        <w:t>Special Broadcasting Service</w:t>
      </w:r>
      <w:r w:rsidRPr="00C46B5A">
        <w:rPr>
          <w:rFonts w:cs="Calibri"/>
        </w:rPr>
        <w:t xml:space="preserve"> (2014, February)</w:t>
      </w:r>
      <w:r>
        <w:rPr>
          <w:rFonts w:cs="Calibri"/>
        </w:rPr>
        <w:t>,</w:t>
      </w:r>
      <w:r w:rsidRPr="00C46B5A">
        <w:rPr>
          <w:rFonts w:cs="Calibri"/>
        </w:rPr>
        <w:t xml:space="preserve"> </w:t>
      </w:r>
      <w:r w:rsidRPr="00C46B5A">
        <w:rPr>
          <w:rFonts w:cs="Calibri"/>
          <w:i/>
        </w:rPr>
        <w:t>SBS submission to digital radio review</w:t>
      </w:r>
      <w:r w:rsidRPr="00C46B5A">
        <w:rPr>
          <w:rFonts w:cs="Calibri"/>
        </w:rPr>
        <w:t xml:space="preserve">, p.2 </w:t>
      </w:r>
      <w:hyperlink r:id="rId23" w:history="1">
        <w:r>
          <w:rPr>
            <w:rStyle w:val="Hyperlink"/>
            <w:rFonts w:cs="Calibri"/>
          </w:rPr>
          <w:t>Digital Radio Review Submissions</w:t>
        </w:r>
      </w:hyperlink>
      <w:r>
        <w:rPr>
          <w:rStyle w:val="Hyperlink"/>
          <w:rFonts w:cs="Calibri"/>
        </w:rPr>
        <w:t>.</w:t>
      </w:r>
    </w:p>
  </w:footnote>
  <w:footnote w:id="34">
    <w:p w14:paraId="3E7E3B22" w14:textId="372D8C03" w:rsidR="0087153B" w:rsidRDefault="0087153B" w:rsidP="005077CA">
      <w:pPr>
        <w:pStyle w:val="FootnoteText"/>
      </w:pPr>
      <w:r>
        <w:rPr>
          <w:rStyle w:val="FootnoteReference"/>
        </w:rPr>
        <w:footnoteRef/>
      </w:r>
      <w:r>
        <w:t xml:space="preserve"> Commercial Radio Australia (2014, February), </w:t>
      </w:r>
      <w:r w:rsidRPr="00651530">
        <w:rPr>
          <w:i/>
        </w:rPr>
        <w:t>Commercial Radio Australia submission to digital radio review</w:t>
      </w:r>
      <w:r>
        <w:t xml:space="preserve">, p.22 </w:t>
      </w:r>
      <w:hyperlink r:id="rId24" w:history="1">
        <w:r>
          <w:rPr>
            <w:rStyle w:val="Hyperlink"/>
            <w:rFonts w:cs="Calibri"/>
          </w:rPr>
          <w:t>Digital Radio Review Submissions</w:t>
        </w:r>
      </w:hyperlink>
      <w:r>
        <w:rPr>
          <w:rStyle w:val="Hyperlink"/>
          <w:rFonts w:cs="Calibri"/>
        </w:rPr>
        <w:t>.</w:t>
      </w:r>
    </w:p>
  </w:footnote>
  <w:footnote w:id="35">
    <w:p w14:paraId="0BAF5462" w14:textId="21201F72" w:rsidR="0087153B" w:rsidRDefault="0087153B" w:rsidP="005077CA">
      <w:pPr>
        <w:pStyle w:val="FootnoteText"/>
      </w:pPr>
      <w:r>
        <w:rPr>
          <w:rStyle w:val="FootnoteReference"/>
        </w:rPr>
        <w:footnoteRef/>
      </w:r>
      <w:r>
        <w:t xml:space="preserve"> Coutts, Prof Reg (2014, November), </w:t>
      </w:r>
      <w:r w:rsidRPr="007055C6">
        <w:rPr>
          <w:i/>
        </w:rPr>
        <w:t>Analysis of use of Mobile Telecommunications Networks to Deliver Broadcast Radio in Australia</w:t>
      </w:r>
      <w:r>
        <w:t xml:space="preserve">, p.2 </w:t>
      </w:r>
      <w:hyperlink r:id="rId25" w:history="1">
        <w:r>
          <w:rPr>
            <w:rStyle w:val="Hyperlink"/>
          </w:rPr>
          <w:t>Commercial Radio Australia's Website - Coutts Report</w:t>
        </w:r>
      </w:hyperlink>
      <w:r>
        <w:rPr>
          <w:rStyle w:val="Hyperlink"/>
        </w:rPr>
        <w:t xml:space="preserve">. </w:t>
      </w:r>
    </w:p>
  </w:footnote>
  <w:footnote w:id="36">
    <w:p w14:paraId="6044DC96" w14:textId="5C5B1D96" w:rsidR="0087153B" w:rsidRDefault="0087153B">
      <w:pPr>
        <w:pStyle w:val="FootnoteText"/>
      </w:pPr>
      <w:r>
        <w:rPr>
          <w:rStyle w:val="FootnoteReference"/>
        </w:rPr>
        <w:footnoteRef/>
      </w:r>
      <w:r>
        <w:t xml:space="preserve"> Commercial Radio Australia (2015, 13 March 2015), </w:t>
      </w:r>
      <w:r w:rsidRPr="00856180">
        <w:rPr>
          <w:i/>
        </w:rPr>
        <w:t>Digital Radio Quarterly Update</w:t>
      </w:r>
      <w:r>
        <w:t xml:space="preserve">, </w:t>
      </w:r>
      <w:hyperlink r:id="rId26" w:history="1">
        <w:r w:rsidRPr="0031351A">
          <w:rPr>
            <w:rStyle w:val="Hyperlink"/>
          </w:rPr>
          <w:t>Digital Radio Quarterly Update March 2015</w:t>
        </w:r>
      </w:hyperlink>
      <w:r>
        <w:rPr>
          <w:rStyle w:val="Hyperlink"/>
        </w:rPr>
        <w:t>.</w:t>
      </w:r>
    </w:p>
  </w:footnote>
  <w:footnote w:id="37">
    <w:p w14:paraId="4CCF4E0B" w14:textId="20BE7307" w:rsidR="0087153B" w:rsidRDefault="0087153B" w:rsidP="005077CA">
      <w:pPr>
        <w:pStyle w:val="FootnoteText"/>
      </w:pPr>
      <w:r>
        <w:rPr>
          <w:rStyle w:val="FootnoteReference"/>
        </w:rPr>
        <w:footnoteRef/>
      </w:r>
      <w:r>
        <w:t xml:space="preserve"> </w:t>
      </w:r>
      <w:r w:rsidRPr="00C46B5A">
        <w:rPr>
          <w:rFonts w:cs="Calibri"/>
        </w:rPr>
        <w:t>Commercial Radio Australia</w:t>
      </w:r>
      <w:r>
        <w:rPr>
          <w:rFonts w:cs="Calibri"/>
        </w:rPr>
        <w:t>,</w:t>
      </w:r>
      <w:r w:rsidRPr="00C46B5A">
        <w:rPr>
          <w:rFonts w:cs="Calibri"/>
        </w:rPr>
        <w:t xml:space="preserve"> </w:t>
      </w:r>
      <w:r w:rsidRPr="00C46B5A">
        <w:rPr>
          <w:rFonts w:cs="Calibri"/>
          <w:i/>
        </w:rPr>
        <w:t>2014 Digital Radio Report</w:t>
      </w:r>
      <w:r>
        <w:rPr>
          <w:rFonts w:cs="Calibri"/>
        </w:rPr>
        <w:t>,</w:t>
      </w:r>
      <w:r w:rsidRPr="00C46B5A">
        <w:rPr>
          <w:rFonts w:cs="Calibri"/>
        </w:rPr>
        <w:t xml:space="preserve"> p.17 </w:t>
      </w:r>
      <w:hyperlink r:id="rId27" w:history="1">
        <w:r>
          <w:rPr>
            <w:rStyle w:val="Hyperlink"/>
            <w:rFonts w:cs="Calibri"/>
          </w:rPr>
          <w:t>Commercial Radio Australia - 2014 Digital Radio Report</w:t>
        </w:r>
      </w:hyperlink>
      <w:r>
        <w:rPr>
          <w:rStyle w:val="Hyperlink"/>
          <w:rFonts w:cs="Calibri"/>
        </w:rPr>
        <w:t>.</w:t>
      </w:r>
    </w:p>
  </w:footnote>
  <w:footnote w:id="38">
    <w:p w14:paraId="47F1D6E2" w14:textId="184BED5C" w:rsidR="0087153B" w:rsidRDefault="0087153B" w:rsidP="005077CA">
      <w:pPr>
        <w:pStyle w:val="FootnoteText"/>
      </w:pPr>
      <w:r>
        <w:rPr>
          <w:rStyle w:val="FootnoteReference"/>
        </w:rPr>
        <w:footnoteRef/>
      </w:r>
      <w:r>
        <w:t xml:space="preserve"> </w:t>
      </w:r>
      <w:r w:rsidRPr="00C46B5A">
        <w:rPr>
          <w:rFonts w:cs="Calibri"/>
        </w:rPr>
        <w:t>Commercial Radio Australia</w:t>
      </w:r>
      <w:r>
        <w:rPr>
          <w:rFonts w:cs="Calibri"/>
        </w:rPr>
        <w:t>,</w:t>
      </w:r>
      <w:r w:rsidRPr="00C46B5A">
        <w:rPr>
          <w:rFonts w:cs="Calibri"/>
        </w:rPr>
        <w:t xml:space="preserve"> </w:t>
      </w:r>
      <w:r w:rsidRPr="00C46B5A">
        <w:rPr>
          <w:rFonts w:cs="Calibri"/>
          <w:i/>
        </w:rPr>
        <w:t>2014 Digital Radio Report</w:t>
      </w:r>
      <w:r>
        <w:rPr>
          <w:rFonts w:cs="Calibri"/>
        </w:rPr>
        <w:t>,</w:t>
      </w:r>
      <w:r w:rsidRPr="00C46B5A">
        <w:rPr>
          <w:rFonts w:cs="Calibri"/>
        </w:rPr>
        <w:t xml:space="preserve"> p.17 </w:t>
      </w:r>
      <w:hyperlink r:id="rId28" w:history="1">
        <w:r>
          <w:rPr>
            <w:rStyle w:val="Hyperlink"/>
            <w:rFonts w:cs="Calibri"/>
          </w:rPr>
          <w:t>Commercial Radio Australia - 2014 Digital Radio Report</w:t>
        </w:r>
      </w:hyperlink>
      <w:r>
        <w:rPr>
          <w:rStyle w:val="Hyperlink"/>
          <w:rFonts w:cs="Calibri"/>
        </w:rPr>
        <w:t>.</w:t>
      </w:r>
    </w:p>
  </w:footnote>
  <w:footnote w:id="39">
    <w:p w14:paraId="23CD829B" w14:textId="3F55B30D" w:rsidR="0087153B" w:rsidRDefault="0087153B" w:rsidP="005077CA">
      <w:pPr>
        <w:pStyle w:val="FootnoteText"/>
      </w:pPr>
      <w:r>
        <w:rPr>
          <w:rStyle w:val="FootnoteReference"/>
        </w:rPr>
        <w:footnoteRef/>
      </w:r>
      <w:r>
        <w:t xml:space="preserve"> </w:t>
      </w:r>
      <w:r>
        <w:rPr>
          <w:rFonts w:cs="Calibri"/>
        </w:rPr>
        <w:t>Community Broadcasting Association of Australia</w:t>
      </w:r>
      <w:r w:rsidRPr="00C46B5A">
        <w:rPr>
          <w:rFonts w:cs="Calibri"/>
        </w:rPr>
        <w:t xml:space="preserve"> (2014, February)</w:t>
      </w:r>
      <w:r>
        <w:rPr>
          <w:rFonts w:cs="Calibri"/>
        </w:rPr>
        <w:t>,</w:t>
      </w:r>
      <w:r w:rsidRPr="00C46B5A">
        <w:rPr>
          <w:rFonts w:cs="Calibri"/>
        </w:rPr>
        <w:t xml:space="preserve"> </w:t>
      </w:r>
      <w:r w:rsidRPr="00C46B5A">
        <w:rPr>
          <w:rFonts w:cs="Calibri"/>
          <w:i/>
        </w:rPr>
        <w:t>Community Broadcasting Association of Australia submission to digital radio review</w:t>
      </w:r>
      <w:r w:rsidRPr="00C46B5A">
        <w:rPr>
          <w:rFonts w:cs="Calibri"/>
        </w:rPr>
        <w:t xml:space="preserve">, p.2 </w:t>
      </w:r>
      <w:hyperlink r:id="rId29" w:history="1">
        <w:r>
          <w:rPr>
            <w:rStyle w:val="Hyperlink"/>
            <w:rFonts w:cs="Calibri"/>
          </w:rPr>
          <w:t>Digital Radio Review Submissions</w:t>
        </w:r>
      </w:hyperlink>
      <w:r>
        <w:rPr>
          <w:rStyle w:val="Hyperlink"/>
          <w:rFonts w:cs="Calibri"/>
        </w:rPr>
        <w:t>.</w:t>
      </w:r>
    </w:p>
  </w:footnote>
  <w:footnote w:id="40">
    <w:p w14:paraId="3C58C393" w14:textId="3DCE58D7" w:rsidR="0087153B" w:rsidRDefault="0087153B">
      <w:pPr>
        <w:pStyle w:val="FootnoteText"/>
      </w:pPr>
      <w:r>
        <w:rPr>
          <w:rStyle w:val="FootnoteReference"/>
        </w:rPr>
        <w:footnoteRef/>
      </w:r>
      <w:r>
        <w:t xml:space="preserve"> Commercial Radio Australia (2015, 13 March), </w:t>
      </w:r>
      <w:r w:rsidRPr="00856180">
        <w:rPr>
          <w:i/>
        </w:rPr>
        <w:t>Digital Radio Quarterly Update</w:t>
      </w:r>
      <w:r>
        <w:t xml:space="preserve"> </w:t>
      </w:r>
      <w:hyperlink r:id="rId30" w:history="1">
        <w:r w:rsidRPr="0031351A">
          <w:rPr>
            <w:rStyle w:val="Hyperlink"/>
          </w:rPr>
          <w:t>Digital Radio Quarterly Update March 2015</w:t>
        </w:r>
      </w:hyperlink>
      <w:r>
        <w:t xml:space="preserve">. </w:t>
      </w:r>
    </w:p>
  </w:footnote>
  <w:footnote w:id="41">
    <w:p w14:paraId="527241B5" w14:textId="458F8537" w:rsidR="0087153B" w:rsidRDefault="0087153B" w:rsidP="007B7D5B">
      <w:pPr>
        <w:pStyle w:val="FootnoteText"/>
      </w:pPr>
      <w:r>
        <w:rPr>
          <w:rStyle w:val="FootnoteReference"/>
        </w:rPr>
        <w:footnoteRef/>
      </w:r>
      <w:r>
        <w:t xml:space="preserve"> Commercial Radio Australia (2015, 13 March), </w:t>
      </w:r>
      <w:r w:rsidRPr="00856180">
        <w:rPr>
          <w:i/>
        </w:rPr>
        <w:t>Digital Radio Quarterly Update</w:t>
      </w:r>
      <w:r>
        <w:t xml:space="preserve"> </w:t>
      </w:r>
      <w:hyperlink r:id="rId31" w:history="1">
        <w:r w:rsidRPr="0031351A">
          <w:rPr>
            <w:rStyle w:val="Hyperlink"/>
          </w:rPr>
          <w:t>Digital Radio Quarterly Update March 2015</w:t>
        </w:r>
      </w:hyperlink>
      <w:r>
        <w:t>.</w:t>
      </w:r>
    </w:p>
  </w:footnote>
  <w:footnote w:id="42">
    <w:p w14:paraId="3453BCD0" w14:textId="19E69958" w:rsidR="0087153B" w:rsidRDefault="0087153B" w:rsidP="005077CA">
      <w:pPr>
        <w:pStyle w:val="FootnoteText"/>
      </w:pPr>
      <w:r>
        <w:rPr>
          <w:rStyle w:val="FootnoteReference"/>
        </w:rPr>
        <w:footnoteRef/>
      </w:r>
      <w:r>
        <w:t xml:space="preserve"> </w:t>
      </w:r>
      <w:r w:rsidRPr="001E3CC8">
        <w:t xml:space="preserve">Coutts, Prof Reg (2014, November), </w:t>
      </w:r>
      <w:r w:rsidRPr="00856180">
        <w:rPr>
          <w:i/>
        </w:rPr>
        <w:t>Analysis of use of Mobile Telecommunications Networks to Deliver Broadcast Radio in Australia</w:t>
      </w:r>
      <w:r w:rsidRPr="001E3CC8">
        <w:t>, p.2</w:t>
      </w:r>
      <w:r>
        <w:t>0</w:t>
      </w:r>
      <w:r w:rsidRPr="001E3CC8">
        <w:t xml:space="preserve"> </w:t>
      </w:r>
      <w:hyperlink r:id="rId32" w:history="1">
        <w:r w:rsidRPr="001E3CC8">
          <w:rPr>
            <w:rStyle w:val="Hyperlink"/>
          </w:rPr>
          <w:t>Commercial Radio Australia's Website - Coutts Report</w:t>
        </w:r>
      </w:hyperlink>
      <w:r>
        <w:t xml:space="preserve">. </w:t>
      </w:r>
    </w:p>
  </w:footnote>
  <w:footnote w:id="43">
    <w:p w14:paraId="2D9F36E3" w14:textId="32368D65" w:rsidR="0087153B" w:rsidRDefault="0087153B" w:rsidP="005077CA">
      <w:pPr>
        <w:pStyle w:val="FootnoteText"/>
      </w:pPr>
      <w:r>
        <w:rPr>
          <w:rStyle w:val="FootnoteReference"/>
        </w:rPr>
        <w:footnoteRef/>
      </w:r>
      <w:r>
        <w:t xml:space="preserve"> </w:t>
      </w:r>
      <w:r w:rsidRPr="00C46B5A">
        <w:rPr>
          <w:rFonts w:cs="Calibri"/>
        </w:rPr>
        <w:t>Apple</w:t>
      </w:r>
      <w:r>
        <w:rPr>
          <w:rFonts w:cs="Calibri"/>
        </w:rPr>
        <w:t xml:space="preserve"> CarPlay,</w:t>
      </w:r>
      <w:r w:rsidRPr="00C46B5A">
        <w:rPr>
          <w:rFonts w:cs="Calibri"/>
        </w:rPr>
        <w:t xml:space="preserve"> </w:t>
      </w:r>
      <w:hyperlink r:id="rId33" w:history="1">
        <w:r>
          <w:rPr>
            <w:rStyle w:val="Hyperlink"/>
            <w:rFonts w:cs="Calibri"/>
          </w:rPr>
          <w:t>Apple Website - Carplay</w:t>
        </w:r>
      </w:hyperlink>
      <w:r>
        <w:rPr>
          <w:rStyle w:val="Hyperlink"/>
          <w:rFonts w:cs="Calibri"/>
        </w:rPr>
        <w:t xml:space="preserve">; Griffith, Chris (2014, 29 October), </w:t>
      </w:r>
      <w:r w:rsidRPr="009D4AF8">
        <w:rPr>
          <w:rStyle w:val="Hyperlink"/>
          <w:rFonts w:cs="Calibri"/>
          <w:i/>
        </w:rPr>
        <w:t>Pioneer introduces Apply CarPlay to Australia,</w:t>
      </w:r>
      <w:r>
        <w:rPr>
          <w:rStyle w:val="Hyperlink"/>
          <w:rFonts w:cs="Calibri"/>
        </w:rPr>
        <w:t xml:space="preserve">  Car News, </w:t>
      </w:r>
      <w:hyperlink r:id="rId34" w:anchor=".VS8S0I2KBD8" w:history="1">
        <w:r>
          <w:rPr>
            <w:rStyle w:val="Hyperlink"/>
            <w:rFonts w:cs="Calibri"/>
          </w:rPr>
          <w:t xml:space="preserve"> Car News CarPlay article</w:t>
        </w:r>
      </w:hyperlink>
      <w:r>
        <w:rPr>
          <w:rStyle w:val="Hyperlink"/>
          <w:rFonts w:cs="Calibri"/>
        </w:rPr>
        <w:t xml:space="preserve">. </w:t>
      </w:r>
    </w:p>
  </w:footnote>
  <w:footnote w:id="44">
    <w:p w14:paraId="5009612E" w14:textId="4F452452" w:rsidR="0087153B" w:rsidRDefault="0087153B" w:rsidP="005077CA">
      <w:pPr>
        <w:pStyle w:val="FootnoteText"/>
      </w:pPr>
      <w:r>
        <w:rPr>
          <w:rStyle w:val="FootnoteReference"/>
        </w:rPr>
        <w:footnoteRef/>
      </w:r>
      <w:r>
        <w:t xml:space="preserve"> Griffith, Chris (2015, 2 April 2015),</w:t>
      </w:r>
      <w:r w:rsidRPr="009D4AF8">
        <w:rPr>
          <w:i/>
        </w:rPr>
        <w:t xml:space="preserve"> Google’s Android Auto car entertainment system released</w:t>
      </w:r>
      <w:r>
        <w:t xml:space="preserve">, The Australian, </w:t>
      </w:r>
      <w:hyperlink r:id="rId35" w:history="1">
        <w:r>
          <w:rPr>
            <w:rStyle w:val="Hyperlink"/>
          </w:rPr>
          <w:t xml:space="preserve">The Australian article. </w:t>
        </w:r>
      </w:hyperlink>
      <w:r>
        <w:t xml:space="preserve">  </w:t>
      </w:r>
    </w:p>
  </w:footnote>
  <w:footnote w:id="45">
    <w:p w14:paraId="12E1FCD4" w14:textId="1130B3AA" w:rsidR="0087153B" w:rsidRDefault="0087153B" w:rsidP="005077CA">
      <w:pPr>
        <w:pStyle w:val="FootnoteText"/>
      </w:pPr>
      <w:r>
        <w:rPr>
          <w:rStyle w:val="FootnoteReference"/>
        </w:rPr>
        <w:footnoteRef/>
      </w:r>
      <w:r>
        <w:t xml:space="preserve"> Gizmodo Australia (2014, June 30), </w:t>
      </w:r>
      <w:r w:rsidRPr="00222B1D">
        <w:rPr>
          <w:i/>
        </w:rPr>
        <w:t>The race to save your car’s dashboard</w:t>
      </w:r>
      <w:r>
        <w:t xml:space="preserve">, </w:t>
      </w:r>
      <w:hyperlink r:id="rId36" w:history="1">
        <w:r w:rsidRPr="0078500F">
          <w:rPr>
            <w:rStyle w:val="Hyperlink"/>
          </w:rPr>
          <w:t>Gizmodo Australia article</w:t>
        </w:r>
      </w:hyperlink>
      <w:r>
        <w:t xml:space="preserve">. </w:t>
      </w:r>
    </w:p>
  </w:footnote>
  <w:footnote w:id="46">
    <w:p w14:paraId="02ACFFB3" w14:textId="3E95913F" w:rsidR="0087153B" w:rsidRDefault="0087153B">
      <w:pPr>
        <w:pStyle w:val="FootnoteText"/>
      </w:pPr>
      <w:r>
        <w:rPr>
          <w:rStyle w:val="FootnoteReference"/>
        </w:rPr>
        <w:footnoteRef/>
      </w:r>
      <w:r>
        <w:t xml:space="preserve"> Goodwin, Antuan (2015, 15 April 2015), </w:t>
      </w:r>
      <w:r w:rsidRPr="009D4AF8">
        <w:rPr>
          <w:i/>
        </w:rPr>
        <w:t>With Android Auto and Apply CarPl</w:t>
      </w:r>
      <w:r>
        <w:rPr>
          <w:i/>
        </w:rPr>
        <w:t>a</w:t>
      </w:r>
      <w:r w:rsidRPr="009D4AF8">
        <w:rPr>
          <w:i/>
        </w:rPr>
        <w:t xml:space="preserve">y, Pioneer’s latest is the one receiver to </w:t>
      </w:r>
      <w:r w:rsidRPr="00851788">
        <w:rPr>
          <w:i/>
        </w:rPr>
        <w:t>rule</w:t>
      </w:r>
      <w:r w:rsidRPr="009D4AF8">
        <w:rPr>
          <w:i/>
        </w:rPr>
        <w:t xml:space="preserve"> them all</w:t>
      </w:r>
      <w:r>
        <w:t xml:space="preserve"> </w:t>
      </w:r>
      <w:hyperlink r:id="rId37" w:history="1">
        <w:r>
          <w:rPr>
            <w:rStyle w:val="Hyperlink"/>
          </w:rPr>
          <w:t xml:space="preserve"> CNET article </w:t>
        </w:r>
      </w:hyperlink>
      <w:r>
        <w:rPr>
          <w:rStyle w:val="Hyperlink"/>
        </w:rPr>
        <w:t>.</w:t>
      </w:r>
      <w:r>
        <w:t xml:space="preserve"> </w:t>
      </w:r>
    </w:p>
  </w:footnote>
  <w:footnote w:id="47">
    <w:p w14:paraId="41DA2FB9" w14:textId="0FFD0F59" w:rsidR="0087153B" w:rsidRDefault="0087153B" w:rsidP="005077CA">
      <w:pPr>
        <w:pStyle w:val="FootnoteText"/>
      </w:pPr>
      <w:r>
        <w:rPr>
          <w:rStyle w:val="FootnoteReference"/>
        </w:rPr>
        <w:footnoteRef/>
      </w:r>
      <w:r>
        <w:t xml:space="preserve"> </w:t>
      </w:r>
      <w:r>
        <w:rPr>
          <w:rFonts w:cs="Calibri"/>
        </w:rPr>
        <w:t>Broadcast Australia</w:t>
      </w:r>
      <w:r w:rsidRPr="00C46B5A">
        <w:rPr>
          <w:rFonts w:cs="Calibri"/>
        </w:rPr>
        <w:t xml:space="preserve">. (2014, February). </w:t>
      </w:r>
      <w:r w:rsidRPr="00C46B5A">
        <w:rPr>
          <w:rFonts w:cs="Calibri"/>
          <w:i/>
        </w:rPr>
        <w:t>Broadcast Australia submission to digital radio review</w:t>
      </w:r>
      <w:r w:rsidRPr="00C46B5A">
        <w:rPr>
          <w:rFonts w:cs="Calibri"/>
        </w:rPr>
        <w:t xml:space="preserve">, p.6 </w:t>
      </w:r>
      <w:hyperlink r:id="rId38" w:history="1">
        <w:r>
          <w:rPr>
            <w:rStyle w:val="Hyperlink"/>
            <w:rFonts w:cs="Calibri"/>
          </w:rPr>
          <w:t>Digital Radio Review Submissions</w:t>
        </w:r>
      </w:hyperlink>
      <w:r>
        <w:rPr>
          <w:rStyle w:val="Hyperlink"/>
          <w:rFonts w:cs="Calibri"/>
        </w:rPr>
        <w:t>.</w:t>
      </w:r>
    </w:p>
  </w:footnote>
  <w:footnote w:id="48">
    <w:p w14:paraId="6A65A0CD" w14:textId="6555F060" w:rsidR="0087153B" w:rsidRDefault="0087153B">
      <w:pPr>
        <w:pStyle w:val="FootnoteText"/>
      </w:pPr>
      <w:r>
        <w:rPr>
          <w:rStyle w:val="FootnoteReference"/>
        </w:rPr>
        <w:footnoteRef/>
      </w:r>
      <w:r>
        <w:t xml:space="preserve"> Commercial Radio Australia (2015, 13 March</w:t>
      </w:r>
      <w:r w:rsidRPr="009D4AF8">
        <w:rPr>
          <w:i/>
        </w:rPr>
        <w:t>)</w:t>
      </w:r>
      <w:r>
        <w:t>,</w:t>
      </w:r>
      <w:r w:rsidRPr="009D4AF8">
        <w:rPr>
          <w:i/>
        </w:rPr>
        <w:t xml:space="preserve"> Digital Radio Quarterly Update</w:t>
      </w:r>
      <w:r>
        <w:t xml:space="preserve"> </w:t>
      </w:r>
      <w:hyperlink r:id="rId39" w:history="1">
        <w:r w:rsidRPr="0031351A">
          <w:rPr>
            <w:rStyle w:val="Hyperlink"/>
          </w:rPr>
          <w:t>Digital Radio Quarterly Update March 2015</w:t>
        </w:r>
      </w:hyperlink>
      <w:r>
        <w:rPr>
          <w:rStyle w:val="Hyperlink"/>
        </w:rPr>
        <w:t>.</w:t>
      </w:r>
    </w:p>
  </w:footnote>
  <w:footnote w:id="49">
    <w:p w14:paraId="57D6CC16" w14:textId="2CF384D8" w:rsidR="0087153B" w:rsidRDefault="0087153B" w:rsidP="00151CD0">
      <w:pPr>
        <w:pStyle w:val="FootnoteText"/>
      </w:pPr>
      <w:r>
        <w:rPr>
          <w:rStyle w:val="FootnoteReference"/>
        </w:rPr>
        <w:footnoteRef/>
      </w:r>
      <w:r>
        <w:t xml:space="preserve"> ACMA, </w:t>
      </w:r>
      <w:r w:rsidRPr="00DD7EB8">
        <w:rPr>
          <w:i/>
        </w:rPr>
        <w:t>What frequency bands are used for digital radio</w:t>
      </w:r>
      <w:r>
        <w:t xml:space="preserve">?, </w:t>
      </w:r>
      <w:hyperlink r:id="rId40" w:anchor="bands" w:history="1">
        <w:r>
          <w:rPr>
            <w:rStyle w:val="Hyperlink"/>
          </w:rPr>
          <w:t xml:space="preserve">ACMA Website - What Frequency Bands are used for Digital Radio? </w:t>
        </w:r>
      </w:hyperlink>
    </w:p>
  </w:footnote>
  <w:footnote w:id="50">
    <w:p w14:paraId="66604C3F" w14:textId="3C52345A" w:rsidR="0087153B" w:rsidRDefault="0087153B" w:rsidP="00151CD0">
      <w:pPr>
        <w:pStyle w:val="FootnoteText"/>
      </w:pPr>
      <w:r>
        <w:rPr>
          <w:rStyle w:val="FootnoteReference"/>
        </w:rPr>
        <w:footnoteRef/>
      </w:r>
      <w:r>
        <w:t xml:space="preserve"> ACMA, </w:t>
      </w:r>
      <w:r w:rsidRPr="00DD7EB8">
        <w:rPr>
          <w:i/>
        </w:rPr>
        <w:t>What frequency bands are used for digital radio?</w:t>
      </w:r>
      <w:r>
        <w:t xml:space="preserve">, </w:t>
      </w:r>
      <w:hyperlink r:id="rId41" w:anchor="bands" w:history="1">
        <w:r>
          <w:rPr>
            <w:rStyle w:val="Hyperlink"/>
          </w:rPr>
          <w:t xml:space="preserve">ACMA Website - What Frequency Bands are used for Digital Radio? </w:t>
        </w:r>
      </w:hyperlink>
    </w:p>
  </w:footnote>
  <w:footnote w:id="51">
    <w:p w14:paraId="1759E814" w14:textId="1BCE69C4" w:rsidR="0087153B" w:rsidRPr="00F44C06" w:rsidRDefault="0087153B" w:rsidP="00151CD0">
      <w:pPr>
        <w:pStyle w:val="FootnoteText"/>
        <w:rPr>
          <w:rFonts w:cstheme="minorHAnsi"/>
          <w:color w:val="006DFF"/>
        </w:rPr>
      </w:pPr>
      <w:r>
        <w:rPr>
          <w:rStyle w:val="FootnoteReference"/>
        </w:rPr>
        <w:footnoteRef/>
      </w:r>
      <w:r>
        <w:t xml:space="preserve"> Commercial Radio Australia </w:t>
      </w:r>
      <w:r w:rsidRPr="00C46B5A">
        <w:t>(2014, February)</w:t>
      </w:r>
      <w:r>
        <w:t>,</w:t>
      </w:r>
      <w:r w:rsidRPr="00C46B5A">
        <w:t xml:space="preserve"> </w:t>
      </w:r>
      <w:r w:rsidRPr="00C46B5A">
        <w:rPr>
          <w:rFonts w:cstheme="minorHAnsi"/>
          <w:i/>
        </w:rPr>
        <w:t>Commercial Radio Australia</w:t>
      </w:r>
      <w:r w:rsidRPr="00C46B5A">
        <w:rPr>
          <w:i/>
        </w:rPr>
        <w:t xml:space="preserve"> submission to digital radio review</w:t>
      </w:r>
      <w:r w:rsidRPr="00C46B5A">
        <w:t>, p.3</w:t>
      </w:r>
      <w:r>
        <w:t>1</w:t>
      </w:r>
      <w:r w:rsidRPr="00C46B5A">
        <w:t xml:space="preserve"> </w:t>
      </w:r>
      <w:hyperlink r:id="rId42" w:history="1">
        <w:r>
          <w:rPr>
            <w:rStyle w:val="Hyperlink"/>
            <w:rFonts w:cstheme="minorHAnsi"/>
          </w:rPr>
          <w:t>Digital Radio Review Submissions</w:t>
        </w:r>
      </w:hyperlink>
      <w:r>
        <w:rPr>
          <w:rStyle w:val="Hyperlink"/>
          <w:rFonts w:cstheme="minorHAnsi"/>
        </w:rPr>
        <w:t>;</w:t>
      </w:r>
      <w:r>
        <w:rPr>
          <w:rFonts w:cstheme="minorHAnsi"/>
        </w:rPr>
        <w:t xml:space="preserve"> </w:t>
      </w:r>
      <w:r>
        <w:t xml:space="preserve">Community Broadcasting Association of Australia </w:t>
      </w:r>
      <w:r w:rsidRPr="00C46B5A">
        <w:t>(2014, February)</w:t>
      </w:r>
      <w:r>
        <w:t>,</w:t>
      </w:r>
      <w:r w:rsidRPr="00C46B5A">
        <w:t xml:space="preserve"> </w:t>
      </w:r>
      <w:r w:rsidRPr="00C46B5A">
        <w:rPr>
          <w:i/>
        </w:rPr>
        <w:t>Community Broadcasting Association of Australia submission to digital radio review</w:t>
      </w:r>
      <w:r>
        <w:t>, p.4</w:t>
      </w:r>
      <w:r w:rsidRPr="00C46B5A">
        <w:t xml:space="preserve"> </w:t>
      </w:r>
      <w:hyperlink r:id="rId43" w:history="1">
        <w:r>
          <w:rPr>
            <w:rStyle w:val="Hyperlink"/>
            <w:rFonts w:cstheme="minorHAnsi"/>
          </w:rPr>
          <w:t>Digital Radio Review Submissions</w:t>
        </w:r>
      </w:hyperlink>
      <w:r>
        <w:rPr>
          <w:rStyle w:val="Hyperlink"/>
          <w:rFonts w:cstheme="minorHAnsi"/>
        </w:rPr>
        <w:t>.</w:t>
      </w:r>
    </w:p>
  </w:footnote>
  <w:footnote w:id="52">
    <w:p w14:paraId="6F28FCE9" w14:textId="6507F8FB" w:rsidR="0087153B" w:rsidRDefault="0087153B" w:rsidP="00151CD0">
      <w:pPr>
        <w:pStyle w:val="FootnoteText"/>
      </w:pPr>
      <w:r>
        <w:rPr>
          <w:rStyle w:val="FootnoteReference"/>
        </w:rPr>
        <w:footnoteRef/>
      </w:r>
      <w:r>
        <w:t xml:space="preserve"> ACMA, </w:t>
      </w:r>
      <w:r w:rsidRPr="003D30E0">
        <w:rPr>
          <w:i/>
        </w:rPr>
        <w:t>What frequency bands are used for digital radio?</w:t>
      </w:r>
      <w:r>
        <w:t xml:space="preserve">, </w:t>
      </w:r>
      <w:hyperlink r:id="rId44" w:anchor="bands" w:history="1">
        <w:r>
          <w:rPr>
            <w:rStyle w:val="Hyperlink"/>
          </w:rPr>
          <w:t xml:space="preserve">ACMA Website - What Frequency Bands are used for Digital Radio? </w:t>
        </w:r>
      </w:hyperlink>
    </w:p>
  </w:footnote>
  <w:footnote w:id="53">
    <w:p w14:paraId="127B78F3" w14:textId="379D4865" w:rsidR="0087153B" w:rsidRDefault="0087153B">
      <w:pPr>
        <w:pStyle w:val="FootnoteText"/>
      </w:pPr>
      <w:r>
        <w:rPr>
          <w:rStyle w:val="FootnoteReference"/>
        </w:rPr>
        <w:footnoteRef/>
      </w:r>
      <w:r>
        <w:t xml:space="preserve"> ACMA (2014, Sept), </w:t>
      </w:r>
      <w:r w:rsidRPr="00DD7EB8">
        <w:rPr>
          <w:i/>
        </w:rPr>
        <w:t>Five Year spectrum Outlook 201</w:t>
      </w:r>
      <w:r>
        <w:rPr>
          <w:i/>
        </w:rPr>
        <w:t>4</w:t>
      </w:r>
      <w:r w:rsidRPr="00DD7EB8">
        <w:rPr>
          <w:i/>
        </w:rPr>
        <w:t>-201</w:t>
      </w:r>
      <w:r>
        <w:rPr>
          <w:i/>
        </w:rPr>
        <w:t>8</w:t>
      </w:r>
      <w:r w:rsidRPr="00DD7EB8">
        <w:rPr>
          <w:i/>
        </w:rPr>
        <w:t xml:space="preserve"> The ACMA’s Spectrum demand analysis and strategic direction for the next five years</w:t>
      </w:r>
      <w:r>
        <w:t xml:space="preserve">, p.38 </w:t>
      </w:r>
      <w:hyperlink r:id="rId45" w:history="1">
        <w:r w:rsidRPr="00486DF0">
          <w:rPr>
            <w:rStyle w:val="Hyperlink"/>
          </w:rPr>
          <w:t>ACMA Spectrum Outlook 2014-2018</w:t>
        </w:r>
      </w:hyperlink>
      <w:r>
        <w:rPr>
          <w:rStyle w:val="Hyperlink"/>
        </w:rPr>
        <w:t>.</w:t>
      </w:r>
    </w:p>
  </w:footnote>
  <w:footnote w:id="54">
    <w:p w14:paraId="0BAE4735" w14:textId="5824EA0F" w:rsidR="0087153B" w:rsidRPr="00870EEF" w:rsidRDefault="0087153B">
      <w:pPr>
        <w:pStyle w:val="FootnoteText"/>
      </w:pPr>
      <w:r>
        <w:rPr>
          <w:rStyle w:val="FootnoteReference"/>
        </w:rPr>
        <w:footnoteRef/>
      </w:r>
      <w:r>
        <w:t xml:space="preserve"> European Commission (2015, May 8), </w:t>
      </w:r>
      <w:r>
        <w:rPr>
          <w:i/>
        </w:rPr>
        <w:t>Commission Decision opens up a new frequency band for advanced mobile services</w:t>
      </w:r>
      <w:r>
        <w:t xml:space="preserve">, </w:t>
      </w:r>
      <w:hyperlink r:id="rId46" w:history="1">
        <w:r w:rsidRPr="00870EEF">
          <w:rPr>
            <w:rStyle w:val="Hyperlink"/>
          </w:rPr>
          <w:t>European Commission Article</w:t>
        </w:r>
      </w:hyperlink>
      <w:r>
        <w:t>.</w:t>
      </w:r>
    </w:p>
  </w:footnote>
  <w:footnote w:id="55">
    <w:p w14:paraId="3A3E2997" w14:textId="7EFC0075" w:rsidR="0087153B" w:rsidRPr="00C70AF8" w:rsidRDefault="0087153B">
      <w:pPr>
        <w:pStyle w:val="FootnoteText"/>
      </w:pPr>
      <w:r>
        <w:rPr>
          <w:rStyle w:val="FootnoteReference"/>
        </w:rPr>
        <w:footnoteRef/>
      </w:r>
      <w:r>
        <w:t xml:space="preserve"> WorldDMB (2015, March 18), </w:t>
      </w:r>
      <w:r w:rsidRPr="003D30E0">
        <w:rPr>
          <w:i/>
        </w:rPr>
        <w:t>World DMB Forum Digital Radio Receiver Profiles</w:t>
      </w:r>
      <w:r>
        <w:t xml:space="preserve">, </w:t>
      </w:r>
      <w:hyperlink r:id="rId47" w:history="1">
        <w:r w:rsidRPr="00C70AF8">
          <w:rPr>
            <w:rStyle w:val="Hyperlink"/>
          </w:rPr>
          <w:t>WorldDMB website</w:t>
        </w:r>
      </w:hyperlink>
      <w:r>
        <w:t>.</w:t>
      </w:r>
    </w:p>
  </w:footnote>
  <w:footnote w:id="56">
    <w:p w14:paraId="25DBB0F6" w14:textId="6AC123D0" w:rsidR="0087153B" w:rsidRPr="00F44C06" w:rsidRDefault="0087153B" w:rsidP="00151CD0">
      <w:pPr>
        <w:pStyle w:val="FootnoteText"/>
      </w:pPr>
      <w:r>
        <w:rPr>
          <w:rStyle w:val="FootnoteReference"/>
        </w:rPr>
        <w:footnoteRef/>
      </w:r>
      <w:r>
        <w:t xml:space="preserve"> Commercial Radio Australia </w:t>
      </w:r>
      <w:r w:rsidRPr="00C46B5A">
        <w:t>(2014, February)</w:t>
      </w:r>
      <w:r>
        <w:t>,</w:t>
      </w:r>
      <w:r w:rsidRPr="00C46B5A">
        <w:t xml:space="preserve"> </w:t>
      </w:r>
      <w:r w:rsidRPr="00C46B5A">
        <w:rPr>
          <w:rFonts w:cstheme="minorHAnsi"/>
          <w:i/>
        </w:rPr>
        <w:t>Commercial Radio Australia</w:t>
      </w:r>
      <w:r w:rsidRPr="00C46B5A">
        <w:rPr>
          <w:i/>
        </w:rPr>
        <w:t xml:space="preserve"> submission to digital radio review</w:t>
      </w:r>
      <w:r>
        <w:t>, p.31</w:t>
      </w:r>
      <w:r w:rsidRPr="00C46B5A">
        <w:t xml:space="preserve"> </w:t>
      </w:r>
      <w:hyperlink r:id="rId48" w:history="1">
        <w:r>
          <w:rPr>
            <w:rStyle w:val="Hyperlink"/>
            <w:rFonts w:cstheme="minorHAnsi"/>
          </w:rPr>
          <w:t>Digital Radio Review Submissions</w:t>
        </w:r>
      </w:hyperlink>
      <w:r>
        <w:rPr>
          <w:rFonts w:cstheme="minorHAnsi"/>
        </w:rPr>
        <w:t xml:space="preserve">; </w:t>
      </w:r>
      <w:r>
        <w:t xml:space="preserve">Community Broadcasting Association of Australia </w:t>
      </w:r>
      <w:r w:rsidRPr="00C46B5A">
        <w:t>(2014, February)</w:t>
      </w:r>
      <w:r>
        <w:t>,</w:t>
      </w:r>
      <w:r w:rsidRPr="00C46B5A">
        <w:t xml:space="preserve"> </w:t>
      </w:r>
      <w:r w:rsidRPr="00C46B5A">
        <w:rPr>
          <w:i/>
        </w:rPr>
        <w:t>Community Broadcasting Association of Australia submission to digital radio review</w:t>
      </w:r>
      <w:r>
        <w:t>, p</w:t>
      </w:r>
      <w:r w:rsidRPr="00C46B5A">
        <w:t>.</w:t>
      </w:r>
      <w:r>
        <w:t>4</w:t>
      </w:r>
      <w:r w:rsidRPr="00C46B5A">
        <w:t xml:space="preserve"> </w:t>
      </w:r>
      <w:hyperlink r:id="rId49" w:history="1">
        <w:r>
          <w:rPr>
            <w:rStyle w:val="Hyperlink"/>
            <w:rFonts w:cstheme="minorHAnsi"/>
          </w:rPr>
          <w:t>Digital Radio Review Submissions</w:t>
        </w:r>
      </w:hyperlink>
      <w:r>
        <w:rPr>
          <w:rStyle w:val="Hyperlink"/>
          <w:rFonts w:cstheme="minorHAnsi"/>
        </w:rPr>
        <w:t>.</w:t>
      </w:r>
    </w:p>
  </w:footnote>
  <w:footnote w:id="57">
    <w:p w14:paraId="7820870F" w14:textId="0DDD8F68" w:rsidR="0087153B" w:rsidRDefault="0087153B" w:rsidP="00151CD0">
      <w:pPr>
        <w:pStyle w:val="FootnoteText"/>
      </w:pPr>
      <w:r>
        <w:rPr>
          <w:rStyle w:val="FootnoteReference"/>
        </w:rPr>
        <w:footnoteRef/>
      </w:r>
      <w:r>
        <w:t xml:space="preserve"> Commercial Radio Australia </w:t>
      </w:r>
      <w:r w:rsidRPr="00C46B5A">
        <w:t>(2014, February)</w:t>
      </w:r>
      <w:r>
        <w:t>,</w:t>
      </w:r>
      <w:r w:rsidRPr="00C46B5A">
        <w:t xml:space="preserve"> </w:t>
      </w:r>
      <w:r w:rsidRPr="00C46B5A">
        <w:rPr>
          <w:rFonts w:cstheme="minorHAnsi"/>
          <w:i/>
        </w:rPr>
        <w:t>Commercial Radio Australia</w:t>
      </w:r>
      <w:r w:rsidRPr="00C46B5A">
        <w:rPr>
          <w:i/>
        </w:rPr>
        <w:t xml:space="preserve"> submission to digital radio review</w:t>
      </w:r>
      <w:r>
        <w:t>, p.31</w:t>
      </w:r>
      <w:r w:rsidRPr="00C46B5A">
        <w:t xml:space="preserve"> </w:t>
      </w:r>
      <w:hyperlink r:id="rId50" w:history="1">
        <w:r>
          <w:rPr>
            <w:rStyle w:val="Hyperlink"/>
            <w:rFonts w:cstheme="minorHAnsi"/>
          </w:rPr>
          <w:t>Digital Radio Review Submissions</w:t>
        </w:r>
      </w:hyperlink>
      <w:r>
        <w:rPr>
          <w:rStyle w:val="Hyperlink"/>
          <w:rFonts w:cstheme="minorHAnsi"/>
        </w:rPr>
        <w:t>.</w:t>
      </w:r>
    </w:p>
  </w:footnote>
  <w:footnote w:id="58">
    <w:p w14:paraId="12EA4569" w14:textId="77B1861E" w:rsidR="0087153B" w:rsidRDefault="0087153B">
      <w:pPr>
        <w:pStyle w:val="FootnoteText"/>
      </w:pPr>
      <w:r>
        <w:rPr>
          <w:rStyle w:val="FootnoteReference"/>
        </w:rPr>
        <w:footnoteRef/>
      </w:r>
      <w:r>
        <w:t xml:space="preserve"> ACMA, Digital radio rollout, </w:t>
      </w:r>
      <w:hyperlink r:id="rId51" w:history="1">
        <w:r>
          <w:rPr>
            <w:rStyle w:val="Hyperlink"/>
          </w:rPr>
          <w:t>ACMA Website - Digital Radio Spectrum for Broadcasting</w:t>
        </w:r>
      </w:hyperlink>
      <w:r>
        <w:rPr>
          <w:rStyle w:val="Hyperlink"/>
        </w:rPr>
        <w:t>.</w:t>
      </w:r>
      <w:r>
        <w:t xml:space="preserve"> </w:t>
      </w:r>
    </w:p>
  </w:footnote>
  <w:footnote w:id="59">
    <w:p w14:paraId="2220A490" w14:textId="70731426" w:rsidR="0087153B" w:rsidRDefault="0087153B">
      <w:pPr>
        <w:pStyle w:val="FootnoteText"/>
      </w:pPr>
      <w:r>
        <w:rPr>
          <w:rStyle w:val="FootnoteReference"/>
        </w:rPr>
        <w:footnoteRef/>
      </w:r>
      <w:r>
        <w:t xml:space="preserve"> Commercial Radio Australia (2015, 13 March 2015), Digital Radio Quarterly Update, </w:t>
      </w:r>
      <w:hyperlink r:id="rId52" w:history="1">
        <w:r w:rsidRPr="0031351A">
          <w:rPr>
            <w:rStyle w:val="Hyperlink"/>
          </w:rPr>
          <w:t>Digital Radio Quarterly Update March 2015</w:t>
        </w:r>
      </w:hyperlink>
      <w:r>
        <w:rPr>
          <w:rStyle w:val="Hyperlink"/>
        </w:rPr>
        <w:t>.</w:t>
      </w:r>
    </w:p>
  </w:footnote>
  <w:footnote w:id="60">
    <w:p w14:paraId="5955DE7C" w14:textId="74E1E27F" w:rsidR="0087153B" w:rsidRDefault="0087153B" w:rsidP="0040739E">
      <w:pPr>
        <w:pStyle w:val="FootnoteText"/>
      </w:pPr>
      <w:r>
        <w:rPr>
          <w:rStyle w:val="FootnoteReference"/>
        </w:rPr>
        <w:footnoteRef/>
      </w:r>
      <w:r>
        <w:t xml:space="preserve"> Australian Broadcasting Corporation (2014, September), ABC Audience Research Data sourced from Nielsen (pre2014) and Gfk (2014).</w:t>
      </w:r>
    </w:p>
  </w:footnote>
  <w:footnote w:id="61">
    <w:p w14:paraId="4E452166" w14:textId="77777777" w:rsidR="0087153B" w:rsidRDefault="0087153B" w:rsidP="0040739E">
      <w:pPr>
        <w:pStyle w:val="FootnoteText"/>
      </w:pPr>
      <w:r>
        <w:rPr>
          <w:rStyle w:val="FootnoteReference"/>
        </w:rPr>
        <w:footnoteRef/>
      </w:r>
      <w:r>
        <w:t xml:space="preserve"> Australian Broadcasting Corporation (2014, September), ABC Audience Research Data sourced from Nielsen (pre2014) and Gfk (2014). </w:t>
      </w:r>
    </w:p>
  </w:footnote>
  <w:footnote w:id="62">
    <w:p w14:paraId="4D1F248A" w14:textId="7A62CD3C" w:rsidR="0087153B" w:rsidRDefault="0087153B" w:rsidP="005077CA">
      <w:pPr>
        <w:pStyle w:val="FootnoteText"/>
      </w:pPr>
      <w:r>
        <w:rPr>
          <w:rStyle w:val="FootnoteReference"/>
        </w:rPr>
        <w:footnoteRef/>
      </w:r>
      <w:r>
        <w:t xml:space="preserve"> </w:t>
      </w:r>
      <w:r w:rsidRPr="00C46B5A">
        <w:t>Australian Communications and Media Authority (2013)</w:t>
      </w:r>
      <w:r>
        <w:t>,</w:t>
      </w:r>
      <w:r w:rsidRPr="00C46B5A">
        <w:t xml:space="preserve"> </w:t>
      </w:r>
      <w:r w:rsidRPr="007F48AE">
        <w:rPr>
          <w:i/>
        </w:rPr>
        <w:t>Communications Report 2012-13</w:t>
      </w:r>
      <w:r w:rsidRPr="00C46B5A">
        <w:t>, p.46.</w:t>
      </w:r>
    </w:p>
  </w:footnote>
  <w:footnote w:id="63">
    <w:p w14:paraId="16D99C55" w14:textId="3B687B58" w:rsidR="0087153B" w:rsidRPr="003E2DCE" w:rsidRDefault="0087153B">
      <w:pPr>
        <w:pStyle w:val="FootnoteText"/>
      </w:pPr>
      <w:r>
        <w:rPr>
          <w:rStyle w:val="FootnoteReference"/>
        </w:rPr>
        <w:footnoteRef/>
      </w:r>
      <w:r>
        <w:t xml:space="preserve"> Commercial Radio Australia (2015, January 23), </w:t>
      </w:r>
      <w:r>
        <w:rPr>
          <w:i/>
        </w:rPr>
        <w:t>Figures Show A Strong Year In Commercial Radio</w:t>
      </w:r>
      <w:r>
        <w:t xml:space="preserve">, </w:t>
      </w:r>
      <w:hyperlink r:id="rId53" w:history="1">
        <w:r w:rsidRPr="004F43B4">
          <w:rPr>
            <w:rStyle w:val="Hyperlink"/>
          </w:rPr>
          <w:t>CRA Media Release</w:t>
        </w:r>
      </w:hyperlink>
      <w:r>
        <w:t>.</w:t>
      </w:r>
    </w:p>
  </w:footnote>
  <w:footnote w:id="64">
    <w:p w14:paraId="57B94DE5" w14:textId="0C3B914E" w:rsidR="0087153B" w:rsidRPr="00C46B5A" w:rsidRDefault="0087153B" w:rsidP="005077CA">
      <w:pPr>
        <w:pStyle w:val="FootnoteText"/>
      </w:pPr>
      <w:r w:rsidRPr="00C46B5A">
        <w:rPr>
          <w:rStyle w:val="FootnoteReference"/>
        </w:rPr>
        <w:footnoteRef/>
      </w:r>
      <w:r w:rsidRPr="00C46B5A">
        <w:t xml:space="preserve"> </w:t>
      </w:r>
      <w:r>
        <w:rPr>
          <w:rFonts w:cstheme="minorHAnsi"/>
        </w:rPr>
        <w:t>Australian Broadcasting Corporation</w:t>
      </w:r>
      <w:r w:rsidRPr="00C46B5A">
        <w:rPr>
          <w:rFonts w:cstheme="minorHAnsi"/>
        </w:rPr>
        <w:t xml:space="preserve"> (2014, February)</w:t>
      </w:r>
      <w:r>
        <w:rPr>
          <w:rFonts w:cstheme="minorHAnsi"/>
        </w:rPr>
        <w:t>,</w:t>
      </w:r>
      <w:r w:rsidRPr="00C46B5A">
        <w:rPr>
          <w:rFonts w:cstheme="minorHAnsi"/>
        </w:rPr>
        <w:t xml:space="preserve"> </w:t>
      </w:r>
      <w:r w:rsidRPr="00C46B5A">
        <w:rPr>
          <w:rFonts w:cstheme="minorHAnsi"/>
          <w:i/>
        </w:rPr>
        <w:t>ABC submission to digital radio review</w:t>
      </w:r>
      <w:r w:rsidRPr="00C46B5A">
        <w:rPr>
          <w:rFonts w:cstheme="minorHAnsi"/>
        </w:rPr>
        <w:t xml:space="preserve">, pp. 1-2 </w:t>
      </w:r>
      <w:hyperlink r:id="rId54" w:history="1">
        <w:r>
          <w:rPr>
            <w:rStyle w:val="Hyperlink"/>
            <w:rFonts w:cstheme="minorHAnsi"/>
          </w:rPr>
          <w:t>Digital Radio Review Submissions</w:t>
        </w:r>
      </w:hyperlink>
      <w:r>
        <w:rPr>
          <w:rStyle w:val="Hyperlink"/>
          <w:rFonts w:cstheme="minorHAnsi"/>
        </w:rPr>
        <w:t>.</w:t>
      </w:r>
    </w:p>
  </w:footnote>
  <w:footnote w:id="65">
    <w:p w14:paraId="7AEE2FA4" w14:textId="72DCDE19" w:rsidR="0087153B" w:rsidRDefault="0087153B" w:rsidP="005077CA">
      <w:pPr>
        <w:pStyle w:val="FootnoteText"/>
      </w:pPr>
      <w:r w:rsidRPr="00C46B5A">
        <w:rPr>
          <w:rStyle w:val="FootnoteReference"/>
        </w:rPr>
        <w:footnoteRef/>
      </w:r>
      <w:r w:rsidRPr="00C46B5A">
        <w:t xml:space="preserve"> </w:t>
      </w:r>
      <w:r>
        <w:rPr>
          <w:rFonts w:cstheme="minorHAnsi"/>
        </w:rPr>
        <w:t>Australian Broadcasting Corporation</w:t>
      </w:r>
      <w:r w:rsidRPr="00C46B5A">
        <w:rPr>
          <w:rFonts w:cstheme="minorHAnsi"/>
        </w:rPr>
        <w:t xml:space="preserve">. (2014, February). </w:t>
      </w:r>
      <w:r w:rsidRPr="00C46B5A">
        <w:rPr>
          <w:rFonts w:cstheme="minorHAnsi"/>
          <w:i/>
        </w:rPr>
        <w:t>ABC submission to digital radio review</w:t>
      </w:r>
      <w:r w:rsidRPr="00C46B5A">
        <w:rPr>
          <w:rFonts w:cstheme="minorHAnsi"/>
        </w:rPr>
        <w:t xml:space="preserve">, p.2 </w:t>
      </w:r>
      <w:hyperlink r:id="rId55" w:history="1">
        <w:r>
          <w:rPr>
            <w:rStyle w:val="Hyperlink"/>
            <w:rFonts w:cstheme="minorHAnsi"/>
          </w:rPr>
          <w:t>Digital Radio Review Submissions</w:t>
        </w:r>
      </w:hyperlink>
      <w:r>
        <w:rPr>
          <w:rStyle w:val="Hyperlink"/>
          <w:rFonts w:cstheme="minorHAnsi"/>
        </w:rPr>
        <w:t>.</w:t>
      </w:r>
    </w:p>
  </w:footnote>
  <w:footnote w:id="66">
    <w:p w14:paraId="1EA6A489" w14:textId="1F141F3E" w:rsidR="0087153B" w:rsidRDefault="0087153B" w:rsidP="005077CA">
      <w:pPr>
        <w:pStyle w:val="FootnoteText"/>
      </w:pPr>
      <w:r>
        <w:rPr>
          <w:rStyle w:val="FootnoteReference"/>
        </w:rPr>
        <w:footnoteRef/>
      </w:r>
      <w:r>
        <w:t xml:space="preserve"> World DMB (2014, September), </w:t>
      </w:r>
      <w:r w:rsidRPr="00FE0EA1">
        <w:rPr>
          <w:i/>
        </w:rPr>
        <w:t>WorldDMB Global Update</w:t>
      </w:r>
      <w:r>
        <w:t xml:space="preserve"> p.15; Commercial Radio Australia (2014), </w:t>
      </w:r>
      <w:r w:rsidRPr="003E03DD">
        <w:rPr>
          <w:i/>
        </w:rPr>
        <w:t>2014 Digital Radio Report</w:t>
      </w:r>
      <w:r>
        <w:t xml:space="preserve"> pp. 58-59 </w:t>
      </w:r>
      <w:hyperlink r:id="rId56" w:history="1">
        <w:r>
          <w:rPr>
            <w:rStyle w:val="Hyperlink"/>
            <w:rFonts w:cs="Calibri"/>
          </w:rPr>
          <w:t>Commercial Radio Australia - 2014 Digital Radio Report</w:t>
        </w:r>
      </w:hyperlink>
      <w:r>
        <w:rPr>
          <w:rStyle w:val="Hyperlink"/>
          <w:rFonts w:cs="Calibri"/>
        </w:rPr>
        <w:t>.</w:t>
      </w:r>
    </w:p>
  </w:footnote>
  <w:footnote w:id="67">
    <w:p w14:paraId="7A02DC48" w14:textId="6E685833" w:rsidR="0087153B" w:rsidRPr="00C46B5A" w:rsidRDefault="0087153B" w:rsidP="005077CA">
      <w:pPr>
        <w:pStyle w:val="FootnoteText"/>
        <w:rPr>
          <w:rFonts w:cs="Calibri"/>
        </w:rPr>
      </w:pPr>
      <w:r>
        <w:rPr>
          <w:rStyle w:val="FootnoteReference"/>
        </w:rPr>
        <w:footnoteRef/>
      </w:r>
      <w:r w:rsidRPr="001C61CF">
        <w:rPr>
          <w:rFonts w:asciiTheme="minorHAnsi" w:hAnsiTheme="minorHAnsi" w:cstheme="minorHAnsi"/>
          <w:sz w:val="22"/>
          <w:szCs w:val="22"/>
        </w:rPr>
        <w:t xml:space="preserve"> </w:t>
      </w:r>
      <w:r w:rsidRPr="00C46B5A">
        <w:rPr>
          <w:rFonts w:cs="Calibri"/>
        </w:rPr>
        <w:t>Department for Culture, Media and Sport (2010, July 8)</w:t>
      </w:r>
      <w:r>
        <w:rPr>
          <w:rFonts w:cs="Calibri"/>
        </w:rPr>
        <w:t>,</w:t>
      </w:r>
      <w:r w:rsidRPr="00C46B5A">
        <w:rPr>
          <w:rFonts w:cs="Calibri"/>
        </w:rPr>
        <w:t xml:space="preserve"> </w:t>
      </w:r>
      <w:r w:rsidRPr="00C46B5A">
        <w:rPr>
          <w:rFonts w:cs="Calibri"/>
          <w:i/>
        </w:rPr>
        <w:t>Digital Radio Action Plan Version 1</w:t>
      </w:r>
      <w:r>
        <w:rPr>
          <w:rFonts w:cs="Calibri"/>
        </w:rPr>
        <w:t>,</w:t>
      </w:r>
      <w:r w:rsidRPr="00C46B5A">
        <w:rPr>
          <w:rFonts w:cs="Calibri"/>
        </w:rPr>
        <w:t xml:space="preserve"> </w:t>
      </w:r>
      <w:hyperlink r:id="rId57" w:history="1">
        <w:r>
          <w:rPr>
            <w:rStyle w:val="Hyperlink"/>
            <w:rFonts w:cs="Calibri"/>
          </w:rPr>
          <w:t>UK Government Portal - Digital Radio Action Plan</w:t>
        </w:r>
      </w:hyperlink>
      <w:r>
        <w:rPr>
          <w:rStyle w:val="Hyperlink"/>
          <w:rFonts w:cs="Calibri"/>
        </w:rPr>
        <w:t>.</w:t>
      </w:r>
    </w:p>
  </w:footnote>
  <w:footnote w:id="68">
    <w:p w14:paraId="5AC99F0E" w14:textId="4B0CCBD7"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Department for Culture, Media and Sport (2010, July 8)</w:t>
      </w:r>
      <w:r>
        <w:rPr>
          <w:rFonts w:cs="Calibri"/>
        </w:rPr>
        <w:t>,</w:t>
      </w:r>
      <w:r w:rsidRPr="00C46B5A">
        <w:rPr>
          <w:rFonts w:cs="Calibri"/>
        </w:rPr>
        <w:t xml:space="preserve"> </w:t>
      </w:r>
      <w:r w:rsidRPr="00C46B5A">
        <w:rPr>
          <w:rFonts w:cs="Calibri"/>
          <w:i/>
        </w:rPr>
        <w:t>Digital Radio Action Plan Version 1</w:t>
      </w:r>
      <w:r w:rsidRPr="00C46B5A">
        <w:rPr>
          <w:rFonts w:cs="Calibri"/>
        </w:rPr>
        <w:t xml:space="preserve"> p.2 </w:t>
      </w:r>
      <w:hyperlink r:id="rId58" w:history="1">
        <w:r>
          <w:rPr>
            <w:rStyle w:val="Hyperlink"/>
            <w:rFonts w:cs="Calibri"/>
          </w:rPr>
          <w:t>UK Government Portal - Digital Radio Action Plan</w:t>
        </w:r>
      </w:hyperlink>
      <w:r>
        <w:rPr>
          <w:rStyle w:val="Hyperlink"/>
          <w:rFonts w:cs="Calibri"/>
        </w:rPr>
        <w:t>.</w:t>
      </w:r>
    </w:p>
  </w:footnote>
  <w:footnote w:id="69">
    <w:p w14:paraId="03E7C151" w14:textId="7682A8F8"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Department for Culture, Media &amp; Sport</w:t>
      </w:r>
      <w:r>
        <w:rPr>
          <w:rFonts w:cs="Calibri"/>
        </w:rPr>
        <w:t xml:space="preserve"> </w:t>
      </w:r>
      <w:r w:rsidRPr="00C46B5A">
        <w:rPr>
          <w:rFonts w:cs="Calibri"/>
        </w:rPr>
        <w:t>(2013, December 16)</w:t>
      </w:r>
      <w:r>
        <w:rPr>
          <w:rFonts w:cs="Calibri"/>
        </w:rPr>
        <w:t>,</w:t>
      </w:r>
      <w:r w:rsidRPr="00C46B5A">
        <w:rPr>
          <w:rFonts w:cs="Calibri"/>
        </w:rPr>
        <w:t xml:space="preserve"> </w:t>
      </w:r>
      <w:r w:rsidRPr="00C46B5A">
        <w:rPr>
          <w:rFonts w:cs="Calibri"/>
          <w:i/>
        </w:rPr>
        <w:t>More listeners to get digital radio choice</w:t>
      </w:r>
      <w:r>
        <w:rPr>
          <w:rFonts w:cs="Calibri"/>
        </w:rPr>
        <w:t>,</w:t>
      </w:r>
      <w:r w:rsidRPr="00C46B5A">
        <w:rPr>
          <w:rFonts w:cs="Calibri"/>
        </w:rPr>
        <w:t xml:space="preserve"> </w:t>
      </w:r>
      <w:hyperlink r:id="rId59" w:history="1">
        <w:r>
          <w:rPr>
            <w:rStyle w:val="Hyperlink"/>
            <w:rFonts w:cs="Calibri"/>
          </w:rPr>
          <w:t>UK Government Portal - More Listeners to get Digital Radio Choice</w:t>
        </w:r>
      </w:hyperlink>
      <w:r>
        <w:rPr>
          <w:rStyle w:val="Hyperlink"/>
          <w:rFonts w:cs="Calibri"/>
        </w:rPr>
        <w:t>.</w:t>
      </w:r>
      <w:r w:rsidRPr="00C46B5A">
        <w:rPr>
          <w:rFonts w:cs="Calibri"/>
        </w:rPr>
        <w:t xml:space="preserve"> </w:t>
      </w:r>
    </w:p>
  </w:footnote>
  <w:footnote w:id="70">
    <w:p w14:paraId="6CF0031C" w14:textId="0D993166" w:rsidR="0087153B" w:rsidRDefault="0087153B">
      <w:pPr>
        <w:pStyle w:val="FootnoteText"/>
      </w:pPr>
      <w:r>
        <w:rPr>
          <w:rStyle w:val="FootnoteReference"/>
        </w:rPr>
        <w:footnoteRef/>
      </w:r>
      <w:r>
        <w:t xml:space="preserve"> Department for Culture, Media &amp; Sport (2015, January 9), </w:t>
      </w:r>
      <w:r w:rsidRPr="00DD7EB8">
        <w:rPr>
          <w:i/>
        </w:rPr>
        <w:t xml:space="preserve">Framework agreement </w:t>
      </w:r>
      <w:r>
        <w:rPr>
          <w:i/>
        </w:rPr>
        <w:t xml:space="preserve">on </w:t>
      </w:r>
      <w:r w:rsidRPr="00DD7EB8">
        <w:rPr>
          <w:i/>
        </w:rPr>
        <w:t>local DAB expansion 2015-16</w:t>
      </w:r>
      <w:r>
        <w:t xml:space="preserve">, </w:t>
      </w:r>
      <w:hyperlink r:id="rId60" w:history="1">
        <w:r w:rsidRPr="00F40F00">
          <w:rPr>
            <w:rStyle w:val="Hyperlink"/>
          </w:rPr>
          <w:t>UK Agreement expand DAB transmitter network</w:t>
        </w:r>
      </w:hyperlink>
      <w:r>
        <w:rPr>
          <w:rStyle w:val="Hyperlink"/>
        </w:rPr>
        <w:t>.</w:t>
      </w:r>
      <w:r>
        <w:t xml:space="preserve"> </w:t>
      </w:r>
    </w:p>
  </w:footnote>
  <w:footnote w:id="71">
    <w:p w14:paraId="4EB43C56" w14:textId="20E52A99"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w:t>
      </w:r>
      <w:r>
        <w:rPr>
          <w:rFonts w:cs="Calibri"/>
        </w:rPr>
        <w:t>Department for Culture, Media &amp; Sport</w:t>
      </w:r>
      <w:r w:rsidRPr="00C46B5A">
        <w:rPr>
          <w:rFonts w:cs="Calibri"/>
        </w:rPr>
        <w:t xml:space="preserve"> (</w:t>
      </w:r>
      <w:r>
        <w:rPr>
          <w:rFonts w:cs="Calibri"/>
        </w:rPr>
        <w:t>2014, January 9</w:t>
      </w:r>
      <w:r w:rsidRPr="00C46B5A">
        <w:rPr>
          <w:rFonts w:cs="Calibri"/>
        </w:rPr>
        <w:t>)</w:t>
      </w:r>
      <w:r>
        <w:rPr>
          <w:rFonts w:cs="Calibri"/>
        </w:rPr>
        <w:t>,</w:t>
      </w:r>
      <w:r w:rsidRPr="00C46B5A">
        <w:rPr>
          <w:rFonts w:cs="Calibri"/>
        </w:rPr>
        <w:t xml:space="preserve"> </w:t>
      </w:r>
      <w:r w:rsidRPr="00DE1AF8">
        <w:rPr>
          <w:rFonts w:cs="Calibri"/>
          <w:i/>
        </w:rPr>
        <w:t>Digital Radio Action Plan Version 10</w:t>
      </w:r>
      <w:r>
        <w:rPr>
          <w:rFonts w:cs="Calibri"/>
        </w:rPr>
        <w:t xml:space="preserve"> p.1 </w:t>
      </w:r>
      <w:hyperlink r:id="rId61" w:history="1">
        <w:r>
          <w:rPr>
            <w:rStyle w:val="Hyperlink"/>
            <w:rFonts w:cs="Calibri"/>
          </w:rPr>
          <w:t>UK Government Portal - Digital Radio Action Plan</w:t>
        </w:r>
      </w:hyperlink>
      <w:r>
        <w:rPr>
          <w:rStyle w:val="Hyperlink"/>
          <w:rFonts w:cs="Calibri"/>
        </w:rPr>
        <w:t>.</w:t>
      </w:r>
    </w:p>
  </w:footnote>
  <w:footnote w:id="72">
    <w:p w14:paraId="7D06E475" w14:textId="1DA61D9C" w:rsidR="0087153B" w:rsidRDefault="0087153B" w:rsidP="005077CA">
      <w:pPr>
        <w:pStyle w:val="FootnoteText"/>
        <w:rPr>
          <w:rStyle w:val="Hyperlink"/>
          <w:rFonts w:cs="Calibri"/>
        </w:rPr>
      </w:pPr>
      <w:r w:rsidRPr="00C46B5A">
        <w:rPr>
          <w:rStyle w:val="FootnoteReference"/>
          <w:rFonts w:cs="Calibri"/>
        </w:rPr>
        <w:footnoteRef/>
      </w:r>
      <w:r w:rsidRPr="00C46B5A">
        <w:rPr>
          <w:rFonts w:cs="Calibri"/>
        </w:rPr>
        <w:t xml:space="preserve"> Eureka (2014) </w:t>
      </w:r>
      <w:r w:rsidRPr="00C46B5A">
        <w:rPr>
          <w:rFonts w:cs="Calibri"/>
          <w:i/>
        </w:rPr>
        <w:t xml:space="preserve">Challenges and opportunities offered by the connected car, </w:t>
      </w:r>
      <w:hyperlink r:id="rId62" w:history="1">
        <w:r>
          <w:rPr>
            <w:rStyle w:val="Hyperlink"/>
            <w:rFonts w:cs="Calibri"/>
          </w:rPr>
          <w:t>Eureka Article - Challenges and Opportunities offered by the Connected Car</w:t>
        </w:r>
      </w:hyperlink>
      <w:r>
        <w:rPr>
          <w:rStyle w:val="Hyperlink"/>
          <w:rFonts w:cs="Calibri"/>
        </w:rPr>
        <w:t>.</w:t>
      </w:r>
    </w:p>
    <w:p w14:paraId="3703C959" w14:textId="77777777" w:rsidR="0087153B" w:rsidRPr="003D30E0" w:rsidRDefault="0087153B" w:rsidP="005077CA">
      <w:pPr>
        <w:pStyle w:val="FootnoteText"/>
        <w:rPr>
          <w:rFonts w:cs="Calibri"/>
          <w:color w:val="006DFF"/>
          <w:u w:val="single"/>
        </w:rPr>
      </w:pPr>
    </w:p>
  </w:footnote>
  <w:footnote w:id="73">
    <w:p w14:paraId="6654F024" w14:textId="08CA9DAD" w:rsidR="0087153B" w:rsidRPr="001D198A" w:rsidRDefault="0087153B" w:rsidP="005077CA">
      <w:pPr>
        <w:pStyle w:val="FootnoteText"/>
        <w:spacing w:before="0"/>
        <w:rPr>
          <w:rFonts w:ascii="Times New Roman" w:hAnsi="Times New Roman" w:cs="Times New Roman"/>
          <w:sz w:val="22"/>
          <w:szCs w:val="22"/>
        </w:rPr>
      </w:pPr>
      <w:r w:rsidRPr="00C46B5A">
        <w:rPr>
          <w:rStyle w:val="FootnoteReference"/>
          <w:rFonts w:cs="Calibri"/>
        </w:rPr>
        <w:footnoteRef/>
      </w:r>
      <w:r w:rsidRPr="00C46B5A">
        <w:rPr>
          <w:rFonts w:cs="Calibri"/>
        </w:rPr>
        <w:t xml:space="preserve"> Eureka (2014) </w:t>
      </w:r>
      <w:r w:rsidRPr="00C46B5A">
        <w:rPr>
          <w:rFonts w:cs="Calibri"/>
          <w:i/>
        </w:rPr>
        <w:t xml:space="preserve">Challenges and opportunities offered by the connected car, </w:t>
      </w:r>
      <w:hyperlink r:id="rId63" w:history="1">
        <w:r w:rsidRPr="00FF56EB">
          <w:rPr>
            <w:rStyle w:val="Hyperlink"/>
            <w:rFonts w:cs="Calibri"/>
          </w:rPr>
          <w:t>Eureka Article - Challenges and Opportunities</w:t>
        </w:r>
        <w:r>
          <w:rPr>
            <w:rStyle w:val="Hyperlink"/>
            <w:rFonts w:cs="Calibri"/>
          </w:rPr>
          <w:t>.</w:t>
        </w:r>
        <w:r w:rsidRPr="00FF56EB">
          <w:rPr>
            <w:rStyle w:val="Hyperlink"/>
            <w:rFonts w:cs="Calibri"/>
          </w:rPr>
          <w:t xml:space="preserve"> </w:t>
        </w:r>
      </w:hyperlink>
    </w:p>
  </w:footnote>
  <w:footnote w:id="74">
    <w:p w14:paraId="638D9115" w14:textId="4C58773A" w:rsidR="0087153B" w:rsidRDefault="0087153B" w:rsidP="005077CA">
      <w:pPr>
        <w:pStyle w:val="FootnoteText"/>
      </w:pPr>
      <w:r>
        <w:rPr>
          <w:rStyle w:val="FootnoteReference"/>
        </w:rPr>
        <w:footnoteRef/>
      </w:r>
      <w:r>
        <w:t xml:space="preserve"> </w:t>
      </w:r>
      <w:r>
        <w:rPr>
          <w:rFonts w:cs="Calibri"/>
        </w:rPr>
        <w:t>Department for Culture, Media &amp; Sport</w:t>
      </w:r>
      <w:r w:rsidRPr="00C46B5A">
        <w:rPr>
          <w:rFonts w:cs="Calibri"/>
        </w:rPr>
        <w:t xml:space="preserve"> (</w:t>
      </w:r>
      <w:r>
        <w:rPr>
          <w:rFonts w:cs="Calibri"/>
        </w:rPr>
        <w:t>2014, January 9</w:t>
      </w:r>
      <w:r w:rsidRPr="00C46B5A">
        <w:rPr>
          <w:rFonts w:cs="Calibri"/>
        </w:rPr>
        <w:t>)</w:t>
      </w:r>
      <w:r>
        <w:rPr>
          <w:rFonts w:cs="Calibri"/>
        </w:rPr>
        <w:t>,</w:t>
      </w:r>
      <w:r w:rsidRPr="00C46B5A">
        <w:rPr>
          <w:rFonts w:cs="Calibri"/>
        </w:rPr>
        <w:t xml:space="preserve"> </w:t>
      </w:r>
      <w:r w:rsidRPr="00DE1AF8">
        <w:rPr>
          <w:rFonts w:cs="Calibri"/>
          <w:i/>
        </w:rPr>
        <w:t>Digital Radio Action Plan Version 10</w:t>
      </w:r>
      <w:r>
        <w:rPr>
          <w:rFonts w:cs="Calibri"/>
        </w:rPr>
        <w:t xml:space="preserve"> p.3 </w:t>
      </w:r>
      <w:hyperlink r:id="rId64" w:history="1">
        <w:r>
          <w:rPr>
            <w:rStyle w:val="Hyperlink"/>
            <w:rFonts w:cs="Calibri"/>
          </w:rPr>
          <w:t>UK Government Portal - Digital Radio Action Plan</w:t>
        </w:r>
      </w:hyperlink>
      <w:r>
        <w:rPr>
          <w:rStyle w:val="Hyperlink"/>
          <w:rFonts w:cs="Calibri"/>
        </w:rPr>
        <w:t>.</w:t>
      </w:r>
    </w:p>
  </w:footnote>
  <w:footnote w:id="75">
    <w:p w14:paraId="4903C412" w14:textId="56D34F91" w:rsidR="0087153B" w:rsidRDefault="0087153B" w:rsidP="005077CA">
      <w:pPr>
        <w:pStyle w:val="FootnoteText"/>
      </w:pPr>
      <w:r>
        <w:rPr>
          <w:rStyle w:val="FootnoteReference"/>
        </w:rPr>
        <w:footnoteRef/>
      </w:r>
      <w:r>
        <w:t xml:space="preserve"> Norwegian Ministry of Culture (2015, April 16), </w:t>
      </w:r>
      <w:r w:rsidRPr="003D30E0">
        <w:rPr>
          <w:i/>
        </w:rPr>
        <w:t>Radio Digitisation in 2017</w:t>
      </w:r>
      <w:r>
        <w:t xml:space="preserve">, Press Release, </w:t>
      </w:r>
      <w:hyperlink r:id="rId65" w:history="1">
        <w:r w:rsidRPr="00BB1CA0">
          <w:rPr>
            <w:rStyle w:val="Hyperlink"/>
          </w:rPr>
          <w:t>Norwegian Government Press Press Release</w:t>
        </w:r>
        <w:r>
          <w:rPr>
            <w:rStyle w:val="Hyperlink"/>
          </w:rPr>
          <w:t>.</w:t>
        </w:r>
        <w:r w:rsidRPr="00BB1CA0">
          <w:rPr>
            <w:rStyle w:val="Hyperlink"/>
          </w:rPr>
          <w:t xml:space="preserve"> </w:t>
        </w:r>
      </w:hyperlink>
    </w:p>
  </w:footnote>
  <w:footnote w:id="76">
    <w:p w14:paraId="69A165E6" w14:textId="2D068AF6" w:rsidR="0087153B" w:rsidRDefault="0087153B">
      <w:pPr>
        <w:pStyle w:val="FootnoteText"/>
      </w:pPr>
      <w:r>
        <w:rPr>
          <w:rStyle w:val="FootnoteReference"/>
        </w:rPr>
        <w:footnoteRef/>
      </w:r>
      <w:r>
        <w:t xml:space="preserve"> Hagerup, Av Mari (2015, April 16), </w:t>
      </w:r>
      <w:r w:rsidRPr="003D30E0">
        <w:rPr>
          <w:i/>
        </w:rPr>
        <w:t>Norway to Switch off FM in 2017</w:t>
      </w:r>
      <w:r>
        <w:t xml:space="preserve">, Radio Norway Media article </w:t>
      </w:r>
      <w:hyperlink r:id="rId66" w:history="1">
        <w:r w:rsidRPr="003E041E">
          <w:rPr>
            <w:rStyle w:val="Hyperlink"/>
          </w:rPr>
          <w:t>Radio No article</w:t>
        </w:r>
      </w:hyperlink>
      <w:r>
        <w:rPr>
          <w:rStyle w:val="Hyperlink"/>
        </w:rPr>
        <w:t>.</w:t>
      </w:r>
    </w:p>
  </w:footnote>
  <w:footnote w:id="77">
    <w:p w14:paraId="7636905B" w14:textId="38716EDC"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w:t>
      </w:r>
      <w:r>
        <w:t xml:space="preserve">Hagerup, Av Mari (2015, April 16), </w:t>
      </w:r>
      <w:r w:rsidRPr="003D30E0">
        <w:rPr>
          <w:i/>
        </w:rPr>
        <w:t>Norway to Switch off FM in 2017</w:t>
      </w:r>
      <w:r>
        <w:t xml:space="preserve"> Radio Norway Media article </w:t>
      </w:r>
      <w:hyperlink r:id="rId67" w:history="1">
        <w:r w:rsidRPr="003E041E">
          <w:rPr>
            <w:rStyle w:val="Hyperlink"/>
          </w:rPr>
          <w:t>Radio No article</w:t>
        </w:r>
      </w:hyperlink>
      <w:r>
        <w:t xml:space="preserve">; </w:t>
      </w:r>
      <w:r w:rsidRPr="00C46B5A">
        <w:rPr>
          <w:rFonts w:cs="Calibri"/>
        </w:rPr>
        <w:t>World DMB (2014, May 9)</w:t>
      </w:r>
      <w:r>
        <w:rPr>
          <w:rFonts w:cs="Calibri"/>
        </w:rPr>
        <w:t>,</w:t>
      </w:r>
      <w:r w:rsidRPr="00C46B5A">
        <w:rPr>
          <w:rFonts w:cs="Calibri"/>
        </w:rPr>
        <w:t xml:space="preserve"> </w:t>
      </w:r>
      <w:r w:rsidRPr="00C46B5A">
        <w:rPr>
          <w:rFonts w:cs="Calibri"/>
          <w:i/>
        </w:rPr>
        <w:t>Norway</w:t>
      </w:r>
      <w:r w:rsidRPr="00C46B5A">
        <w:rPr>
          <w:rFonts w:cs="Calibri"/>
        </w:rPr>
        <w:t xml:space="preserve"> </w:t>
      </w:r>
      <w:hyperlink r:id="rId68" w:history="1">
        <w:r>
          <w:rPr>
            <w:rStyle w:val="Hyperlink"/>
            <w:rFonts w:cs="Calibri"/>
          </w:rPr>
          <w:t>World DAB - Digital Radio in Norway</w:t>
        </w:r>
      </w:hyperlink>
      <w:r>
        <w:rPr>
          <w:rStyle w:val="Hyperlink"/>
          <w:rFonts w:cs="Calibri"/>
        </w:rPr>
        <w:t>.</w:t>
      </w:r>
    </w:p>
  </w:footnote>
  <w:footnote w:id="78">
    <w:p w14:paraId="264CF5F6" w14:textId="66517595"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Friedl, G., Schäfer, P, &amp; Scheubel, C. (2014)</w:t>
      </w:r>
      <w:r>
        <w:rPr>
          <w:rFonts w:cs="Calibri"/>
        </w:rPr>
        <w:t>,</w:t>
      </w:r>
      <w:r w:rsidRPr="00C46B5A">
        <w:rPr>
          <w:rFonts w:cs="Calibri"/>
        </w:rPr>
        <w:t xml:space="preserve"> </w:t>
      </w:r>
      <w:r w:rsidRPr="00411B1B">
        <w:rPr>
          <w:rFonts w:cs="Calibri"/>
          <w:i/>
        </w:rPr>
        <w:t>broadcast or broadband? On the future of terrestrial radio supply</w:t>
      </w:r>
      <w:r w:rsidRPr="00C46B5A">
        <w:rPr>
          <w:rFonts w:cs="Calibri"/>
        </w:rPr>
        <w:t>, p.13.</w:t>
      </w:r>
    </w:p>
  </w:footnote>
  <w:footnote w:id="79">
    <w:p w14:paraId="71849E6E" w14:textId="77A087DC" w:rsidR="0087153B" w:rsidRDefault="0087153B" w:rsidP="005077CA">
      <w:pPr>
        <w:pStyle w:val="FootnoteText"/>
      </w:pPr>
      <w:r w:rsidRPr="00C46B5A">
        <w:rPr>
          <w:rStyle w:val="FootnoteReference"/>
          <w:rFonts w:cs="Calibri"/>
        </w:rPr>
        <w:footnoteRef/>
      </w:r>
      <w:r w:rsidRPr="00C46B5A">
        <w:rPr>
          <w:rFonts w:cs="Calibri"/>
        </w:rPr>
        <w:t xml:space="preserve"> Friedl, G., Schäfer, P, &amp; Scheubel, C. (2014)</w:t>
      </w:r>
      <w:r>
        <w:rPr>
          <w:rFonts w:cs="Calibri"/>
        </w:rPr>
        <w:t>,</w:t>
      </w:r>
      <w:r w:rsidRPr="00C46B5A">
        <w:rPr>
          <w:rFonts w:cs="Calibri"/>
        </w:rPr>
        <w:t xml:space="preserve"> </w:t>
      </w:r>
      <w:r w:rsidRPr="00C265D8">
        <w:rPr>
          <w:rFonts w:cs="Calibri"/>
          <w:i/>
        </w:rPr>
        <w:t>broadcast or broadband? On the future of terrestrial radio supply</w:t>
      </w:r>
      <w:r>
        <w:rPr>
          <w:rFonts w:cs="Calibri"/>
          <w:i/>
        </w:rPr>
        <w:t xml:space="preserve">, </w:t>
      </w:r>
      <w:r w:rsidRPr="008A574F">
        <w:rPr>
          <w:rFonts w:cs="Calibri"/>
        </w:rPr>
        <w:t>p.28</w:t>
      </w:r>
      <w:r w:rsidRPr="00C46B5A">
        <w:rPr>
          <w:rFonts w:cs="Calibri"/>
        </w:rPr>
        <w:t>.</w:t>
      </w:r>
    </w:p>
  </w:footnote>
  <w:footnote w:id="80">
    <w:p w14:paraId="07BEC76B" w14:textId="696327CB" w:rsidR="0087153B" w:rsidRPr="00C46B5A" w:rsidRDefault="0087153B" w:rsidP="005077CA">
      <w:pPr>
        <w:pStyle w:val="FootnoteText"/>
      </w:pPr>
      <w:r>
        <w:rPr>
          <w:rStyle w:val="FootnoteReference"/>
        </w:rPr>
        <w:footnoteRef/>
      </w:r>
      <w:r>
        <w:t xml:space="preserve"> Commercial Radio Australia </w:t>
      </w:r>
      <w:r w:rsidRPr="00C46B5A">
        <w:t>(2014, February)</w:t>
      </w:r>
      <w:r>
        <w:t>,</w:t>
      </w:r>
      <w:r w:rsidRPr="00C46B5A">
        <w:t xml:space="preserve"> </w:t>
      </w:r>
      <w:r w:rsidRPr="00C46B5A">
        <w:rPr>
          <w:rFonts w:asciiTheme="minorHAnsi" w:hAnsiTheme="minorHAnsi" w:cstheme="minorHAnsi"/>
          <w:i/>
        </w:rPr>
        <w:t>Commercial Radio Australia</w:t>
      </w:r>
      <w:r w:rsidRPr="00C46B5A">
        <w:rPr>
          <w:i/>
        </w:rPr>
        <w:t xml:space="preserve"> submission to digital radio review</w:t>
      </w:r>
      <w:r w:rsidRPr="00C46B5A">
        <w:t xml:space="preserve">, p.5 </w:t>
      </w:r>
      <w:hyperlink r:id="rId69"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81">
    <w:p w14:paraId="3CF50540" w14:textId="06EBD49A" w:rsidR="0087153B" w:rsidRPr="00C46B5A" w:rsidRDefault="0087153B" w:rsidP="005077CA">
      <w:pPr>
        <w:pStyle w:val="FootnoteText"/>
      </w:pPr>
      <w:r w:rsidRPr="00C46B5A">
        <w:rPr>
          <w:rStyle w:val="FootnoteReference"/>
        </w:rPr>
        <w:footnoteRef/>
      </w:r>
      <w:r>
        <w:t xml:space="preserve"> Campaign Brief (2013, March 18),</w:t>
      </w:r>
      <w:r w:rsidRPr="00C46B5A">
        <w:t xml:space="preserve"> </w:t>
      </w:r>
      <w:r w:rsidRPr="003D30E0">
        <w:rPr>
          <w:i/>
        </w:rPr>
        <w:t>Commercial Radio Australia launches ‘We want digital radio’ regional awareness campaign</w:t>
      </w:r>
      <w:r w:rsidRPr="00C46B5A">
        <w:t xml:space="preserve"> (2013, March 18)</w:t>
      </w:r>
      <w:r>
        <w:t>,</w:t>
      </w:r>
      <w:r w:rsidRPr="00C46B5A">
        <w:t xml:space="preserve"> </w:t>
      </w:r>
      <w:hyperlink r:id="rId70" w:history="1">
        <w:r>
          <w:rPr>
            <w:rStyle w:val="Hyperlink"/>
          </w:rPr>
          <w:t>Campaign Brief Article</w:t>
        </w:r>
      </w:hyperlink>
      <w:r>
        <w:rPr>
          <w:rStyle w:val="Hyperlink"/>
        </w:rPr>
        <w:t>.</w:t>
      </w:r>
    </w:p>
  </w:footnote>
  <w:footnote w:id="82">
    <w:p w14:paraId="1ED736A1" w14:textId="03FB6913" w:rsidR="0087153B" w:rsidRDefault="0087153B" w:rsidP="005077CA">
      <w:pPr>
        <w:pStyle w:val="FootnoteText"/>
      </w:pPr>
      <w:r w:rsidRPr="00C46B5A">
        <w:rPr>
          <w:rStyle w:val="FootnoteReference"/>
        </w:rPr>
        <w:footnoteRef/>
      </w:r>
      <w:r w:rsidRPr="00C46B5A">
        <w:t xml:space="preserve"> </w:t>
      </w:r>
      <w:r>
        <w:t>Commercial Radio Australia</w:t>
      </w:r>
      <w:r w:rsidRPr="00C46B5A">
        <w:t xml:space="preserve"> (2014, February)</w:t>
      </w:r>
      <w:r>
        <w:t>,</w:t>
      </w:r>
      <w:r w:rsidRPr="00C46B5A">
        <w:t xml:space="preserve"> </w:t>
      </w:r>
      <w:r w:rsidRPr="00C46B5A">
        <w:rPr>
          <w:rFonts w:asciiTheme="minorHAnsi" w:hAnsiTheme="minorHAnsi" w:cstheme="minorHAnsi"/>
          <w:i/>
        </w:rPr>
        <w:t>Commercial Radio Australia</w:t>
      </w:r>
      <w:r w:rsidRPr="00C46B5A">
        <w:rPr>
          <w:i/>
        </w:rPr>
        <w:t xml:space="preserve"> submission to digital radio review</w:t>
      </w:r>
      <w:r w:rsidRPr="00C46B5A">
        <w:t xml:space="preserve">, p.32 </w:t>
      </w:r>
      <w:hyperlink r:id="rId71"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83">
    <w:p w14:paraId="52B622A9" w14:textId="77777777" w:rsidR="0087153B" w:rsidRDefault="0087153B" w:rsidP="005077CA">
      <w:pPr>
        <w:pStyle w:val="FootnoteText"/>
      </w:pPr>
      <w:r>
        <w:rPr>
          <w:rStyle w:val="FootnoteReference"/>
        </w:rPr>
        <w:footnoteRef/>
      </w:r>
      <w:r>
        <w:t xml:space="preserve"> Section 118NR of the </w:t>
      </w:r>
      <w:r w:rsidRPr="00C41741">
        <w:t>Radiocommunications Act</w:t>
      </w:r>
      <w:r>
        <w:t>.</w:t>
      </w:r>
    </w:p>
  </w:footnote>
  <w:footnote w:id="84">
    <w:p w14:paraId="305C8F07" w14:textId="66BD2A4F" w:rsidR="0087153B" w:rsidRPr="00C46B5A" w:rsidRDefault="0087153B" w:rsidP="005077CA">
      <w:pPr>
        <w:pStyle w:val="FootnoteText"/>
      </w:pPr>
      <w:r>
        <w:rPr>
          <w:rStyle w:val="FootnoteReference"/>
        </w:rPr>
        <w:footnoteRef/>
      </w:r>
      <w:r>
        <w:t xml:space="preserve"> Community Broadcasting Association of Australia </w:t>
      </w:r>
      <w:r w:rsidRPr="00C46B5A">
        <w:t>(2014, February)</w:t>
      </w:r>
      <w:r>
        <w:t>,</w:t>
      </w:r>
      <w:r w:rsidRPr="00C46B5A">
        <w:t xml:space="preserve"> </w:t>
      </w:r>
      <w:r w:rsidRPr="00C46B5A">
        <w:rPr>
          <w:i/>
        </w:rPr>
        <w:t>Community Broadcasting Association of Australia submission to digital radio review</w:t>
      </w:r>
      <w:r w:rsidRPr="00C46B5A">
        <w:t xml:space="preserve">, p.3 </w:t>
      </w:r>
      <w:hyperlink r:id="rId72"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85">
    <w:p w14:paraId="69E7CD04" w14:textId="70176B16" w:rsidR="0087153B" w:rsidRPr="00C46B5A" w:rsidRDefault="0087153B" w:rsidP="005077CA">
      <w:pPr>
        <w:pStyle w:val="FootnoteText"/>
      </w:pPr>
      <w:r w:rsidRPr="00C46B5A">
        <w:rPr>
          <w:rStyle w:val="FootnoteReference"/>
        </w:rPr>
        <w:footnoteRef/>
      </w:r>
      <w:r w:rsidRPr="00C46B5A">
        <w:t xml:space="preserve"> </w:t>
      </w:r>
      <w:r>
        <w:t>Community Broadcasting Association of Australia</w:t>
      </w:r>
      <w:r w:rsidRPr="00C46B5A">
        <w:t>.</w:t>
      </w:r>
      <w:r>
        <w:t xml:space="preserve"> </w:t>
      </w:r>
      <w:r w:rsidRPr="00C46B5A">
        <w:t xml:space="preserve">(2014, February). </w:t>
      </w:r>
      <w:r w:rsidRPr="00C46B5A">
        <w:rPr>
          <w:i/>
        </w:rPr>
        <w:t>Community Broadcasting Association of Australia submission to digital radio review</w:t>
      </w:r>
      <w:r w:rsidRPr="00C46B5A">
        <w:t xml:space="preserve">, pp. 17, 35 </w:t>
      </w:r>
      <w:hyperlink r:id="rId73"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86">
    <w:p w14:paraId="7CB10B9C" w14:textId="18BB0CFD" w:rsidR="0087153B" w:rsidRDefault="0087153B" w:rsidP="00AB0731">
      <w:pPr>
        <w:pStyle w:val="FootnoteText"/>
      </w:pPr>
      <w:r>
        <w:rPr>
          <w:rStyle w:val="FootnoteReference"/>
        </w:rPr>
        <w:footnoteRef/>
      </w:r>
      <w:r>
        <w:t xml:space="preserve"> Australian Communications and Media Authority (2013, August), </w:t>
      </w:r>
      <w:r w:rsidRPr="003D30E0">
        <w:rPr>
          <w:i/>
        </w:rPr>
        <w:t>Canberra and Darwin digital radio trials extended</w:t>
      </w:r>
      <w:r>
        <w:t xml:space="preserve">, ACMA Media Release, </w:t>
      </w:r>
      <w:hyperlink r:id="rId74" w:history="1">
        <w:r w:rsidRPr="00FB595B">
          <w:rPr>
            <w:rStyle w:val="Hyperlink"/>
          </w:rPr>
          <w:t>ACMA 2013 Media release</w:t>
        </w:r>
      </w:hyperlink>
      <w:r>
        <w:rPr>
          <w:rStyle w:val="Hyperlink"/>
        </w:rPr>
        <w:t>;</w:t>
      </w:r>
      <w:r>
        <w:t xml:space="preserve"> </w:t>
      </w:r>
      <w:r>
        <w:rPr>
          <w:rFonts w:cs="Calibri"/>
        </w:rPr>
        <w:t xml:space="preserve">Commercial Radio Australia </w:t>
      </w:r>
      <w:r w:rsidRPr="00C46B5A">
        <w:rPr>
          <w:rFonts w:cs="Calibri"/>
        </w:rPr>
        <w:t>(2014, February)</w:t>
      </w:r>
      <w:r>
        <w:rPr>
          <w:rFonts w:cs="Calibri"/>
        </w:rPr>
        <w:t>,</w:t>
      </w:r>
      <w:r w:rsidRPr="00C46B5A">
        <w:rPr>
          <w:rFonts w:cs="Calibri"/>
        </w:rPr>
        <w:t xml:space="preserve"> </w:t>
      </w:r>
      <w:r w:rsidRPr="00C46B5A">
        <w:rPr>
          <w:rFonts w:cs="Calibri"/>
          <w:i/>
        </w:rPr>
        <w:t>Commercial Radio Australia submission to digital radio review</w:t>
      </w:r>
      <w:r w:rsidRPr="00C46B5A">
        <w:rPr>
          <w:rFonts w:cs="Calibri"/>
        </w:rPr>
        <w:t>, p</w:t>
      </w:r>
      <w:r>
        <w:rPr>
          <w:rFonts w:cs="Calibri"/>
        </w:rPr>
        <w:t>p</w:t>
      </w:r>
      <w:r w:rsidRPr="00C46B5A">
        <w:rPr>
          <w:rFonts w:cs="Calibri"/>
        </w:rPr>
        <w:t>.</w:t>
      </w:r>
      <w:r>
        <w:rPr>
          <w:rFonts w:cs="Calibri"/>
        </w:rPr>
        <w:t>31</w:t>
      </w:r>
      <w:r w:rsidRPr="00C46B5A">
        <w:rPr>
          <w:rFonts w:cs="Calibri"/>
        </w:rPr>
        <w:t xml:space="preserve"> </w:t>
      </w:r>
      <w:hyperlink r:id="rId75" w:history="1">
        <w:r>
          <w:rPr>
            <w:rStyle w:val="Hyperlink"/>
            <w:rFonts w:cs="Calibri"/>
          </w:rPr>
          <w:t>Digital Radio Review Submissions</w:t>
        </w:r>
      </w:hyperlink>
      <w:r>
        <w:rPr>
          <w:rStyle w:val="Hyperlink"/>
          <w:rFonts w:cs="Calibri"/>
        </w:rPr>
        <w:t>.</w:t>
      </w:r>
    </w:p>
  </w:footnote>
  <w:footnote w:id="87">
    <w:p w14:paraId="2F1754DC" w14:textId="050F2917" w:rsidR="0087153B" w:rsidRDefault="0087153B">
      <w:pPr>
        <w:pStyle w:val="FootnoteText"/>
      </w:pPr>
      <w:r>
        <w:rPr>
          <w:rStyle w:val="FootnoteReference"/>
        </w:rPr>
        <w:footnoteRef/>
      </w:r>
      <w:r>
        <w:t xml:space="preserve"> </w:t>
      </w:r>
      <w:r>
        <w:rPr>
          <w:rFonts w:cs="Calibri"/>
        </w:rPr>
        <w:t xml:space="preserve">Commercial Radio Australia </w:t>
      </w:r>
      <w:r w:rsidRPr="00C46B5A">
        <w:rPr>
          <w:rFonts w:cs="Calibri"/>
        </w:rPr>
        <w:t>(2014, February)</w:t>
      </w:r>
      <w:r>
        <w:rPr>
          <w:rFonts w:cs="Calibri"/>
        </w:rPr>
        <w:t>,</w:t>
      </w:r>
      <w:r w:rsidRPr="00C46B5A">
        <w:rPr>
          <w:rFonts w:cs="Calibri"/>
        </w:rPr>
        <w:t xml:space="preserve"> </w:t>
      </w:r>
      <w:r w:rsidRPr="00C46B5A">
        <w:rPr>
          <w:rFonts w:cs="Calibri"/>
          <w:i/>
        </w:rPr>
        <w:t>Commercial Radio Australia submission to digital radio review</w:t>
      </w:r>
      <w:r w:rsidRPr="00C46B5A">
        <w:rPr>
          <w:rFonts w:cs="Calibri"/>
        </w:rPr>
        <w:t>, p</w:t>
      </w:r>
      <w:r>
        <w:rPr>
          <w:rFonts w:cs="Calibri"/>
        </w:rPr>
        <w:t>p</w:t>
      </w:r>
      <w:r w:rsidRPr="00C46B5A">
        <w:rPr>
          <w:rFonts w:cs="Calibri"/>
        </w:rPr>
        <w:t xml:space="preserve">. </w:t>
      </w:r>
      <w:r>
        <w:rPr>
          <w:rFonts w:cs="Calibri"/>
        </w:rPr>
        <w:t>4, 10</w:t>
      </w:r>
      <w:r w:rsidRPr="00C46B5A">
        <w:rPr>
          <w:rFonts w:cs="Calibri"/>
        </w:rPr>
        <w:t xml:space="preserve"> </w:t>
      </w:r>
      <w:hyperlink r:id="rId76" w:history="1">
        <w:r>
          <w:rPr>
            <w:rStyle w:val="Hyperlink"/>
            <w:rFonts w:cs="Calibri"/>
          </w:rPr>
          <w:t>Digital Radio Review Submissions</w:t>
        </w:r>
      </w:hyperlink>
      <w:r>
        <w:rPr>
          <w:rStyle w:val="Hyperlink"/>
          <w:rFonts w:cs="Calibri"/>
        </w:rPr>
        <w:t>.</w:t>
      </w:r>
    </w:p>
  </w:footnote>
  <w:footnote w:id="88">
    <w:p w14:paraId="26A865D3" w14:textId="2B85B532" w:rsidR="0087153B" w:rsidRPr="00C46B5A" w:rsidRDefault="0087153B" w:rsidP="005077CA">
      <w:pPr>
        <w:pStyle w:val="FootnoteText"/>
      </w:pPr>
      <w:r w:rsidRPr="00C46B5A">
        <w:rPr>
          <w:rStyle w:val="FootnoteReference"/>
        </w:rPr>
        <w:footnoteRef/>
      </w:r>
      <w:r w:rsidRPr="00C46B5A">
        <w:t xml:space="preserve"> </w:t>
      </w:r>
      <w:r>
        <w:rPr>
          <w:rFonts w:asciiTheme="minorHAnsi" w:hAnsiTheme="minorHAnsi" w:cstheme="minorHAnsi"/>
        </w:rPr>
        <w:t>Australian Broadcasting Corporation</w:t>
      </w:r>
      <w:r w:rsidRPr="00C46B5A">
        <w:rPr>
          <w:rFonts w:asciiTheme="minorHAnsi" w:hAnsiTheme="minorHAnsi" w:cstheme="minorHAnsi"/>
        </w:rPr>
        <w:t xml:space="preserve"> (2014, February)</w:t>
      </w:r>
      <w:r>
        <w:rPr>
          <w:rFonts w:asciiTheme="minorHAnsi" w:hAnsiTheme="minorHAnsi" w:cstheme="minorHAnsi"/>
        </w:rPr>
        <w:t>,</w:t>
      </w:r>
      <w:r w:rsidRPr="00C46B5A">
        <w:rPr>
          <w:rFonts w:asciiTheme="minorHAnsi" w:hAnsiTheme="minorHAnsi" w:cstheme="minorHAnsi"/>
        </w:rPr>
        <w:t xml:space="preserve"> </w:t>
      </w:r>
      <w:r w:rsidRPr="00C46B5A">
        <w:rPr>
          <w:rFonts w:asciiTheme="minorHAnsi" w:hAnsiTheme="minorHAnsi" w:cstheme="minorHAnsi"/>
          <w:i/>
        </w:rPr>
        <w:t>ABC submission to digital radio review</w:t>
      </w:r>
      <w:r w:rsidRPr="00C46B5A">
        <w:rPr>
          <w:rFonts w:asciiTheme="minorHAnsi" w:hAnsiTheme="minorHAnsi" w:cstheme="minorHAnsi"/>
        </w:rPr>
        <w:t xml:space="preserve">, p.9 </w:t>
      </w:r>
      <w:r w:rsidRPr="00C46B5A">
        <w:rPr>
          <w:rFonts w:asciiTheme="minorHAnsi" w:hAnsiTheme="minorHAnsi" w:cstheme="minorHAnsi"/>
          <w:i/>
        </w:rPr>
        <w:t>SBS submission to digital radio review</w:t>
      </w:r>
      <w:r w:rsidRPr="00C46B5A">
        <w:rPr>
          <w:rFonts w:asciiTheme="minorHAnsi" w:hAnsiTheme="minorHAnsi" w:cstheme="minorHAnsi"/>
        </w:rPr>
        <w:t xml:space="preserve">, p.2 </w:t>
      </w:r>
      <w:hyperlink r:id="rId77"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89">
    <w:p w14:paraId="25570D2C" w14:textId="1ABE12CF" w:rsidR="0087153B" w:rsidRPr="00C46B5A" w:rsidRDefault="0087153B" w:rsidP="005077CA">
      <w:pPr>
        <w:pStyle w:val="FootnoteText"/>
      </w:pPr>
      <w:r w:rsidRPr="00C46B5A">
        <w:rPr>
          <w:rStyle w:val="FootnoteReference"/>
        </w:rPr>
        <w:footnoteRef/>
      </w:r>
      <w:r w:rsidRPr="00C46B5A">
        <w:t xml:space="preserve"> </w:t>
      </w:r>
      <w:r>
        <w:t xml:space="preserve">Community Broadcasting Association of Australia </w:t>
      </w:r>
      <w:r w:rsidRPr="00C46B5A">
        <w:t>(2014, February)</w:t>
      </w:r>
      <w:r>
        <w:t>,</w:t>
      </w:r>
      <w:r w:rsidRPr="00C46B5A">
        <w:t xml:space="preserve"> </w:t>
      </w:r>
      <w:r w:rsidRPr="00C46B5A">
        <w:rPr>
          <w:i/>
        </w:rPr>
        <w:t>Community Broadcasting Association of Australia submission to digital radio review</w:t>
      </w:r>
      <w:r w:rsidRPr="00C46B5A">
        <w:t xml:space="preserve">, p.4 </w:t>
      </w:r>
      <w:hyperlink r:id="rId78"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90">
    <w:p w14:paraId="17A10955" w14:textId="3C69B37C" w:rsidR="0087153B" w:rsidRDefault="0087153B" w:rsidP="005077CA">
      <w:pPr>
        <w:pStyle w:val="FootnoteText"/>
      </w:pPr>
      <w:r w:rsidRPr="00C46B5A">
        <w:rPr>
          <w:rStyle w:val="FootnoteReference"/>
        </w:rPr>
        <w:footnoteRef/>
      </w:r>
      <w:r w:rsidRPr="00C46B5A">
        <w:t xml:space="preserve"> </w:t>
      </w:r>
      <w:r>
        <w:t xml:space="preserve">Australian Narrowcast Radio Association </w:t>
      </w:r>
      <w:r w:rsidRPr="00C46B5A">
        <w:t>(2014, February)</w:t>
      </w:r>
      <w:r>
        <w:t>,</w:t>
      </w:r>
      <w:r w:rsidRPr="00C46B5A">
        <w:t xml:space="preserve"> </w:t>
      </w:r>
      <w:r w:rsidRPr="00C46B5A">
        <w:rPr>
          <w:i/>
        </w:rPr>
        <w:t>Australian Narrowcast Radio Association submission to digital radio review</w:t>
      </w:r>
      <w:r w:rsidRPr="00C46B5A">
        <w:t xml:space="preserve">, p.4 </w:t>
      </w:r>
      <w:hyperlink r:id="rId79"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91">
    <w:p w14:paraId="17EFCC23" w14:textId="74B7AD32" w:rsidR="0087153B" w:rsidRPr="00C46B5A" w:rsidRDefault="0087153B" w:rsidP="005077CA">
      <w:pPr>
        <w:pStyle w:val="FootnoteText"/>
        <w:rPr>
          <w:rFonts w:cs="Calibri"/>
        </w:rPr>
      </w:pPr>
      <w:r>
        <w:rPr>
          <w:rStyle w:val="FootnoteReference"/>
        </w:rPr>
        <w:footnoteRef/>
      </w:r>
      <w:r>
        <w:t xml:space="preserve"> </w:t>
      </w:r>
      <w:r>
        <w:rPr>
          <w:rFonts w:cs="Calibri"/>
        </w:rPr>
        <w:t>Australian Competition and Consumer Commission</w:t>
      </w:r>
      <w:r w:rsidRPr="00C46B5A">
        <w:rPr>
          <w:rFonts w:cs="Calibri"/>
        </w:rPr>
        <w:t xml:space="preserve"> (2014, February), </w:t>
      </w:r>
      <w:r w:rsidRPr="00C46B5A">
        <w:rPr>
          <w:rFonts w:cs="Calibri"/>
          <w:i/>
        </w:rPr>
        <w:t>ACCC submission to digital radio review</w:t>
      </w:r>
      <w:r w:rsidRPr="00C46B5A">
        <w:rPr>
          <w:rFonts w:cs="Calibri"/>
        </w:rPr>
        <w:t xml:space="preserve">, p.4 </w:t>
      </w:r>
      <w:hyperlink r:id="rId80" w:history="1">
        <w:r>
          <w:rPr>
            <w:rStyle w:val="Hyperlink"/>
            <w:rFonts w:cs="Calibri"/>
          </w:rPr>
          <w:t>Digital Radio Review Submissions</w:t>
        </w:r>
      </w:hyperlink>
      <w:r>
        <w:rPr>
          <w:rStyle w:val="Hyperlink"/>
          <w:rFonts w:cs="Calibri"/>
        </w:rPr>
        <w:t>.</w:t>
      </w:r>
    </w:p>
  </w:footnote>
  <w:footnote w:id="92">
    <w:p w14:paraId="65770E6A" w14:textId="47B4E48D"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w:t>
      </w:r>
      <w:r>
        <w:rPr>
          <w:rFonts w:cs="Calibri"/>
        </w:rPr>
        <w:t xml:space="preserve">Australian Narrowcast Radio Association </w:t>
      </w:r>
      <w:r w:rsidRPr="00C46B5A">
        <w:rPr>
          <w:rFonts w:cs="Calibri"/>
        </w:rPr>
        <w:t xml:space="preserve">(2014, February), </w:t>
      </w:r>
      <w:r w:rsidRPr="00C46B5A">
        <w:rPr>
          <w:rFonts w:cs="Calibri"/>
          <w:i/>
        </w:rPr>
        <w:t>Australian Narrowcast Radio Association submission to digital radio review</w:t>
      </w:r>
      <w:r w:rsidRPr="00C46B5A">
        <w:rPr>
          <w:rFonts w:cs="Calibri"/>
        </w:rPr>
        <w:t xml:space="preserve">, p.5 </w:t>
      </w:r>
      <w:hyperlink r:id="rId81" w:history="1">
        <w:r>
          <w:rPr>
            <w:rStyle w:val="Hyperlink"/>
            <w:rFonts w:cs="Calibri"/>
          </w:rPr>
          <w:t>Digital Radio Review Submissions</w:t>
        </w:r>
      </w:hyperlink>
      <w:r>
        <w:rPr>
          <w:rStyle w:val="Hyperlink"/>
          <w:rFonts w:cs="Calibri"/>
        </w:rPr>
        <w:t>.</w:t>
      </w:r>
    </w:p>
  </w:footnote>
  <w:footnote w:id="93">
    <w:p w14:paraId="3C2B1C05" w14:textId="77777777" w:rsidR="0087153B" w:rsidRDefault="0087153B" w:rsidP="005077CA">
      <w:pPr>
        <w:pStyle w:val="FootnoteText"/>
      </w:pPr>
      <w:r>
        <w:rPr>
          <w:rStyle w:val="FootnoteReference"/>
        </w:rPr>
        <w:footnoteRef/>
      </w:r>
      <w:r>
        <w:t xml:space="preserve"> Section 35C of the BSA.</w:t>
      </w:r>
    </w:p>
  </w:footnote>
  <w:footnote w:id="94">
    <w:p w14:paraId="5CDEBB2A" w14:textId="6B8BCDA5" w:rsidR="0087153B" w:rsidRDefault="0087153B" w:rsidP="005077CA">
      <w:pPr>
        <w:pStyle w:val="FootnoteText"/>
      </w:pPr>
      <w:r>
        <w:rPr>
          <w:rStyle w:val="FootnoteReference"/>
        </w:rPr>
        <w:footnoteRef/>
      </w:r>
      <w:r>
        <w:t xml:space="preserve"> Explanatory Memorandum to Broadcasting Legislation Amendment (Digital Radio) Bill 2007, p.40.</w:t>
      </w:r>
    </w:p>
  </w:footnote>
  <w:footnote w:id="95">
    <w:p w14:paraId="67BF21CE" w14:textId="5258C149" w:rsidR="0087153B" w:rsidRPr="00C46B5A" w:rsidRDefault="0087153B" w:rsidP="005077CA">
      <w:pPr>
        <w:pStyle w:val="FootnoteText"/>
        <w:rPr>
          <w:rFonts w:cs="Calibri"/>
        </w:rPr>
      </w:pPr>
      <w:r>
        <w:rPr>
          <w:rStyle w:val="FootnoteReference"/>
        </w:rPr>
        <w:footnoteRef/>
      </w:r>
      <w:r>
        <w:t xml:space="preserve"> </w:t>
      </w:r>
      <w:r>
        <w:rPr>
          <w:rFonts w:cs="Calibri"/>
        </w:rPr>
        <w:t xml:space="preserve">Australian Narrowcast Radio Association </w:t>
      </w:r>
      <w:r w:rsidRPr="00C46B5A">
        <w:rPr>
          <w:rFonts w:cs="Calibri"/>
        </w:rPr>
        <w:t xml:space="preserve">(2014, February), </w:t>
      </w:r>
      <w:r w:rsidRPr="00C46B5A">
        <w:rPr>
          <w:rFonts w:cs="Calibri"/>
          <w:i/>
        </w:rPr>
        <w:t>Australian Narrowcast Radio Association submission to digital radio review</w:t>
      </w:r>
      <w:r w:rsidRPr="00C46B5A">
        <w:rPr>
          <w:rFonts w:cs="Calibri"/>
        </w:rPr>
        <w:t xml:space="preserve">, p.3 </w:t>
      </w:r>
      <w:hyperlink r:id="rId82" w:history="1">
        <w:r>
          <w:rPr>
            <w:rStyle w:val="Hyperlink"/>
            <w:rFonts w:cs="Calibri"/>
          </w:rPr>
          <w:t>Digital Radio Review Submissions</w:t>
        </w:r>
      </w:hyperlink>
      <w:r>
        <w:rPr>
          <w:rStyle w:val="Hyperlink"/>
          <w:rFonts w:cs="Calibri"/>
        </w:rPr>
        <w:t>.</w:t>
      </w:r>
    </w:p>
  </w:footnote>
  <w:footnote w:id="96">
    <w:p w14:paraId="2A80DD17" w14:textId="536EAF71"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w:t>
      </w:r>
      <w:r>
        <w:t>Community Broadcasting Association of Australia</w:t>
      </w:r>
      <w:r w:rsidRPr="00C46B5A">
        <w:rPr>
          <w:rFonts w:cs="Calibri"/>
        </w:rPr>
        <w:t xml:space="preserve"> (2014, February)</w:t>
      </w:r>
      <w:r>
        <w:rPr>
          <w:rFonts w:cs="Calibri"/>
        </w:rPr>
        <w:t>,</w:t>
      </w:r>
      <w:r w:rsidRPr="00C46B5A">
        <w:rPr>
          <w:rFonts w:cs="Calibri"/>
        </w:rPr>
        <w:t xml:space="preserve"> </w:t>
      </w:r>
      <w:r w:rsidRPr="00C46B5A">
        <w:rPr>
          <w:rFonts w:cs="Calibri"/>
          <w:i/>
        </w:rPr>
        <w:t>Community Broadcasting Association of Australia submission to digital radio review</w:t>
      </w:r>
      <w:r w:rsidRPr="00C46B5A">
        <w:rPr>
          <w:rFonts w:cs="Calibri"/>
        </w:rPr>
        <w:t xml:space="preserve">, p.15 </w:t>
      </w:r>
      <w:hyperlink r:id="rId83" w:history="1">
        <w:r>
          <w:rPr>
            <w:rStyle w:val="Hyperlink"/>
            <w:rFonts w:cs="Calibri"/>
          </w:rPr>
          <w:t>Digital Radio Review Submissions</w:t>
        </w:r>
      </w:hyperlink>
      <w:r>
        <w:rPr>
          <w:rStyle w:val="Hyperlink"/>
          <w:rFonts w:cs="Calibri"/>
        </w:rPr>
        <w:t>.</w:t>
      </w:r>
    </w:p>
  </w:footnote>
  <w:footnote w:id="97">
    <w:p w14:paraId="2CAE7B7F" w14:textId="1BA7AB47" w:rsidR="0087153B" w:rsidRDefault="0087153B" w:rsidP="005077CA">
      <w:pPr>
        <w:pStyle w:val="FootnoteText"/>
      </w:pPr>
      <w:r w:rsidRPr="00C46B5A">
        <w:rPr>
          <w:rStyle w:val="FootnoteReference"/>
          <w:rFonts w:cs="Calibri"/>
        </w:rPr>
        <w:footnoteRef/>
      </w:r>
      <w:r w:rsidRPr="00C46B5A">
        <w:rPr>
          <w:rFonts w:cs="Calibri"/>
        </w:rPr>
        <w:t xml:space="preserve"> </w:t>
      </w:r>
      <w:r>
        <w:rPr>
          <w:rFonts w:cs="Calibri"/>
        </w:rPr>
        <w:t xml:space="preserve">Commercial Radio Australia </w:t>
      </w:r>
      <w:r w:rsidRPr="00C46B5A">
        <w:rPr>
          <w:rFonts w:cs="Calibri"/>
        </w:rPr>
        <w:t>(2014, February)</w:t>
      </w:r>
      <w:r>
        <w:rPr>
          <w:rFonts w:cs="Calibri"/>
        </w:rPr>
        <w:t>,</w:t>
      </w:r>
      <w:r w:rsidRPr="00C46B5A">
        <w:rPr>
          <w:rFonts w:cs="Calibri"/>
        </w:rPr>
        <w:t xml:space="preserve"> </w:t>
      </w:r>
      <w:r w:rsidRPr="00C46B5A">
        <w:rPr>
          <w:rFonts w:cs="Calibri"/>
          <w:i/>
        </w:rPr>
        <w:t>Commercial Radio Australia submission to digital radio review</w:t>
      </w:r>
      <w:r w:rsidRPr="00C46B5A">
        <w:rPr>
          <w:rFonts w:cs="Calibri"/>
        </w:rPr>
        <w:t xml:space="preserve">, p.13 </w:t>
      </w:r>
      <w:hyperlink r:id="rId84" w:history="1">
        <w:r>
          <w:rPr>
            <w:rStyle w:val="Hyperlink"/>
            <w:rFonts w:cs="Calibri"/>
          </w:rPr>
          <w:t>Digital Radio Review Submissions</w:t>
        </w:r>
      </w:hyperlink>
      <w:r>
        <w:rPr>
          <w:rStyle w:val="Hyperlink"/>
          <w:rFonts w:cs="Calibri"/>
        </w:rPr>
        <w:t>.</w:t>
      </w:r>
    </w:p>
  </w:footnote>
  <w:footnote w:id="98">
    <w:p w14:paraId="5903BAA2" w14:textId="12BF459F" w:rsidR="0087153B" w:rsidRDefault="0087153B">
      <w:pPr>
        <w:pStyle w:val="FootnoteText"/>
      </w:pPr>
      <w:r>
        <w:rPr>
          <w:rStyle w:val="FootnoteReference"/>
        </w:rPr>
        <w:footnoteRef/>
      </w:r>
      <w:r>
        <w:t xml:space="preserve"> Commercial Radio Australia </w:t>
      </w:r>
      <w:r w:rsidRPr="00C46B5A">
        <w:t>(2014, February)</w:t>
      </w:r>
      <w:r>
        <w:t>,</w:t>
      </w:r>
      <w:r w:rsidRPr="00C46B5A">
        <w:t xml:space="preserve"> </w:t>
      </w:r>
      <w:r w:rsidRPr="00C46B5A">
        <w:rPr>
          <w:rFonts w:asciiTheme="minorHAnsi" w:hAnsiTheme="minorHAnsi" w:cstheme="minorHAnsi"/>
          <w:i/>
        </w:rPr>
        <w:t>Commercial Radio Australia</w:t>
      </w:r>
      <w:r w:rsidRPr="00C46B5A">
        <w:rPr>
          <w:i/>
        </w:rPr>
        <w:t xml:space="preserve"> submission to digital radio review</w:t>
      </w:r>
      <w:r w:rsidRPr="00C46B5A">
        <w:t>, p</w:t>
      </w:r>
      <w:r>
        <w:t>p.31-32</w:t>
      </w:r>
      <w:r w:rsidRPr="00C46B5A">
        <w:t xml:space="preserve"> </w:t>
      </w:r>
      <w:hyperlink r:id="rId85"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99">
    <w:p w14:paraId="7F1BC006" w14:textId="31A78933" w:rsidR="0087153B" w:rsidRDefault="0087153B">
      <w:pPr>
        <w:pStyle w:val="FootnoteText"/>
      </w:pPr>
      <w:r>
        <w:rPr>
          <w:rStyle w:val="FootnoteReference"/>
        </w:rPr>
        <w:footnoteRef/>
      </w:r>
      <w:r>
        <w:t xml:space="preserve"> Community Broadcasting Association of Australia</w:t>
      </w:r>
      <w:r w:rsidRPr="00C46B5A">
        <w:rPr>
          <w:rFonts w:cs="Calibri"/>
        </w:rPr>
        <w:t xml:space="preserve"> (2014, February)</w:t>
      </w:r>
      <w:r>
        <w:rPr>
          <w:rFonts w:cs="Calibri"/>
        </w:rPr>
        <w:t>,</w:t>
      </w:r>
      <w:r w:rsidRPr="00C46B5A">
        <w:rPr>
          <w:rFonts w:cs="Calibri"/>
        </w:rPr>
        <w:t xml:space="preserve"> </w:t>
      </w:r>
      <w:r w:rsidRPr="00C46B5A">
        <w:rPr>
          <w:rFonts w:cs="Calibri"/>
          <w:i/>
        </w:rPr>
        <w:t>Community Broadcasting Association of Australia submission to digital radio review</w:t>
      </w:r>
      <w:r w:rsidRPr="00C46B5A">
        <w:rPr>
          <w:rFonts w:cs="Calibri"/>
        </w:rPr>
        <w:t>, p.1</w:t>
      </w:r>
      <w:r>
        <w:rPr>
          <w:rFonts w:cs="Calibri"/>
        </w:rPr>
        <w:t>0</w:t>
      </w:r>
      <w:r w:rsidRPr="00C46B5A">
        <w:rPr>
          <w:rFonts w:cs="Calibri"/>
        </w:rPr>
        <w:t xml:space="preserve"> </w:t>
      </w:r>
      <w:hyperlink r:id="rId86" w:history="1">
        <w:r>
          <w:rPr>
            <w:rStyle w:val="Hyperlink"/>
            <w:rFonts w:cs="Calibri"/>
          </w:rPr>
          <w:t>Digital Radio Review Submissions</w:t>
        </w:r>
      </w:hyperlink>
      <w:r>
        <w:rPr>
          <w:rStyle w:val="Hyperlink"/>
          <w:rFonts w:cs="Calibri"/>
        </w:rPr>
        <w:t>.</w:t>
      </w:r>
    </w:p>
  </w:footnote>
  <w:footnote w:id="100">
    <w:p w14:paraId="66A2AAF3" w14:textId="0AF76DB9" w:rsidR="0087153B" w:rsidRDefault="0087153B">
      <w:pPr>
        <w:pStyle w:val="FootnoteText"/>
      </w:pPr>
      <w:r>
        <w:rPr>
          <w:rStyle w:val="FootnoteReference"/>
        </w:rPr>
        <w:footnoteRef/>
      </w:r>
      <w:r>
        <w:t xml:space="preserve"> Commercial Radio Australia </w:t>
      </w:r>
      <w:r w:rsidRPr="00C46B5A">
        <w:t>(2014, February)</w:t>
      </w:r>
      <w:r>
        <w:t>,</w:t>
      </w:r>
      <w:r w:rsidRPr="00C46B5A">
        <w:t xml:space="preserve"> </w:t>
      </w:r>
      <w:r w:rsidRPr="00C46B5A">
        <w:rPr>
          <w:rFonts w:asciiTheme="minorHAnsi" w:hAnsiTheme="minorHAnsi" w:cstheme="minorHAnsi"/>
          <w:i/>
        </w:rPr>
        <w:t>Commercial Radio Australia</w:t>
      </w:r>
      <w:r w:rsidRPr="00C46B5A">
        <w:rPr>
          <w:i/>
        </w:rPr>
        <w:t xml:space="preserve"> submission to digital radio review</w:t>
      </w:r>
      <w:r w:rsidRPr="00C46B5A">
        <w:t>, p</w:t>
      </w:r>
      <w:r>
        <w:t xml:space="preserve">.13 </w:t>
      </w:r>
      <w:hyperlink r:id="rId87"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101">
    <w:p w14:paraId="09852763" w14:textId="0D408CAC" w:rsidR="0087153B" w:rsidRDefault="0087153B" w:rsidP="005077CA">
      <w:pPr>
        <w:pStyle w:val="FootnoteText"/>
      </w:pPr>
      <w:r>
        <w:rPr>
          <w:rStyle w:val="FootnoteReference"/>
        </w:rPr>
        <w:footnoteRef/>
      </w:r>
      <w:r>
        <w:t xml:space="preserve"> </w:t>
      </w:r>
      <w:r>
        <w:rPr>
          <w:rFonts w:cs="Calibri"/>
        </w:rPr>
        <w:t>Australian Competition and Consumer Commission</w:t>
      </w:r>
      <w:r w:rsidRPr="00C46B5A">
        <w:rPr>
          <w:rFonts w:cs="Calibri"/>
        </w:rPr>
        <w:t xml:space="preserve"> (2014, February), </w:t>
      </w:r>
      <w:r w:rsidRPr="00C46B5A">
        <w:rPr>
          <w:rFonts w:cs="Calibri"/>
          <w:i/>
        </w:rPr>
        <w:t>ACCC submission to digital radio review</w:t>
      </w:r>
      <w:r w:rsidRPr="00C46B5A">
        <w:rPr>
          <w:rFonts w:cs="Calibri"/>
        </w:rPr>
        <w:t xml:space="preserve">, p.6 </w:t>
      </w:r>
      <w:hyperlink r:id="rId88" w:history="1">
        <w:r>
          <w:rPr>
            <w:rStyle w:val="Hyperlink"/>
            <w:rFonts w:cs="Calibri"/>
          </w:rPr>
          <w:t>Digital Radio Review Submissions</w:t>
        </w:r>
      </w:hyperlink>
      <w:r>
        <w:rPr>
          <w:rStyle w:val="Hyperlink"/>
          <w:rFonts w:cs="Calibri"/>
        </w:rPr>
        <w:t>.</w:t>
      </w:r>
    </w:p>
  </w:footnote>
  <w:footnote w:id="102">
    <w:p w14:paraId="5444C526" w14:textId="03665CB3" w:rsidR="0087153B" w:rsidRDefault="0087153B" w:rsidP="005077CA">
      <w:pPr>
        <w:pStyle w:val="FootnoteText"/>
      </w:pPr>
      <w:r>
        <w:rPr>
          <w:rStyle w:val="FootnoteReference"/>
        </w:rPr>
        <w:footnoteRef/>
      </w:r>
      <w:r>
        <w:t xml:space="preserve"> </w:t>
      </w:r>
      <w:r>
        <w:rPr>
          <w:rFonts w:cs="Calibri"/>
        </w:rPr>
        <w:t>Australian Broadcasting Corporation</w:t>
      </w:r>
      <w:r w:rsidRPr="00C46B5A">
        <w:rPr>
          <w:rFonts w:cs="Calibri"/>
        </w:rPr>
        <w:t xml:space="preserve"> </w:t>
      </w:r>
      <w:r>
        <w:rPr>
          <w:rFonts w:cs="Calibri"/>
        </w:rPr>
        <w:t xml:space="preserve">(2014, February), </w:t>
      </w:r>
      <w:r w:rsidRPr="00C46B5A">
        <w:rPr>
          <w:rFonts w:cs="Calibri"/>
          <w:i/>
        </w:rPr>
        <w:t>ABC submission to digital radio review</w:t>
      </w:r>
      <w:r w:rsidRPr="00C46B5A">
        <w:rPr>
          <w:rFonts w:cs="Calibri"/>
        </w:rPr>
        <w:t xml:space="preserve">, p.9 </w:t>
      </w:r>
      <w:hyperlink r:id="rId89" w:history="1">
        <w:r>
          <w:rPr>
            <w:rStyle w:val="Hyperlink"/>
            <w:rFonts w:cs="Calibri"/>
          </w:rPr>
          <w:t>Digital Radio Review Submissions</w:t>
        </w:r>
      </w:hyperlink>
      <w:r>
        <w:rPr>
          <w:rStyle w:val="Hyperlink"/>
          <w:rFonts w:cs="Calibri"/>
        </w:rPr>
        <w:t>.</w:t>
      </w:r>
    </w:p>
  </w:footnote>
  <w:footnote w:id="103">
    <w:p w14:paraId="6D4C27E1" w14:textId="3B50F825" w:rsidR="0087153B" w:rsidRPr="00C46B5A" w:rsidRDefault="0087153B" w:rsidP="005077CA">
      <w:pPr>
        <w:pStyle w:val="FootnoteText"/>
      </w:pPr>
      <w:r>
        <w:rPr>
          <w:rStyle w:val="FootnoteReference"/>
        </w:rPr>
        <w:footnoteRef/>
      </w:r>
      <w:r>
        <w:t xml:space="preserve"> Commercial Radio Australia</w:t>
      </w:r>
      <w:r w:rsidRPr="00C46B5A">
        <w:t xml:space="preserve"> (2014, February)</w:t>
      </w:r>
      <w:r>
        <w:t>,</w:t>
      </w:r>
      <w:r w:rsidRPr="00C46B5A">
        <w:t xml:space="preserve"> </w:t>
      </w:r>
      <w:r w:rsidRPr="00C46B5A">
        <w:rPr>
          <w:rFonts w:asciiTheme="minorHAnsi" w:hAnsiTheme="minorHAnsi" w:cstheme="minorHAnsi"/>
          <w:i/>
        </w:rPr>
        <w:t>Commercial Radio Australia</w:t>
      </w:r>
      <w:r w:rsidRPr="00C46B5A">
        <w:rPr>
          <w:i/>
        </w:rPr>
        <w:t xml:space="preserve"> submission to digital radio review</w:t>
      </w:r>
      <w:r w:rsidRPr="00C46B5A">
        <w:t xml:space="preserve">, p.15 </w:t>
      </w:r>
      <w:hyperlink r:id="rId90"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104">
    <w:p w14:paraId="1DA2E437" w14:textId="79A7F370" w:rsidR="0087153B" w:rsidRPr="00C46B5A" w:rsidRDefault="0087153B" w:rsidP="005077CA">
      <w:pPr>
        <w:pStyle w:val="FootnoteText"/>
      </w:pPr>
      <w:r w:rsidRPr="00C46B5A">
        <w:rPr>
          <w:rStyle w:val="FootnoteReference"/>
        </w:rPr>
        <w:footnoteRef/>
      </w:r>
      <w:r w:rsidRPr="00C46B5A">
        <w:t xml:space="preserve"> </w:t>
      </w:r>
      <w:r>
        <w:t>Australian Narrowcast Radio Association (2014, February),</w:t>
      </w:r>
      <w:r w:rsidRPr="00C46B5A">
        <w:t xml:space="preserve"> </w:t>
      </w:r>
      <w:r w:rsidRPr="00C46B5A">
        <w:rPr>
          <w:rFonts w:asciiTheme="minorHAnsi" w:hAnsiTheme="minorHAnsi" w:cstheme="minorHAnsi"/>
          <w:i/>
        </w:rPr>
        <w:t>Australian Narrowcast Radio Association</w:t>
      </w:r>
      <w:r w:rsidRPr="00C46B5A">
        <w:rPr>
          <w:i/>
        </w:rPr>
        <w:t xml:space="preserve"> submission to digital radio review</w:t>
      </w:r>
      <w:r w:rsidRPr="00C46B5A">
        <w:t xml:space="preserve">, p.3 </w:t>
      </w:r>
      <w:hyperlink r:id="rId91"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105">
    <w:p w14:paraId="0D19E707" w14:textId="372B152C" w:rsidR="0087153B" w:rsidRPr="00C46B5A" w:rsidRDefault="0087153B" w:rsidP="005077CA">
      <w:pPr>
        <w:pStyle w:val="FootnoteText"/>
      </w:pPr>
      <w:r w:rsidRPr="00C46B5A">
        <w:rPr>
          <w:rStyle w:val="FootnoteReference"/>
        </w:rPr>
        <w:footnoteRef/>
      </w:r>
      <w:r w:rsidRPr="00C46B5A">
        <w:t xml:space="preserve"> </w:t>
      </w:r>
      <w:r>
        <w:t xml:space="preserve">Commercial Radio Australia </w:t>
      </w:r>
      <w:r w:rsidRPr="00C46B5A">
        <w:t>(2014, February)</w:t>
      </w:r>
      <w:r>
        <w:t>,</w:t>
      </w:r>
      <w:r w:rsidRPr="00C46B5A">
        <w:t xml:space="preserve"> </w:t>
      </w:r>
      <w:r w:rsidRPr="00C46B5A">
        <w:rPr>
          <w:rFonts w:asciiTheme="minorHAnsi" w:hAnsiTheme="minorHAnsi" w:cstheme="minorHAnsi"/>
          <w:i/>
        </w:rPr>
        <w:t>Commercial Radio Australia</w:t>
      </w:r>
      <w:r w:rsidRPr="00C46B5A">
        <w:rPr>
          <w:i/>
        </w:rPr>
        <w:t xml:space="preserve"> submission to digital radio review</w:t>
      </w:r>
      <w:r w:rsidRPr="00C46B5A">
        <w:t xml:space="preserve">, p.33 </w:t>
      </w:r>
      <w:hyperlink r:id="rId92"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106">
    <w:p w14:paraId="35C0B13D" w14:textId="222A4F79" w:rsidR="0087153B" w:rsidRPr="00C46B5A" w:rsidRDefault="0087153B" w:rsidP="005077CA">
      <w:pPr>
        <w:pStyle w:val="FootnoteText"/>
      </w:pPr>
      <w:r w:rsidRPr="00C46B5A">
        <w:rPr>
          <w:rStyle w:val="FootnoteReference"/>
        </w:rPr>
        <w:footnoteRef/>
      </w:r>
      <w:r w:rsidRPr="00C46B5A">
        <w:t xml:space="preserve"> </w:t>
      </w:r>
      <w:r>
        <w:t>Commercial Radio Australia</w:t>
      </w:r>
      <w:r w:rsidRPr="00C46B5A">
        <w:t xml:space="preserve"> (2014, February)</w:t>
      </w:r>
      <w:r>
        <w:t>,</w:t>
      </w:r>
      <w:r w:rsidRPr="00C46B5A">
        <w:t xml:space="preserve"> </w:t>
      </w:r>
      <w:r w:rsidRPr="00C46B5A">
        <w:rPr>
          <w:rFonts w:asciiTheme="minorHAnsi" w:hAnsiTheme="minorHAnsi" w:cstheme="minorHAnsi"/>
          <w:i/>
        </w:rPr>
        <w:t>Commercial Radio Australia</w:t>
      </w:r>
      <w:r w:rsidRPr="00C46B5A">
        <w:rPr>
          <w:i/>
        </w:rPr>
        <w:t xml:space="preserve"> submission to digital radio review</w:t>
      </w:r>
      <w:r w:rsidRPr="00C46B5A">
        <w:t xml:space="preserve">, p.31 </w:t>
      </w:r>
      <w:hyperlink r:id="rId93"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107">
    <w:p w14:paraId="3C5C45C1" w14:textId="351A4A1E" w:rsidR="0087153B" w:rsidRDefault="0087153B" w:rsidP="005077CA">
      <w:pPr>
        <w:pStyle w:val="FootnoteText"/>
      </w:pPr>
      <w:r w:rsidRPr="00C46B5A">
        <w:rPr>
          <w:rStyle w:val="FootnoteReference"/>
        </w:rPr>
        <w:footnoteRef/>
      </w:r>
      <w:r w:rsidRPr="00C46B5A">
        <w:t xml:space="preserve"> </w:t>
      </w:r>
      <w:r>
        <w:rPr>
          <w:rFonts w:asciiTheme="minorHAnsi" w:hAnsiTheme="minorHAnsi" w:cstheme="minorHAnsi"/>
        </w:rPr>
        <w:t>Australian Broadcasting Corporation</w:t>
      </w:r>
      <w:r w:rsidRPr="00C46B5A">
        <w:rPr>
          <w:rFonts w:asciiTheme="minorHAnsi" w:hAnsiTheme="minorHAnsi" w:cstheme="minorHAnsi"/>
        </w:rPr>
        <w:t xml:space="preserve"> (2014, February)</w:t>
      </w:r>
      <w:r>
        <w:rPr>
          <w:rFonts w:asciiTheme="minorHAnsi" w:hAnsiTheme="minorHAnsi" w:cstheme="minorHAnsi"/>
        </w:rPr>
        <w:t>,</w:t>
      </w:r>
      <w:r w:rsidRPr="00C46B5A">
        <w:rPr>
          <w:rFonts w:asciiTheme="minorHAnsi" w:hAnsiTheme="minorHAnsi" w:cstheme="minorHAnsi"/>
        </w:rPr>
        <w:t xml:space="preserve"> </w:t>
      </w:r>
      <w:r w:rsidRPr="00C46B5A">
        <w:rPr>
          <w:rFonts w:asciiTheme="minorHAnsi" w:hAnsiTheme="minorHAnsi" w:cstheme="minorHAnsi"/>
          <w:i/>
        </w:rPr>
        <w:t>ABC submission to digital radio review</w:t>
      </w:r>
      <w:r w:rsidRPr="00C46B5A">
        <w:rPr>
          <w:rFonts w:asciiTheme="minorHAnsi" w:hAnsiTheme="minorHAnsi" w:cstheme="minorHAnsi"/>
        </w:rPr>
        <w:t xml:space="preserve">, p.5 </w:t>
      </w:r>
      <w:hyperlink r:id="rId94"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108">
    <w:p w14:paraId="3AECD9BA" w14:textId="77777777" w:rsidR="0087153B" w:rsidRDefault="0087153B" w:rsidP="005077CA">
      <w:pPr>
        <w:pStyle w:val="FootnoteText"/>
      </w:pPr>
      <w:r>
        <w:rPr>
          <w:rStyle w:val="FootnoteReference"/>
        </w:rPr>
        <w:footnoteRef/>
      </w:r>
      <w:r>
        <w:t xml:space="preserve"> Wide area community broadcasters are community broadcasters whose licence area is the same as the licence area of a commercial radio broadcasting licence. Section 8AA of the BSA refers. The BSA also provides for the ACMA to determine that a licence area of a wide area community radio broadcaster that does not exactly match that of the relevant commercial radio broadcasting licence is taken to be the same as a licence area of a commercial radio broadcasting licence.</w:t>
      </w:r>
      <w:r w:rsidRPr="003F31D6">
        <w:t xml:space="preserve"> </w:t>
      </w:r>
      <w:r>
        <w:t>Section 8AD of the BSA refers.</w:t>
      </w:r>
    </w:p>
  </w:footnote>
  <w:footnote w:id="109">
    <w:p w14:paraId="2B697B87" w14:textId="176C3D0F" w:rsidR="0087153B" w:rsidRPr="00C46B5A" w:rsidRDefault="0087153B" w:rsidP="005077CA">
      <w:pPr>
        <w:pStyle w:val="FootnoteText"/>
      </w:pPr>
      <w:r>
        <w:rPr>
          <w:rStyle w:val="FootnoteReference"/>
        </w:rPr>
        <w:footnoteRef/>
      </w:r>
      <w:r>
        <w:t xml:space="preserve"> Community Broadcasting Association of Australia</w:t>
      </w:r>
      <w:r w:rsidRPr="00C46B5A">
        <w:t xml:space="preserve"> (2014, February)</w:t>
      </w:r>
      <w:r>
        <w:t>,</w:t>
      </w:r>
      <w:r w:rsidRPr="00C46B5A">
        <w:t xml:space="preserve"> </w:t>
      </w:r>
      <w:r w:rsidRPr="00C46B5A">
        <w:rPr>
          <w:i/>
        </w:rPr>
        <w:t>Community Broadcasting Association of Australia submission to digital radio review</w:t>
      </w:r>
      <w:r w:rsidRPr="00C46B5A">
        <w:t>, p.8</w:t>
      </w:r>
      <w:r w:rsidRPr="00C46B5A">
        <w:rPr>
          <w:rFonts w:asciiTheme="minorHAnsi" w:hAnsiTheme="minorHAnsi" w:cstheme="minorHAnsi"/>
        </w:rPr>
        <w:t xml:space="preserve"> </w:t>
      </w:r>
      <w:hyperlink r:id="rId95"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110">
    <w:p w14:paraId="08B4C469" w14:textId="2A0FA74A" w:rsidR="0087153B" w:rsidRDefault="0087153B" w:rsidP="005077CA">
      <w:pPr>
        <w:pStyle w:val="FootnoteText"/>
      </w:pPr>
      <w:r w:rsidRPr="00C46B5A">
        <w:rPr>
          <w:rStyle w:val="FootnoteReference"/>
        </w:rPr>
        <w:footnoteRef/>
      </w:r>
      <w:r w:rsidRPr="00C46B5A">
        <w:t xml:space="preserve"> </w:t>
      </w:r>
      <w:r>
        <w:t xml:space="preserve">Community Broadcasting Association of Australia </w:t>
      </w:r>
      <w:r w:rsidRPr="00C46B5A">
        <w:t>(2014, February)</w:t>
      </w:r>
      <w:r>
        <w:t>,</w:t>
      </w:r>
      <w:r w:rsidRPr="00C46B5A">
        <w:t xml:space="preserve"> </w:t>
      </w:r>
      <w:r w:rsidRPr="00C46B5A">
        <w:rPr>
          <w:i/>
        </w:rPr>
        <w:t>Community Broadcasting Association of Australia submission to digital radio review</w:t>
      </w:r>
      <w:r w:rsidRPr="00C46B5A">
        <w:t>, p.9</w:t>
      </w:r>
      <w:r w:rsidRPr="00C46B5A">
        <w:rPr>
          <w:rFonts w:asciiTheme="minorHAnsi" w:hAnsiTheme="minorHAnsi" w:cstheme="minorHAnsi"/>
        </w:rPr>
        <w:t xml:space="preserve"> </w:t>
      </w:r>
      <w:hyperlink r:id="rId96" w:history="1">
        <w:r>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111">
    <w:p w14:paraId="19DFA5DF" w14:textId="73366CB4" w:rsidR="0087153B" w:rsidRPr="00C46B5A" w:rsidRDefault="0087153B" w:rsidP="005077CA">
      <w:pPr>
        <w:pStyle w:val="FootnoteText"/>
        <w:rPr>
          <w:rFonts w:cs="Calibri"/>
        </w:rPr>
      </w:pPr>
      <w:r>
        <w:rPr>
          <w:rStyle w:val="FootnoteReference"/>
        </w:rPr>
        <w:footnoteRef/>
      </w:r>
      <w:r>
        <w:t xml:space="preserve"> </w:t>
      </w:r>
      <w:r>
        <w:rPr>
          <w:rFonts w:cs="Calibri"/>
        </w:rPr>
        <w:t>Australian Competition and Consumer Commission</w:t>
      </w:r>
      <w:r w:rsidRPr="00C46B5A">
        <w:rPr>
          <w:rFonts w:cs="Calibri"/>
        </w:rPr>
        <w:t xml:space="preserve"> (2014, February), </w:t>
      </w:r>
      <w:r w:rsidRPr="00C46B5A">
        <w:rPr>
          <w:rFonts w:cs="Calibri"/>
          <w:i/>
        </w:rPr>
        <w:t>ACCC submission to digital radio review</w:t>
      </w:r>
      <w:r w:rsidRPr="00C46B5A">
        <w:rPr>
          <w:rFonts w:cs="Calibri"/>
        </w:rPr>
        <w:t xml:space="preserve">, p.5 </w:t>
      </w:r>
      <w:hyperlink r:id="rId97" w:history="1">
        <w:r>
          <w:rPr>
            <w:rStyle w:val="Hyperlink"/>
            <w:rFonts w:cs="Calibri"/>
          </w:rPr>
          <w:t>Digital Radio Review Submissions</w:t>
        </w:r>
      </w:hyperlink>
      <w:r>
        <w:rPr>
          <w:rStyle w:val="Hyperlink"/>
          <w:rFonts w:cs="Calibri"/>
        </w:rPr>
        <w:t>.</w:t>
      </w:r>
    </w:p>
  </w:footnote>
  <w:footnote w:id="112">
    <w:p w14:paraId="33EB188E" w14:textId="3891DCA4"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w:t>
      </w:r>
      <w:r>
        <w:rPr>
          <w:rFonts w:cs="Calibri"/>
        </w:rPr>
        <w:t xml:space="preserve">Australian Competition and Consumer Commission </w:t>
      </w:r>
      <w:r w:rsidRPr="00C46B5A">
        <w:rPr>
          <w:rFonts w:cs="Calibri"/>
        </w:rPr>
        <w:t xml:space="preserve">(2014, February), </w:t>
      </w:r>
      <w:r w:rsidRPr="00C46B5A">
        <w:rPr>
          <w:rFonts w:cs="Calibri"/>
          <w:i/>
        </w:rPr>
        <w:t>ACCC submission to digital radio review</w:t>
      </w:r>
      <w:r w:rsidRPr="00C46B5A">
        <w:rPr>
          <w:rFonts w:cs="Calibri"/>
        </w:rPr>
        <w:t xml:space="preserve">, p.5 </w:t>
      </w:r>
      <w:hyperlink r:id="rId98" w:history="1">
        <w:r>
          <w:rPr>
            <w:rStyle w:val="Hyperlink"/>
            <w:rFonts w:cs="Calibri"/>
          </w:rPr>
          <w:t>Digital Radio Review Submissions</w:t>
        </w:r>
      </w:hyperlink>
      <w:r>
        <w:rPr>
          <w:rStyle w:val="Hyperlink"/>
          <w:rFonts w:cs="Calibri"/>
        </w:rPr>
        <w:t>.</w:t>
      </w:r>
    </w:p>
  </w:footnote>
  <w:footnote w:id="113">
    <w:p w14:paraId="5D19D06F" w14:textId="4F1F5DF4"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w:t>
      </w:r>
      <w:r>
        <w:rPr>
          <w:rFonts w:cs="Calibri"/>
        </w:rPr>
        <w:t>Commercial Radio Australia</w:t>
      </w:r>
      <w:r w:rsidRPr="00C46B5A">
        <w:rPr>
          <w:rFonts w:cs="Calibri"/>
        </w:rPr>
        <w:t xml:space="preserve"> (2014, February)</w:t>
      </w:r>
      <w:r>
        <w:rPr>
          <w:rFonts w:cs="Calibri"/>
        </w:rPr>
        <w:t>,</w:t>
      </w:r>
      <w:r w:rsidRPr="00C46B5A">
        <w:rPr>
          <w:rFonts w:cs="Calibri"/>
        </w:rPr>
        <w:t xml:space="preserve"> </w:t>
      </w:r>
      <w:r w:rsidRPr="00C46B5A">
        <w:rPr>
          <w:rFonts w:cs="Calibri"/>
          <w:i/>
        </w:rPr>
        <w:t>Commercial Radio Australia submission to digital radio review</w:t>
      </w:r>
      <w:r w:rsidRPr="00C46B5A">
        <w:rPr>
          <w:rFonts w:cs="Calibri"/>
        </w:rPr>
        <w:t xml:space="preserve">, p. </w:t>
      </w:r>
      <w:r w:rsidRPr="00826140">
        <w:rPr>
          <w:rFonts w:cs="Calibri"/>
        </w:rPr>
        <w:t>11</w:t>
      </w:r>
      <w:r w:rsidRPr="00C46B5A">
        <w:rPr>
          <w:rFonts w:cs="Calibri"/>
        </w:rPr>
        <w:t xml:space="preserve"> </w:t>
      </w:r>
      <w:hyperlink r:id="rId99" w:history="1">
        <w:r>
          <w:rPr>
            <w:rStyle w:val="Hyperlink"/>
            <w:rFonts w:cs="Calibri"/>
          </w:rPr>
          <w:t>Digital Radio Review Submissions</w:t>
        </w:r>
      </w:hyperlink>
      <w:r>
        <w:rPr>
          <w:rStyle w:val="Hyperlink"/>
          <w:rFonts w:cs="Calibri"/>
        </w:rPr>
        <w:t>.</w:t>
      </w:r>
    </w:p>
  </w:footnote>
  <w:footnote w:id="114">
    <w:p w14:paraId="425E0BCA" w14:textId="34DF96CB"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w:t>
      </w:r>
      <w:r>
        <w:t>Community Broadcasting Association of Australia</w:t>
      </w:r>
      <w:r w:rsidRPr="00C46B5A">
        <w:rPr>
          <w:rFonts w:cs="Calibri"/>
        </w:rPr>
        <w:t xml:space="preserve"> (2014, February)</w:t>
      </w:r>
      <w:r>
        <w:rPr>
          <w:rFonts w:cs="Calibri"/>
        </w:rPr>
        <w:t>,</w:t>
      </w:r>
      <w:r w:rsidRPr="00C46B5A">
        <w:rPr>
          <w:rFonts w:cs="Calibri"/>
        </w:rPr>
        <w:t xml:space="preserve"> </w:t>
      </w:r>
      <w:r w:rsidRPr="00C46B5A">
        <w:rPr>
          <w:rFonts w:cs="Calibri"/>
          <w:i/>
        </w:rPr>
        <w:t>Community Broadcasting Association of Australia submission to digital radio review</w:t>
      </w:r>
      <w:r w:rsidRPr="00C46B5A">
        <w:rPr>
          <w:rFonts w:cs="Calibri"/>
        </w:rPr>
        <w:t xml:space="preserve">, pp. 17, 35 </w:t>
      </w:r>
      <w:hyperlink r:id="rId100" w:history="1">
        <w:r>
          <w:rPr>
            <w:rStyle w:val="Hyperlink"/>
            <w:rFonts w:cs="Calibri"/>
          </w:rPr>
          <w:t>Digital Radio Review Submissions</w:t>
        </w:r>
      </w:hyperlink>
      <w:r>
        <w:rPr>
          <w:rStyle w:val="Hyperlink"/>
          <w:rFonts w:cs="Calibri"/>
        </w:rPr>
        <w:t>.</w:t>
      </w:r>
    </w:p>
  </w:footnote>
  <w:footnote w:id="115">
    <w:p w14:paraId="2CF71994" w14:textId="2B911692" w:rsidR="0087153B" w:rsidRPr="00C46B5A" w:rsidRDefault="0087153B" w:rsidP="005077CA">
      <w:pPr>
        <w:pStyle w:val="FootnoteText"/>
        <w:rPr>
          <w:rFonts w:cs="Calibri"/>
        </w:rPr>
      </w:pPr>
      <w:r w:rsidRPr="00C46B5A">
        <w:rPr>
          <w:rStyle w:val="FootnoteReference"/>
          <w:rFonts w:cs="Calibri"/>
        </w:rPr>
        <w:footnoteRef/>
      </w:r>
      <w:r w:rsidRPr="00C46B5A">
        <w:rPr>
          <w:rFonts w:cs="Calibri"/>
        </w:rPr>
        <w:t xml:space="preserve"> </w:t>
      </w:r>
      <w:r>
        <w:t>Community Broadcasting Association of Australia</w:t>
      </w:r>
      <w:r w:rsidRPr="00C46B5A">
        <w:rPr>
          <w:rFonts w:cs="Calibri"/>
        </w:rPr>
        <w:t xml:space="preserve"> (2014, February)</w:t>
      </w:r>
      <w:r>
        <w:rPr>
          <w:rFonts w:cs="Calibri"/>
        </w:rPr>
        <w:t>,</w:t>
      </w:r>
      <w:r w:rsidRPr="00C46B5A">
        <w:rPr>
          <w:rFonts w:cs="Calibri"/>
        </w:rPr>
        <w:t xml:space="preserve"> </w:t>
      </w:r>
      <w:r w:rsidRPr="00C46B5A">
        <w:rPr>
          <w:rFonts w:cs="Calibri"/>
          <w:i/>
        </w:rPr>
        <w:t>Community Broadcasting Association of Australia submission to digital radio review</w:t>
      </w:r>
      <w:r w:rsidRPr="00C46B5A">
        <w:rPr>
          <w:rFonts w:cs="Calibri"/>
        </w:rPr>
        <w:t xml:space="preserve">, p.55 </w:t>
      </w:r>
      <w:hyperlink r:id="rId101" w:history="1">
        <w:r>
          <w:rPr>
            <w:rStyle w:val="Hyperlink"/>
            <w:rFonts w:cs="Calibri"/>
          </w:rPr>
          <w:t>Digital Radio Review Submissions</w:t>
        </w:r>
      </w:hyperlink>
      <w:r>
        <w:rPr>
          <w:rStyle w:val="Hyperlink"/>
          <w:rFonts w:cs="Calibri"/>
        </w:rPr>
        <w:t>.</w:t>
      </w:r>
    </w:p>
  </w:footnote>
  <w:footnote w:id="116">
    <w:p w14:paraId="1E9D0A66" w14:textId="731D7428" w:rsidR="0087153B" w:rsidRPr="00E96464" w:rsidRDefault="0087153B" w:rsidP="005077CA">
      <w:pPr>
        <w:pStyle w:val="FootnoteText"/>
      </w:pPr>
      <w:r w:rsidRPr="00E96464">
        <w:rPr>
          <w:rStyle w:val="FootnoteReference"/>
          <w:rFonts w:cs="Calibri"/>
        </w:rPr>
        <w:footnoteRef/>
      </w:r>
      <w:r w:rsidRPr="00E96464">
        <w:rPr>
          <w:rFonts w:cs="Calibri"/>
        </w:rPr>
        <w:t xml:space="preserve"> </w:t>
      </w:r>
      <w:r w:rsidRPr="00E96464">
        <w:t>Community Broadcasting Association of Australia</w:t>
      </w:r>
      <w:r w:rsidRPr="00E96464">
        <w:rPr>
          <w:rFonts w:cs="Calibri"/>
        </w:rPr>
        <w:t xml:space="preserve"> (2014, February)</w:t>
      </w:r>
      <w:r>
        <w:rPr>
          <w:rFonts w:cs="Calibri"/>
        </w:rPr>
        <w:t>,</w:t>
      </w:r>
      <w:r w:rsidRPr="00E96464">
        <w:rPr>
          <w:rFonts w:cs="Calibri"/>
        </w:rPr>
        <w:t xml:space="preserve"> </w:t>
      </w:r>
      <w:r w:rsidRPr="00E96464">
        <w:rPr>
          <w:rFonts w:cs="Calibri"/>
          <w:i/>
        </w:rPr>
        <w:t>Community Broadcasting Association of Australia submission to digital radio review</w:t>
      </w:r>
      <w:r w:rsidRPr="00E96464">
        <w:rPr>
          <w:rFonts w:cs="Calibri"/>
        </w:rPr>
        <w:t xml:space="preserve">, p.14 </w:t>
      </w:r>
      <w:hyperlink r:id="rId102" w:history="1">
        <w:r w:rsidRPr="00E96464">
          <w:rPr>
            <w:rStyle w:val="Hyperlink"/>
            <w:rFonts w:cs="Calibri"/>
          </w:rPr>
          <w:t>Digital Radio Review Submissions</w:t>
        </w:r>
      </w:hyperlink>
      <w:r>
        <w:rPr>
          <w:rStyle w:val="Hyperlink"/>
          <w:rFonts w:cs="Calibri"/>
        </w:rPr>
        <w:t>.</w:t>
      </w:r>
    </w:p>
  </w:footnote>
  <w:footnote w:id="117">
    <w:p w14:paraId="09A4B769" w14:textId="711896E2" w:rsidR="0087153B" w:rsidRPr="00E96464" w:rsidRDefault="0087153B" w:rsidP="005077CA">
      <w:pPr>
        <w:pStyle w:val="FootnoteText"/>
      </w:pPr>
      <w:r w:rsidRPr="00E96464">
        <w:rPr>
          <w:rStyle w:val="FootnoteReference"/>
        </w:rPr>
        <w:footnoteRef/>
      </w:r>
      <w:r w:rsidRPr="00E96464">
        <w:t xml:space="preserve"> Australian Competition and Consumer Commission (2014, February)</w:t>
      </w:r>
      <w:r>
        <w:t>,</w:t>
      </w:r>
      <w:r w:rsidRPr="00E96464">
        <w:t xml:space="preserve"> </w:t>
      </w:r>
      <w:r w:rsidRPr="00E96464">
        <w:rPr>
          <w:i/>
        </w:rPr>
        <w:t>Australian Competition and Consumer Commission submission to digital radio review</w:t>
      </w:r>
      <w:r w:rsidRPr="00E96464">
        <w:t xml:space="preserve">, p.5 </w:t>
      </w:r>
      <w:hyperlink r:id="rId103" w:history="1">
        <w:r w:rsidRPr="00E96464">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118">
    <w:p w14:paraId="0F1CEE25" w14:textId="0208F625" w:rsidR="0087153B" w:rsidRPr="00E96464" w:rsidRDefault="0087153B" w:rsidP="005077CA">
      <w:pPr>
        <w:pStyle w:val="FootnoteText"/>
      </w:pPr>
      <w:r w:rsidRPr="00E96464">
        <w:rPr>
          <w:rStyle w:val="FootnoteReference"/>
        </w:rPr>
        <w:footnoteRef/>
      </w:r>
      <w:r w:rsidRPr="00E96464">
        <w:t xml:space="preserve"> Australian Competition and Consumer Commission (2014, February)</w:t>
      </w:r>
      <w:r>
        <w:t>,</w:t>
      </w:r>
      <w:r w:rsidRPr="00E96464">
        <w:t xml:space="preserve"> </w:t>
      </w:r>
      <w:r w:rsidRPr="00E96464">
        <w:rPr>
          <w:i/>
        </w:rPr>
        <w:t>Australian Competition and Consumer Commission submission to digital radio review</w:t>
      </w:r>
      <w:r w:rsidRPr="00E96464">
        <w:t xml:space="preserve">, p.6 </w:t>
      </w:r>
      <w:hyperlink r:id="rId104" w:history="1">
        <w:r w:rsidRPr="00E96464">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119">
    <w:p w14:paraId="63E8C15A" w14:textId="12342818" w:rsidR="0087153B" w:rsidRPr="00E96464" w:rsidRDefault="0087153B" w:rsidP="005077CA">
      <w:pPr>
        <w:pStyle w:val="FootnoteText"/>
      </w:pPr>
      <w:r w:rsidRPr="00E96464">
        <w:rPr>
          <w:rStyle w:val="FootnoteReference"/>
        </w:rPr>
        <w:footnoteRef/>
      </w:r>
      <w:r w:rsidRPr="00E96464">
        <w:t xml:space="preserve"> Australian Competition and Consumer Commission (2014, February)</w:t>
      </w:r>
      <w:r>
        <w:t>,</w:t>
      </w:r>
      <w:r w:rsidRPr="00E96464">
        <w:t xml:space="preserve"> </w:t>
      </w:r>
      <w:r w:rsidRPr="00E96464">
        <w:rPr>
          <w:i/>
        </w:rPr>
        <w:t>Australian Competition and Consumer Commission submission to digital radio review</w:t>
      </w:r>
      <w:r w:rsidRPr="00E96464">
        <w:t xml:space="preserve">, pp.5-6 </w:t>
      </w:r>
      <w:hyperlink r:id="rId105" w:history="1">
        <w:r w:rsidRPr="00E96464">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 w:id="120">
    <w:p w14:paraId="734E9792" w14:textId="217F6F5A" w:rsidR="0087153B" w:rsidRDefault="0087153B" w:rsidP="005077CA">
      <w:pPr>
        <w:pStyle w:val="FootnoteText"/>
      </w:pPr>
      <w:r w:rsidRPr="00E96464">
        <w:rPr>
          <w:rStyle w:val="FootnoteReference"/>
        </w:rPr>
        <w:footnoteRef/>
      </w:r>
      <w:r w:rsidRPr="00E96464">
        <w:t xml:space="preserve"> Australian Competition and Consumer Commission (2014, February)</w:t>
      </w:r>
      <w:r>
        <w:t>,</w:t>
      </w:r>
      <w:r w:rsidRPr="00E96464">
        <w:t xml:space="preserve"> </w:t>
      </w:r>
      <w:r w:rsidRPr="00E96464">
        <w:rPr>
          <w:i/>
        </w:rPr>
        <w:t>Australian Competition and Consumer Commission submission to digital radio review</w:t>
      </w:r>
      <w:r w:rsidRPr="00E96464">
        <w:t xml:space="preserve">, p.6 </w:t>
      </w:r>
      <w:hyperlink r:id="rId106" w:history="1">
        <w:r w:rsidRPr="00E96464">
          <w:rPr>
            <w:rStyle w:val="Hyperlink"/>
            <w:rFonts w:asciiTheme="minorHAnsi" w:hAnsiTheme="minorHAnsi" w:cstheme="minorHAnsi"/>
          </w:rPr>
          <w:t>Digital Radio Review Submissions</w:t>
        </w:r>
      </w:hyperlink>
      <w:r>
        <w:rPr>
          <w:rStyle w:val="Hyperlink"/>
          <w:rFonts w:asciiTheme="minorHAnsi" w:hAnsiTheme="minorHAnsi"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47CFB" w14:textId="4FFCBD3C" w:rsidR="0087153B" w:rsidRPr="00D174C0" w:rsidRDefault="0087153B" w:rsidP="00D174C0">
    <w:pPr>
      <w:pStyle w:val="Header"/>
    </w:pPr>
    <w:r>
      <w:rPr>
        <w:noProof/>
        <w:lang w:eastAsia="en-AU"/>
      </w:rPr>
      <mc:AlternateContent>
        <mc:Choice Requires="wps">
          <w:drawing>
            <wp:anchor distT="0" distB="0" distL="114300" distR="114300" simplePos="0" relativeHeight="251655680" behindDoc="1" locked="0" layoutInCell="0" allowOverlap="1" wp14:anchorId="1327DA86" wp14:editId="1327DA87">
              <wp:simplePos x="0" y="0"/>
              <wp:positionH relativeFrom="margin">
                <wp:posOffset>399415</wp:posOffset>
              </wp:positionH>
              <wp:positionV relativeFrom="margin">
                <wp:posOffset>3161665</wp:posOffset>
              </wp:positionV>
              <wp:extent cx="5237480" cy="3142615"/>
              <wp:effectExtent l="0" t="1151890" r="0" b="65849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96BF87" w14:textId="77777777" w:rsidR="0087153B" w:rsidRDefault="0087153B" w:rsidP="00823068">
                          <w:pPr>
                            <w:pStyle w:val="NormalWeb"/>
                            <w:spacing w:before="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27DA86" id="_x0000_t202" coordsize="21600,21600" o:spt="202" path="m,l,21600r21600,l21600,xe">
              <v:stroke joinstyle="miter"/>
              <v:path gradientshapeok="t" o:connecttype="rect"/>
            </v:shapetype>
            <v:shape id="WordArt 2" o:spid="_x0000_s1026" type="#_x0000_t202" style="position:absolute;margin-left:31.45pt;margin-top:248.95pt;width:412.4pt;height:247.45pt;rotation:-45;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" o:allowincell="f" filled="f" stroked="f">
              <v:stroke joinstyle="round"/>
              <o:lock v:ext="edit" shapetype="t"/>
              <v:textbox style="mso-fit-shape-to-text:t">
                <w:txbxContent>
                  <w:p w14:paraId="6396BF87" w14:textId="77777777" w:rsidR="0087153B" w:rsidRDefault="0087153B" w:rsidP="00823068">
                    <w:pPr>
                      <w:pStyle w:val="NormalWeb"/>
                      <w:spacing w:before="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AA2566">
      <w:t>Department of Communications</w:t>
    </w:r>
    <w:r>
      <w:tab/>
    </w:r>
    <w:r w:rsidRPr="00AA2566">
      <w:tab/>
    </w:r>
    <w:r>
      <w:t>Digital Radio Report July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DDE5B" w14:textId="228CDF85" w:rsidR="0087153B" w:rsidRPr="00AA2566" w:rsidRDefault="0087153B" w:rsidP="002810BE">
    <w:pPr>
      <w:pStyle w:val="Header"/>
    </w:pPr>
    <w:r>
      <w:rPr>
        <w:noProof/>
        <w:lang w:eastAsia="en-AU"/>
      </w:rPr>
      <w:drawing>
        <wp:anchor distT="0" distB="0" distL="114300" distR="114300" simplePos="0" relativeHeight="251656704" behindDoc="1" locked="0" layoutInCell="1" allowOverlap="1" wp14:anchorId="1327DA89" wp14:editId="1327DA8A">
          <wp:simplePos x="0" y="0"/>
          <wp:positionH relativeFrom="page">
            <wp:posOffset>0</wp:posOffset>
          </wp:positionH>
          <wp:positionV relativeFrom="page">
            <wp:posOffset>0</wp:posOffset>
          </wp:positionV>
          <wp:extent cx="7634630" cy="406359"/>
          <wp:effectExtent l="0" t="0" r="0" b="0"/>
          <wp:wrapNone/>
          <wp:docPr id="4" name="Picture 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br/>
    </w:r>
    <w:r w:rsidRPr="00AA2566">
      <w:t>Department of Communications</w:t>
    </w:r>
    <w:r>
      <w:tab/>
    </w:r>
    <w:r w:rsidRPr="00AA2566">
      <w:tab/>
    </w:r>
    <w:r>
      <w:t>Digital Radio Report July 2015</w:t>
    </w:r>
    <w:r>
      <w:rPr>
        <w:noProof/>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21736" w14:textId="77777777" w:rsidR="0087153B" w:rsidRPr="00583203" w:rsidRDefault="0087153B" w:rsidP="00583203">
    <w:pPr>
      <w:pStyle w:val="Header"/>
    </w:pPr>
    <w:r>
      <w:rPr>
        <w:noProof/>
        <w:lang w:eastAsia="en-AU"/>
      </w:rPr>
      <w:drawing>
        <wp:anchor distT="0" distB="0" distL="114300" distR="114300" simplePos="0" relativeHeight="251654656" behindDoc="1" locked="0" layoutInCell="1" allowOverlap="1" wp14:anchorId="1327DA8F" wp14:editId="1327DA90">
          <wp:simplePos x="0" y="0"/>
          <wp:positionH relativeFrom="page">
            <wp:posOffset>0</wp:posOffset>
          </wp:positionH>
          <wp:positionV relativeFrom="page">
            <wp:posOffset>0</wp:posOffset>
          </wp:positionV>
          <wp:extent cx="7559040" cy="14081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head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408176"/>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D603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1CD2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8ABB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C8FF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C04A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ED7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AF3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F87C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C4B8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7A17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3B159FB"/>
    <w:multiLevelType w:val="hybridMultilevel"/>
    <w:tmpl w:val="869EF8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57767E6"/>
    <w:multiLevelType w:val="hybridMultilevel"/>
    <w:tmpl w:val="5D560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95D7246"/>
    <w:multiLevelType w:val="multilevel"/>
    <w:tmpl w:val="7D2466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B961958"/>
    <w:multiLevelType w:val="multilevel"/>
    <w:tmpl w:val="93D60D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ED21FA"/>
    <w:multiLevelType w:val="hybridMultilevel"/>
    <w:tmpl w:val="5A0AB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B2213B"/>
    <w:multiLevelType w:val="hybridMultilevel"/>
    <w:tmpl w:val="F566D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8C4254"/>
    <w:multiLevelType w:val="multilevel"/>
    <w:tmpl w:val="93D60D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AB4585"/>
    <w:multiLevelType w:val="hybridMultilevel"/>
    <w:tmpl w:val="2F8A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147A10"/>
    <w:multiLevelType w:val="hybridMultilevel"/>
    <w:tmpl w:val="FEA6C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585232D"/>
    <w:multiLevelType w:val="hybridMultilevel"/>
    <w:tmpl w:val="71043568"/>
    <w:lvl w:ilvl="0" w:tplc="8B24810E">
      <w:start w:val="1"/>
      <w:numFmt w:val="lowerLetter"/>
      <w:pStyle w:val="Boxlist-Alpha"/>
      <w:lvlText w:val="%1."/>
      <w:lvlJc w:val="left"/>
      <w:pPr>
        <w:ind w:left="558" w:hanging="360"/>
      </w:pPr>
      <w:rPr>
        <w:rFonts w:hint="default"/>
        <w:b/>
        <w:i w:val="0"/>
        <w:color w:val="00728F"/>
        <w:sz w:val="22"/>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22" w15:restartNumberingAfterBreak="0">
    <w:nsid w:val="275A6BF4"/>
    <w:multiLevelType w:val="multilevel"/>
    <w:tmpl w:val="76121128"/>
    <w:lvl w:ilvl="0">
      <w:start w:val="1"/>
      <w:numFmt w:val="decimal"/>
      <w:pStyle w:val="Heading1"/>
      <w:lvlText w:val="%1."/>
      <w:lvlJc w:val="left"/>
      <w:pPr>
        <w:ind w:left="907" w:hanging="907"/>
      </w:pPr>
      <w:rPr>
        <w:rFonts w:hint="default"/>
      </w:rPr>
    </w:lvl>
    <w:lvl w:ilvl="1">
      <w:start w:val="1"/>
      <w:numFmt w:val="decimal"/>
      <w:pStyle w:val="Heading2"/>
      <w:lvlText w:val="%1.%2."/>
      <w:lvlJc w:val="left"/>
      <w:pPr>
        <w:ind w:left="907" w:hanging="907"/>
      </w:pPr>
      <w:rPr>
        <w:rFonts w:hint="default"/>
      </w:rPr>
    </w:lvl>
    <w:lvl w:ilvl="2">
      <w:start w:val="1"/>
      <w:numFmt w:val="decimal"/>
      <w:pStyle w:val="Heading3"/>
      <w:lvlText w:val="%1.%2.%3."/>
      <w:lvlJc w:val="left"/>
      <w:pPr>
        <w:ind w:left="907" w:hanging="907"/>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27773FC5"/>
    <w:multiLevelType w:val="hybridMultilevel"/>
    <w:tmpl w:val="2D847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B83A0D"/>
    <w:multiLevelType w:val="multilevel"/>
    <w:tmpl w:val="91AE573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3E6606BB"/>
    <w:multiLevelType w:val="multilevel"/>
    <w:tmpl w:val="A106EC94"/>
    <w:lvl w:ilvl="0">
      <w:start w:val="1"/>
      <w:numFmt w:val="decimal"/>
      <w:pStyle w:val="Bodynumbered-Level1"/>
      <w:lvlText w:val="%1."/>
      <w:lvlJc w:val="left"/>
      <w:pPr>
        <w:ind w:left="908" w:hanging="340"/>
      </w:pPr>
      <w:rPr>
        <w:rFonts w:hint="default"/>
        <w:b/>
        <w:bCs/>
        <w:i w:val="0"/>
        <w:iCs w:val="0"/>
        <w:color w:val="0072B9"/>
        <w:sz w:val="22"/>
        <w:szCs w:val="22"/>
      </w:rPr>
    </w:lvl>
    <w:lvl w:ilvl="1">
      <w:start w:val="1"/>
      <w:numFmt w:val="lowerLetter"/>
      <w:pStyle w:val="Bodynumbered-Level2"/>
      <w:lvlText w:val="%2."/>
      <w:lvlJc w:val="left"/>
      <w:pPr>
        <w:ind w:left="1020" w:hanging="340"/>
      </w:pPr>
      <w:rPr>
        <w:rFonts w:hint="default"/>
        <w:b/>
        <w:bCs/>
        <w:i w:val="0"/>
        <w:iCs w:val="0"/>
        <w:color w:val="0072B9"/>
        <w:sz w:val="22"/>
        <w:szCs w:val="22"/>
      </w:rPr>
    </w:lvl>
    <w:lvl w:ilvl="2">
      <w:start w:val="1"/>
      <w:numFmt w:val="lowerRoman"/>
      <w:pStyle w:val="Bodynumbered-Level3"/>
      <w:lvlText w:val="%3"/>
      <w:lvlJc w:val="left"/>
      <w:pPr>
        <w:ind w:left="1361" w:hanging="341"/>
      </w:pPr>
      <w:rPr>
        <w:rFonts w:hint="default"/>
        <w:b/>
        <w:bCs/>
        <w:i w:val="0"/>
        <w:iCs w:val="0"/>
        <w:color w:val="0072B9"/>
        <w:sz w:val="22"/>
        <w:szCs w:val="22"/>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8"/>
      <w:lvlJc w:val="left"/>
      <w:pPr>
        <w:ind w:left="1361" w:firstLine="0"/>
      </w:pPr>
      <w:rPr>
        <w:rFonts w:hint="default"/>
      </w:rPr>
    </w:lvl>
    <w:lvl w:ilvl="8">
      <w:start w:val="1"/>
      <w:numFmt w:val="none"/>
      <w:lvlText w:val="%9"/>
      <w:lvlJc w:val="left"/>
      <w:pPr>
        <w:ind w:left="1361" w:firstLine="0"/>
      </w:pPr>
      <w:rPr>
        <w:rFonts w:hint="default"/>
      </w:rPr>
    </w:lvl>
  </w:abstractNum>
  <w:abstractNum w:abstractNumId="27" w15:restartNumberingAfterBreak="0">
    <w:nsid w:val="417D1820"/>
    <w:multiLevelType w:val="hybridMultilevel"/>
    <w:tmpl w:val="84F415A8"/>
    <w:lvl w:ilvl="0" w:tplc="0C090001">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8" w15:restartNumberingAfterBreak="0">
    <w:nsid w:val="4A944BAE"/>
    <w:multiLevelType w:val="multilevel"/>
    <w:tmpl w:val="0EE4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F77995"/>
    <w:multiLevelType w:val="multilevel"/>
    <w:tmpl w:val="A7C81342"/>
    <w:lvl w:ilvl="0">
      <w:start w:val="1"/>
      <w:numFmt w:val="bullet"/>
      <w:pStyle w:val="Bodybullet-Level1"/>
      <w:lvlText w:val=""/>
      <w:lvlJc w:val="left"/>
      <w:pPr>
        <w:ind w:left="340" w:hanging="340"/>
      </w:pPr>
      <w:rPr>
        <w:rFonts w:ascii="Symbol" w:hAnsi="Symbol" w:hint="default"/>
        <w:color w:val="00728F"/>
        <w:sz w:val="18"/>
      </w:rPr>
    </w:lvl>
    <w:lvl w:ilvl="1">
      <w:start w:val="1"/>
      <w:numFmt w:val="bullet"/>
      <w:pStyle w:val="Bodybullet-Level2"/>
      <w:lvlText w:val="­"/>
      <w:lvlJc w:val="left"/>
      <w:pPr>
        <w:ind w:left="680" w:hanging="340"/>
      </w:pPr>
      <w:rPr>
        <w:rFonts w:ascii="Courier New" w:hAnsi="Courier New" w:hint="default"/>
        <w:color w:val="00728F"/>
        <w:sz w:val="18"/>
      </w:rPr>
    </w:lvl>
    <w:lvl w:ilvl="2">
      <w:start w:val="1"/>
      <w:numFmt w:val="bullet"/>
      <w:pStyle w:val="Bodybullet-Level3"/>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0" w15:restartNumberingAfterBreak="0">
    <w:nsid w:val="4FC45C52"/>
    <w:multiLevelType w:val="hybridMultilevel"/>
    <w:tmpl w:val="A9E08E66"/>
    <w:lvl w:ilvl="0" w:tplc="0602FA7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E15E51"/>
    <w:multiLevelType w:val="multilevel"/>
    <w:tmpl w:val="978EC210"/>
    <w:lvl w:ilvl="0">
      <w:start w:val="1"/>
      <w:numFmt w:val="bullet"/>
      <w:pStyle w:val="Tablebullet-Level1"/>
      <w:lvlText w:val=""/>
      <w:lvlJc w:val="left"/>
      <w:pPr>
        <w:ind w:left="340" w:hanging="340"/>
      </w:pPr>
      <w:rPr>
        <w:rFonts w:ascii="Symbol" w:hAnsi="Symbol" w:hint="default"/>
        <w:color w:val="0072B9"/>
        <w:sz w:val="18"/>
        <w:szCs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2" w15:restartNumberingAfterBreak="0">
    <w:nsid w:val="617E7748"/>
    <w:multiLevelType w:val="multilevel"/>
    <w:tmpl w:val="C3D4545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87A596A"/>
    <w:multiLevelType w:val="hybridMultilevel"/>
    <w:tmpl w:val="8DA2F95A"/>
    <w:lvl w:ilvl="0" w:tplc="CB3C63C2">
      <w:start w:val="1"/>
      <w:numFmt w:val="decimal"/>
      <w:pStyle w:val="Boxlist-Numbered"/>
      <w:lvlText w:val="Question %1."/>
      <w:lvlJc w:val="left"/>
      <w:pPr>
        <w:ind w:left="558" w:hanging="360"/>
      </w:pPr>
      <w:rPr>
        <w:rFonts w:hint="default"/>
        <w:b/>
        <w:i w:val="0"/>
        <w:color w:val="00728F"/>
        <w:sz w:val="20"/>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34" w15:restartNumberingAfterBreak="0">
    <w:nsid w:val="6A0B6E48"/>
    <w:multiLevelType w:val="hybridMultilevel"/>
    <w:tmpl w:val="40BE36D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7C2236"/>
    <w:multiLevelType w:val="hybridMultilevel"/>
    <w:tmpl w:val="DEF63B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F00F78"/>
    <w:multiLevelType w:val="hybridMultilevel"/>
    <w:tmpl w:val="1C9E2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1F7CC9"/>
    <w:multiLevelType w:val="hybridMultilevel"/>
    <w:tmpl w:val="1206F69E"/>
    <w:lvl w:ilvl="0" w:tplc="EE109B52">
      <w:start w:val="1"/>
      <w:numFmt w:val="decimal"/>
      <w:pStyle w:val="Tablelist-Numbered"/>
      <w:lvlText w:val="%1."/>
      <w:lvlJc w:val="left"/>
      <w:pPr>
        <w:ind w:left="394" w:hanging="360"/>
      </w:pPr>
      <w:rPr>
        <w:rFonts w:hint="default"/>
        <w:b/>
        <w:i w:val="0"/>
        <w:color w:val="00728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4E22C0"/>
    <w:multiLevelType w:val="hybridMultilevel"/>
    <w:tmpl w:val="EBE202A8"/>
    <w:lvl w:ilvl="0" w:tplc="275EC662">
      <w:start w:val="1"/>
      <w:numFmt w:val="bullet"/>
      <w:pStyle w:val="Boxbullet"/>
      <w:lvlText w:val=""/>
      <w:lvlJc w:val="left"/>
      <w:pPr>
        <w:ind w:left="720" w:hanging="360"/>
      </w:pPr>
      <w:rPr>
        <w:rFonts w:ascii="Symbol" w:hAnsi="Symbol" w:hint="default"/>
        <w:color w:val="007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050778"/>
    <w:multiLevelType w:val="multilevel"/>
    <w:tmpl w:val="DAB27858"/>
    <w:lvl w:ilvl="0">
      <w:start w:val="1"/>
      <w:numFmt w:val="upperLetter"/>
      <w:pStyle w:val="Endmatter-Heading1"/>
      <w:lvlText w:val="%1."/>
      <w:lvlJc w:val="left"/>
      <w:pPr>
        <w:ind w:left="907" w:hanging="907"/>
      </w:pPr>
      <w:rPr>
        <w:rFonts w:hint="default"/>
      </w:rPr>
    </w:lvl>
    <w:lvl w:ilvl="1">
      <w:start w:val="1"/>
      <w:numFmt w:val="decimal"/>
      <w:pStyle w:val="Endmatter-Heading2"/>
      <w:lvlText w:val="%1.%2."/>
      <w:lvlJc w:val="left"/>
      <w:pPr>
        <w:ind w:left="907" w:hanging="907"/>
      </w:pPr>
      <w:rPr>
        <w:rFonts w:hint="default"/>
      </w:rPr>
    </w:lvl>
    <w:lvl w:ilvl="2">
      <w:start w:val="1"/>
      <w:numFmt w:val="decimal"/>
      <w:pStyle w:val="Endmatter-Heading3"/>
      <w:lvlText w:val="%1.%2.%3."/>
      <w:lvlJc w:val="left"/>
      <w:pPr>
        <w:ind w:left="907" w:hanging="90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7A492609"/>
    <w:multiLevelType w:val="hybridMultilevel"/>
    <w:tmpl w:val="AEE4C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622336"/>
    <w:multiLevelType w:val="hybridMultilevel"/>
    <w:tmpl w:val="050011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31"/>
  </w:num>
  <w:num w:numId="13">
    <w:abstractNumId w:val="26"/>
  </w:num>
  <w:num w:numId="14">
    <w:abstractNumId w:val="39"/>
  </w:num>
  <w:num w:numId="15">
    <w:abstractNumId w:val="21"/>
  </w:num>
  <w:num w:numId="16">
    <w:abstractNumId w:val="37"/>
  </w:num>
  <w:num w:numId="17">
    <w:abstractNumId w:val="38"/>
  </w:num>
  <w:num w:numId="18">
    <w:abstractNumId w:val="10"/>
  </w:num>
  <w:num w:numId="19">
    <w:abstractNumId w:val="2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40"/>
  </w:num>
  <w:num w:numId="23">
    <w:abstractNumId w:val="33"/>
    <w:lvlOverride w:ilvl="0">
      <w:startOverride w:val="1"/>
    </w:lvlOverride>
  </w:num>
  <w:num w:numId="24">
    <w:abstractNumId w:val="23"/>
  </w:num>
  <w:num w:numId="25">
    <w:abstractNumId w:val="30"/>
  </w:num>
  <w:num w:numId="26">
    <w:abstractNumId w:val="28"/>
  </w:num>
  <w:num w:numId="27">
    <w:abstractNumId w:val="22"/>
  </w:num>
  <w:num w:numId="28">
    <w:abstractNumId w:val="22"/>
  </w:num>
  <w:num w:numId="29">
    <w:abstractNumId w:val="22"/>
  </w:num>
  <w:num w:numId="30">
    <w:abstractNumId w:val="32"/>
  </w:num>
  <w:num w:numId="31">
    <w:abstractNumId w:val="22"/>
  </w:num>
  <w:num w:numId="32">
    <w:abstractNumId w:val="22"/>
  </w:num>
  <w:num w:numId="33">
    <w:abstractNumId w:val="22"/>
  </w:num>
  <w:num w:numId="34">
    <w:abstractNumId w:val="24"/>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34"/>
  </w:num>
  <w:num w:numId="45">
    <w:abstractNumId w:val="14"/>
  </w:num>
  <w:num w:numId="46">
    <w:abstractNumId w:val="17"/>
  </w:num>
  <w:num w:numId="47">
    <w:abstractNumId w:val="26"/>
  </w:num>
  <w:num w:numId="48">
    <w:abstractNumId w:val="26"/>
  </w:num>
  <w:num w:numId="49">
    <w:abstractNumId w:val="26"/>
  </w:num>
  <w:num w:numId="50">
    <w:abstractNumId w:val="26"/>
  </w:num>
  <w:num w:numId="51">
    <w:abstractNumId w:val="26"/>
  </w:num>
  <w:num w:numId="52">
    <w:abstractNumId w:val="26"/>
  </w:num>
  <w:num w:numId="53">
    <w:abstractNumId w:val="26"/>
  </w:num>
  <w:num w:numId="54">
    <w:abstractNumId w:val="26"/>
  </w:num>
  <w:num w:numId="55">
    <w:abstractNumId w:val="26"/>
  </w:num>
  <w:num w:numId="56">
    <w:abstractNumId w:val="26"/>
  </w:num>
  <w:num w:numId="57">
    <w:abstractNumId w:val="26"/>
  </w:num>
  <w:num w:numId="58">
    <w:abstractNumId w:val="26"/>
  </w:num>
  <w:num w:numId="59">
    <w:abstractNumId w:val="26"/>
  </w:num>
  <w:num w:numId="60">
    <w:abstractNumId w:val="26"/>
  </w:num>
  <w:num w:numId="61">
    <w:abstractNumId w:val="26"/>
  </w:num>
  <w:num w:numId="62">
    <w:abstractNumId w:val="22"/>
  </w:num>
  <w:num w:numId="63">
    <w:abstractNumId w:val="22"/>
  </w:num>
  <w:num w:numId="64">
    <w:abstractNumId w:val="22"/>
  </w:num>
  <w:num w:numId="65">
    <w:abstractNumId w:val="22"/>
  </w:num>
  <w:num w:numId="66">
    <w:abstractNumId w:val="18"/>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22"/>
  </w:num>
  <w:num w:numId="71">
    <w:abstractNumId w:val="13"/>
  </w:num>
  <w:num w:numId="72">
    <w:abstractNumId w:val="22"/>
  </w:num>
  <w:num w:numId="73">
    <w:abstractNumId w:val="22"/>
  </w:num>
  <w:num w:numId="74">
    <w:abstractNumId w:val="22"/>
  </w:num>
  <w:num w:numId="75">
    <w:abstractNumId w:val="26"/>
  </w:num>
  <w:num w:numId="76">
    <w:abstractNumId w:val="26"/>
  </w:num>
  <w:num w:numId="77">
    <w:abstractNumId w:val="26"/>
  </w:num>
  <w:num w:numId="78">
    <w:abstractNumId w:val="26"/>
  </w:num>
  <w:num w:numId="79">
    <w:abstractNumId w:val="26"/>
  </w:num>
  <w:num w:numId="80">
    <w:abstractNumId w:val="26"/>
  </w:num>
  <w:num w:numId="81">
    <w:abstractNumId w:val="26"/>
  </w:num>
  <w:num w:numId="82">
    <w:abstractNumId w:val="26"/>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6"/>
  </w:num>
  <w:num w:numId="85">
    <w:abstractNumId w:val="26"/>
  </w:num>
  <w:num w:numId="86">
    <w:abstractNumId w:val="26"/>
  </w:num>
  <w:num w:numId="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num>
  <w:num w:numId="89">
    <w:abstractNumId w:val="22"/>
  </w:num>
  <w:num w:numId="90">
    <w:abstractNumId w:val="29"/>
  </w:num>
  <w:num w:numId="91">
    <w:abstractNumId w:val="29"/>
  </w:num>
  <w:num w:numId="92">
    <w:abstractNumId w:val="29"/>
  </w:num>
  <w:num w:numId="93">
    <w:abstractNumId w:val="29"/>
  </w:num>
  <w:num w:numId="94">
    <w:abstractNumId w:val="29"/>
  </w:num>
  <w:num w:numId="95">
    <w:abstractNumId w:val="15"/>
  </w:num>
  <w:num w:numId="96">
    <w:abstractNumId w:val="35"/>
  </w:num>
  <w:num w:numId="97">
    <w:abstractNumId w:val="42"/>
  </w:num>
  <w:num w:numId="98">
    <w:abstractNumId w:val="11"/>
  </w:num>
  <w:num w:numId="99">
    <w:abstractNumId w:val="41"/>
  </w:num>
  <w:num w:numId="100">
    <w:abstractNumId w:val="36"/>
  </w:num>
  <w:num w:numId="101">
    <w:abstractNumId w:val="16"/>
  </w:num>
  <w:num w:numId="102">
    <w:abstractNumId w:val="19"/>
  </w:num>
  <w:num w:numId="103">
    <w:abstractNumId w:val="1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lickAndTypeStyle w:val="BodyText"/>
  <w:evenAndOddHeader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EC"/>
    <w:rsid w:val="00000505"/>
    <w:rsid w:val="0000179F"/>
    <w:rsid w:val="00002089"/>
    <w:rsid w:val="00002AA3"/>
    <w:rsid w:val="00002B0D"/>
    <w:rsid w:val="000047CD"/>
    <w:rsid w:val="0000690F"/>
    <w:rsid w:val="00006E19"/>
    <w:rsid w:val="00006F87"/>
    <w:rsid w:val="0000704D"/>
    <w:rsid w:val="000079DE"/>
    <w:rsid w:val="00007B8A"/>
    <w:rsid w:val="000100BE"/>
    <w:rsid w:val="00010C91"/>
    <w:rsid w:val="000110DE"/>
    <w:rsid w:val="000112B8"/>
    <w:rsid w:val="0001191A"/>
    <w:rsid w:val="00012094"/>
    <w:rsid w:val="00012912"/>
    <w:rsid w:val="00012AE9"/>
    <w:rsid w:val="00013102"/>
    <w:rsid w:val="000131B2"/>
    <w:rsid w:val="00013855"/>
    <w:rsid w:val="000152CC"/>
    <w:rsid w:val="00015782"/>
    <w:rsid w:val="000159C9"/>
    <w:rsid w:val="0001627E"/>
    <w:rsid w:val="000164FF"/>
    <w:rsid w:val="00016CD0"/>
    <w:rsid w:val="00017B31"/>
    <w:rsid w:val="00017E32"/>
    <w:rsid w:val="00020488"/>
    <w:rsid w:val="0002136F"/>
    <w:rsid w:val="000223A5"/>
    <w:rsid w:val="000223EC"/>
    <w:rsid w:val="00022B50"/>
    <w:rsid w:val="00023528"/>
    <w:rsid w:val="00023A8C"/>
    <w:rsid w:val="00024B3F"/>
    <w:rsid w:val="00024E7E"/>
    <w:rsid w:val="0002587A"/>
    <w:rsid w:val="00026060"/>
    <w:rsid w:val="000262EF"/>
    <w:rsid w:val="00026432"/>
    <w:rsid w:val="00026EC2"/>
    <w:rsid w:val="00031229"/>
    <w:rsid w:val="0003155B"/>
    <w:rsid w:val="00032710"/>
    <w:rsid w:val="00032B55"/>
    <w:rsid w:val="00033C11"/>
    <w:rsid w:val="00033C18"/>
    <w:rsid w:val="000342FC"/>
    <w:rsid w:val="000360AD"/>
    <w:rsid w:val="00037AD6"/>
    <w:rsid w:val="00037CA9"/>
    <w:rsid w:val="00041035"/>
    <w:rsid w:val="000412CD"/>
    <w:rsid w:val="00041501"/>
    <w:rsid w:val="00041604"/>
    <w:rsid w:val="00042873"/>
    <w:rsid w:val="0004408C"/>
    <w:rsid w:val="00044204"/>
    <w:rsid w:val="0004449A"/>
    <w:rsid w:val="00046CE2"/>
    <w:rsid w:val="00050750"/>
    <w:rsid w:val="0005092C"/>
    <w:rsid w:val="00050989"/>
    <w:rsid w:val="00052075"/>
    <w:rsid w:val="000521EF"/>
    <w:rsid w:val="00052217"/>
    <w:rsid w:val="00052EC8"/>
    <w:rsid w:val="00053829"/>
    <w:rsid w:val="00054557"/>
    <w:rsid w:val="00054FCC"/>
    <w:rsid w:val="00055535"/>
    <w:rsid w:val="000562CF"/>
    <w:rsid w:val="00056784"/>
    <w:rsid w:val="00056B35"/>
    <w:rsid w:val="00056B4A"/>
    <w:rsid w:val="000603E6"/>
    <w:rsid w:val="00061F8D"/>
    <w:rsid w:val="0006249D"/>
    <w:rsid w:val="00062980"/>
    <w:rsid w:val="00063027"/>
    <w:rsid w:val="000637E2"/>
    <w:rsid w:val="00064681"/>
    <w:rsid w:val="00065117"/>
    <w:rsid w:val="00065352"/>
    <w:rsid w:val="0006653C"/>
    <w:rsid w:val="00066BB9"/>
    <w:rsid w:val="00067AD2"/>
    <w:rsid w:val="00067B56"/>
    <w:rsid w:val="00067E69"/>
    <w:rsid w:val="00067EEA"/>
    <w:rsid w:val="00070D7F"/>
    <w:rsid w:val="00071AF0"/>
    <w:rsid w:val="000720AB"/>
    <w:rsid w:val="0007225F"/>
    <w:rsid w:val="0007357C"/>
    <w:rsid w:val="000743BE"/>
    <w:rsid w:val="00075AFD"/>
    <w:rsid w:val="00075F64"/>
    <w:rsid w:val="00076233"/>
    <w:rsid w:val="00076380"/>
    <w:rsid w:val="000767C0"/>
    <w:rsid w:val="00081606"/>
    <w:rsid w:val="00081631"/>
    <w:rsid w:val="0008166C"/>
    <w:rsid w:val="00081A8C"/>
    <w:rsid w:val="00083421"/>
    <w:rsid w:val="00083501"/>
    <w:rsid w:val="000837D7"/>
    <w:rsid w:val="00083BD0"/>
    <w:rsid w:val="00084EC1"/>
    <w:rsid w:val="0008502C"/>
    <w:rsid w:val="000855F7"/>
    <w:rsid w:val="00086BE9"/>
    <w:rsid w:val="00087E23"/>
    <w:rsid w:val="000905C3"/>
    <w:rsid w:val="0009060A"/>
    <w:rsid w:val="00090EDA"/>
    <w:rsid w:val="00091098"/>
    <w:rsid w:val="00091504"/>
    <w:rsid w:val="00091A20"/>
    <w:rsid w:val="00091AB8"/>
    <w:rsid w:val="0009379A"/>
    <w:rsid w:val="000963A9"/>
    <w:rsid w:val="00096718"/>
    <w:rsid w:val="000974E2"/>
    <w:rsid w:val="000974FD"/>
    <w:rsid w:val="000A13C3"/>
    <w:rsid w:val="000A2CCA"/>
    <w:rsid w:val="000A2EE0"/>
    <w:rsid w:val="000A2EE5"/>
    <w:rsid w:val="000A3229"/>
    <w:rsid w:val="000A3632"/>
    <w:rsid w:val="000A36C3"/>
    <w:rsid w:val="000A4198"/>
    <w:rsid w:val="000A4478"/>
    <w:rsid w:val="000A545A"/>
    <w:rsid w:val="000B114C"/>
    <w:rsid w:val="000B1E2E"/>
    <w:rsid w:val="000B1F05"/>
    <w:rsid w:val="000B3A36"/>
    <w:rsid w:val="000B5259"/>
    <w:rsid w:val="000B6D53"/>
    <w:rsid w:val="000B758F"/>
    <w:rsid w:val="000B7B06"/>
    <w:rsid w:val="000C0060"/>
    <w:rsid w:val="000C0ADB"/>
    <w:rsid w:val="000C2441"/>
    <w:rsid w:val="000C26D2"/>
    <w:rsid w:val="000C29F5"/>
    <w:rsid w:val="000C35EE"/>
    <w:rsid w:val="000C3BB3"/>
    <w:rsid w:val="000C3D3B"/>
    <w:rsid w:val="000C3F3A"/>
    <w:rsid w:val="000C4299"/>
    <w:rsid w:val="000C6063"/>
    <w:rsid w:val="000C6334"/>
    <w:rsid w:val="000C6BE4"/>
    <w:rsid w:val="000C6EA5"/>
    <w:rsid w:val="000D02DC"/>
    <w:rsid w:val="000D0D3B"/>
    <w:rsid w:val="000D1130"/>
    <w:rsid w:val="000D12B0"/>
    <w:rsid w:val="000D1670"/>
    <w:rsid w:val="000D17E3"/>
    <w:rsid w:val="000D1844"/>
    <w:rsid w:val="000D18DD"/>
    <w:rsid w:val="000D1A93"/>
    <w:rsid w:val="000D2E3C"/>
    <w:rsid w:val="000D4C2E"/>
    <w:rsid w:val="000D5B7F"/>
    <w:rsid w:val="000D5E3B"/>
    <w:rsid w:val="000D7698"/>
    <w:rsid w:val="000E01C6"/>
    <w:rsid w:val="000E03CD"/>
    <w:rsid w:val="000E0961"/>
    <w:rsid w:val="000E0C39"/>
    <w:rsid w:val="000E1C83"/>
    <w:rsid w:val="000E22C4"/>
    <w:rsid w:val="000E2323"/>
    <w:rsid w:val="000E30FC"/>
    <w:rsid w:val="000E33DB"/>
    <w:rsid w:val="000E4A7A"/>
    <w:rsid w:val="000E51BB"/>
    <w:rsid w:val="000E5935"/>
    <w:rsid w:val="000E5B8A"/>
    <w:rsid w:val="000E739C"/>
    <w:rsid w:val="000E7483"/>
    <w:rsid w:val="000E74C3"/>
    <w:rsid w:val="000F0A6C"/>
    <w:rsid w:val="000F1795"/>
    <w:rsid w:val="000F18CC"/>
    <w:rsid w:val="000F2204"/>
    <w:rsid w:val="000F257B"/>
    <w:rsid w:val="000F2E50"/>
    <w:rsid w:val="000F31C5"/>
    <w:rsid w:val="000F429A"/>
    <w:rsid w:val="000F43F5"/>
    <w:rsid w:val="000F5246"/>
    <w:rsid w:val="000F604C"/>
    <w:rsid w:val="000F6A07"/>
    <w:rsid w:val="000F7BB8"/>
    <w:rsid w:val="00100A92"/>
    <w:rsid w:val="00102808"/>
    <w:rsid w:val="00102B68"/>
    <w:rsid w:val="00103074"/>
    <w:rsid w:val="0010379E"/>
    <w:rsid w:val="0010410F"/>
    <w:rsid w:val="001044EE"/>
    <w:rsid w:val="001059EB"/>
    <w:rsid w:val="00105E2B"/>
    <w:rsid w:val="00106D08"/>
    <w:rsid w:val="00107198"/>
    <w:rsid w:val="00107AB7"/>
    <w:rsid w:val="001103DB"/>
    <w:rsid w:val="00110510"/>
    <w:rsid w:val="0011167D"/>
    <w:rsid w:val="00112A88"/>
    <w:rsid w:val="00113957"/>
    <w:rsid w:val="001145CA"/>
    <w:rsid w:val="00114A38"/>
    <w:rsid w:val="00115188"/>
    <w:rsid w:val="00116AA0"/>
    <w:rsid w:val="00116EF6"/>
    <w:rsid w:val="00116F10"/>
    <w:rsid w:val="00116FF7"/>
    <w:rsid w:val="0011700E"/>
    <w:rsid w:val="00122160"/>
    <w:rsid w:val="00122D70"/>
    <w:rsid w:val="001232E8"/>
    <w:rsid w:val="00123D08"/>
    <w:rsid w:val="001240ED"/>
    <w:rsid w:val="00125A47"/>
    <w:rsid w:val="001274F6"/>
    <w:rsid w:val="001310B2"/>
    <w:rsid w:val="001313C5"/>
    <w:rsid w:val="00131519"/>
    <w:rsid w:val="00131824"/>
    <w:rsid w:val="00131AB3"/>
    <w:rsid w:val="001326A9"/>
    <w:rsid w:val="00133178"/>
    <w:rsid w:val="00133D14"/>
    <w:rsid w:val="00133E40"/>
    <w:rsid w:val="00134513"/>
    <w:rsid w:val="0013471E"/>
    <w:rsid w:val="001348CD"/>
    <w:rsid w:val="00134A17"/>
    <w:rsid w:val="00134E8F"/>
    <w:rsid w:val="00135456"/>
    <w:rsid w:val="00135AA6"/>
    <w:rsid w:val="00136C8B"/>
    <w:rsid w:val="0013733C"/>
    <w:rsid w:val="001373C7"/>
    <w:rsid w:val="00137405"/>
    <w:rsid w:val="001377D0"/>
    <w:rsid w:val="001379ED"/>
    <w:rsid w:val="00137ADC"/>
    <w:rsid w:val="001405E4"/>
    <w:rsid w:val="0014066B"/>
    <w:rsid w:val="001406B6"/>
    <w:rsid w:val="00141833"/>
    <w:rsid w:val="0014194F"/>
    <w:rsid w:val="001435DB"/>
    <w:rsid w:val="00143825"/>
    <w:rsid w:val="00143C9B"/>
    <w:rsid w:val="001441A7"/>
    <w:rsid w:val="00144809"/>
    <w:rsid w:val="00144838"/>
    <w:rsid w:val="00144DED"/>
    <w:rsid w:val="001457DA"/>
    <w:rsid w:val="00145933"/>
    <w:rsid w:val="001471F5"/>
    <w:rsid w:val="00147A17"/>
    <w:rsid w:val="00147E77"/>
    <w:rsid w:val="0015033C"/>
    <w:rsid w:val="001517A4"/>
    <w:rsid w:val="00151CD0"/>
    <w:rsid w:val="00152846"/>
    <w:rsid w:val="00152883"/>
    <w:rsid w:val="00155364"/>
    <w:rsid w:val="001571EB"/>
    <w:rsid w:val="0016076F"/>
    <w:rsid w:val="00161D9F"/>
    <w:rsid w:val="00162282"/>
    <w:rsid w:val="00162724"/>
    <w:rsid w:val="001627D5"/>
    <w:rsid w:val="00162ED4"/>
    <w:rsid w:val="00163218"/>
    <w:rsid w:val="001648DF"/>
    <w:rsid w:val="00164A2E"/>
    <w:rsid w:val="00165B80"/>
    <w:rsid w:val="00165DF2"/>
    <w:rsid w:val="001660A0"/>
    <w:rsid w:val="0016624A"/>
    <w:rsid w:val="00170A5B"/>
    <w:rsid w:val="00171110"/>
    <w:rsid w:val="001714B2"/>
    <w:rsid w:val="0017176B"/>
    <w:rsid w:val="00171FCB"/>
    <w:rsid w:val="00172565"/>
    <w:rsid w:val="001733DE"/>
    <w:rsid w:val="00174514"/>
    <w:rsid w:val="0017517F"/>
    <w:rsid w:val="00175547"/>
    <w:rsid w:val="00175B5B"/>
    <w:rsid w:val="00175E61"/>
    <w:rsid w:val="00176A50"/>
    <w:rsid w:val="00177050"/>
    <w:rsid w:val="00180CE3"/>
    <w:rsid w:val="00181709"/>
    <w:rsid w:val="00183651"/>
    <w:rsid w:val="00185B74"/>
    <w:rsid w:val="00185BF3"/>
    <w:rsid w:val="001869BE"/>
    <w:rsid w:val="00186E57"/>
    <w:rsid w:val="00190B08"/>
    <w:rsid w:val="00192242"/>
    <w:rsid w:val="00192FC3"/>
    <w:rsid w:val="00195094"/>
    <w:rsid w:val="00196328"/>
    <w:rsid w:val="001968BF"/>
    <w:rsid w:val="00196B10"/>
    <w:rsid w:val="001971E7"/>
    <w:rsid w:val="001A129D"/>
    <w:rsid w:val="001A1331"/>
    <w:rsid w:val="001A1DDE"/>
    <w:rsid w:val="001A3560"/>
    <w:rsid w:val="001A357E"/>
    <w:rsid w:val="001A3739"/>
    <w:rsid w:val="001A5CDF"/>
    <w:rsid w:val="001A608F"/>
    <w:rsid w:val="001A6095"/>
    <w:rsid w:val="001A638F"/>
    <w:rsid w:val="001A6448"/>
    <w:rsid w:val="001A694A"/>
    <w:rsid w:val="001A7825"/>
    <w:rsid w:val="001B0F8E"/>
    <w:rsid w:val="001B12BE"/>
    <w:rsid w:val="001B1465"/>
    <w:rsid w:val="001B17F4"/>
    <w:rsid w:val="001B2C92"/>
    <w:rsid w:val="001B3A4C"/>
    <w:rsid w:val="001B3DA9"/>
    <w:rsid w:val="001B6911"/>
    <w:rsid w:val="001B71B1"/>
    <w:rsid w:val="001B7A28"/>
    <w:rsid w:val="001B7EEF"/>
    <w:rsid w:val="001C08E2"/>
    <w:rsid w:val="001C2A94"/>
    <w:rsid w:val="001C2E52"/>
    <w:rsid w:val="001C3451"/>
    <w:rsid w:val="001C3AF3"/>
    <w:rsid w:val="001C5E81"/>
    <w:rsid w:val="001C5FDD"/>
    <w:rsid w:val="001C61CF"/>
    <w:rsid w:val="001C7AF7"/>
    <w:rsid w:val="001C7F0B"/>
    <w:rsid w:val="001D0602"/>
    <w:rsid w:val="001D0D2F"/>
    <w:rsid w:val="001D117E"/>
    <w:rsid w:val="001D28B0"/>
    <w:rsid w:val="001D2D07"/>
    <w:rsid w:val="001D3C04"/>
    <w:rsid w:val="001D5634"/>
    <w:rsid w:val="001D6C77"/>
    <w:rsid w:val="001D7096"/>
    <w:rsid w:val="001D7353"/>
    <w:rsid w:val="001D7699"/>
    <w:rsid w:val="001E0315"/>
    <w:rsid w:val="001E1570"/>
    <w:rsid w:val="001E2C67"/>
    <w:rsid w:val="001E2D24"/>
    <w:rsid w:val="001E2E05"/>
    <w:rsid w:val="001E3CC8"/>
    <w:rsid w:val="001E3FC5"/>
    <w:rsid w:val="001E42DC"/>
    <w:rsid w:val="001E4A27"/>
    <w:rsid w:val="001E5630"/>
    <w:rsid w:val="001E5833"/>
    <w:rsid w:val="001E6FD9"/>
    <w:rsid w:val="001E703B"/>
    <w:rsid w:val="001F07F3"/>
    <w:rsid w:val="001F0A77"/>
    <w:rsid w:val="001F1CFD"/>
    <w:rsid w:val="001F2653"/>
    <w:rsid w:val="001F3D3C"/>
    <w:rsid w:val="001F4346"/>
    <w:rsid w:val="001F54BE"/>
    <w:rsid w:val="001F5A2C"/>
    <w:rsid w:val="001F5B90"/>
    <w:rsid w:val="001F5C3D"/>
    <w:rsid w:val="002000AB"/>
    <w:rsid w:val="002001B1"/>
    <w:rsid w:val="002014E7"/>
    <w:rsid w:val="002026CC"/>
    <w:rsid w:val="002029A5"/>
    <w:rsid w:val="002031BD"/>
    <w:rsid w:val="002038E3"/>
    <w:rsid w:val="00203D85"/>
    <w:rsid w:val="00203F22"/>
    <w:rsid w:val="002051EC"/>
    <w:rsid w:val="00205F9F"/>
    <w:rsid w:val="00206373"/>
    <w:rsid w:val="0020674C"/>
    <w:rsid w:val="0020753B"/>
    <w:rsid w:val="002109F3"/>
    <w:rsid w:val="0021168B"/>
    <w:rsid w:val="00211B11"/>
    <w:rsid w:val="00212594"/>
    <w:rsid w:val="00212C8F"/>
    <w:rsid w:val="00212D28"/>
    <w:rsid w:val="002131DB"/>
    <w:rsid w:val="002137D0"/>
    <w:rsid w:val="002138A2"/>
    <w:rsid w:val="00213E3C"/>
    <w:rsid w:val="002140A8"/>
    <w:rsid w:val="00214D88"/>
    <w:rsid w:val="00214E65"/>
    <w:rsid w:val="00215247"/>
    <w:rsid w:val="0021574F"/>
    <w:rsid w:val="00215DB3"/>
    <w:rsid w:val="00216CF9"/>
    <w:rsid w:val="00217134"/>
    <w:rsid w:val="002212B4"/>
    <w:rsid w:val="00221456"/>
    <w:rsid w:val="00222018"/>
    <w:rsid w:val="002220D5"/>
    <w:rsid w:val="0022230D"/>
    <w:rsid w:val="00222B1D"/>
    <w:rsid w:val="00224EA3"/>
    <w:rsid w:val="0022510C"/>
    <w:rsid w:val="00225833"/>
    <w:rsid w:val="00227647"/>
    <w:rsid w:val="00227C6D"/>
    <w:rsid w:val="00230003"/>
    <w:rsid w:val="002300C6"/>
    <w:rsid w:val="00230177"/>
    <w:rsid w:val="002304DE"/>
    <w:rsid w:val="002324C0"/>
    <w:rsid w:val="00232742"/>
    <w:rsid w:val="0023275B"/>
    <w:rsid w:val="00232931"/>
    <w:rsid w:val="0023367D"/>
    <w:rsid w:val="00233A44"/>
    <w:rsid w:val="00233F72"/>
    <w:rsid w:val="00235BBB"/>
    <w:rsid w:val="00235F66"/>
    <w:rsid w:val="00236409"/>
    <w:rsid w:val="0023713A"/>
    <w:rsid w:val="0024046F"/>
    <w:rsid w:val="0024133E"/>
    <w:rsid w:val="002424AB"/>
    <w:rsid w:val="002434E8"/>
    <w:rsid w:val="002440EF"/>
    <w:rsid w:val="00244B19"/>
    <w:rsid w:val="00244E83"/>
    <w:rsid w:val="00245A75"/>
    <w:rsid w:val="002464F8"/>
    <w:rsid w:val="00251D8A"/>
    <w:rsid w:val="002542CE"/>
    <w:rsid w:val="0025457D"/>
    <w:rsid w:val="00254645"/>
    <w:rsid w:val="002547E2"/>
    <w:rsid w:val="002555CB"/>
    <w:rsid w:val="0025632B"/>
    <w:rsid w:val="00256945"/>
    <w:rsid w:val="00256E94"/>
    <w:rsid w:val="00257840"/>
    <w:rsid w:val="00261078"/>
    <w:rsid w:val="00262326"/>
    <w:rsid w:val="002634B8"/>
    <w:rsid w:val="0026587B"/>
    <w:rsid w:val="002668E9"/>
    <w:rsid w:val="00267296"/>
    <w:rsid w:val="00267E8E"/>
    <w:rsid w:val="00267EBC"/>
    <w:rsid w:val="00270083"/>
    <w:rsid w:val="002703B5"/>
    <w:rsid w:val="00270767"/>
    <w:rsid w:val="002714B8"/>
    <w:rsid w:val="00271A25"/>
    <w:rsid w:val="00271B2E"/>
    <w:rsid w:val="00272266"/>
    <w:rsid w:val="00272918"/>
    <w:rsid w:val="00273A97"/>
    <w:rsid w:val="002740DD"/>
    <w:rsid w:val="002752C7"/>
    <w:rsid w:val="00275331"/>
    <w:rsid w:val="002760DC"/>
    <w:rsid w:val="0027624B"/>
    <w:rsid w:val="002766AA"/>
    <w:rsid w:val="00280911"/>
    <w:rsid w:val="002810BE"/>
    <w:rsid w:val="00281192"/>
    <w:rsid w:val="00282BBA"/>
    <w:rsid w:val="00282E22"/>
    <w:rsid w:val="00283FBD"/>
    <w:rsid w:val="0028442C"/>
    <w:rsid w:val="00284B24"/>
    <w:rsid w:val="00284DBD"/>
    <w:rsid w:val="00285022"/>
    <w:rsid w:val="0028527D"/>
    <w:rsid w:val="00285FEC"/>
    <w:rsid w:val="0028635B"/>
    <w:rsid w:val="00286762"/>
    <w:rsid w:val="00287514"/>
    <w:rsid w:val="00287A6D"/>
    <w:rsid w:val="00290D1D"/>
    <w:rsid w:val="00290D35"/>
    <w:rsid w:val="00290D6A"/>
    <w:rsid w:val="0029112D"/>
    <w:rsid w:val="00291ABD"/>
    <w:rsid w:val="00291E45"/>
    <w:rsid w:val="00292145"/>
    <w:rsid w:val="00294230"/>
    <w:rsid w:val="00295F08"/>
    <w:rsid w:val="00297EC1"/>
    <w:rsid w:val="002A1EDF"/>
    <w:rsid w:val="002A1F10"/>
    <w:rsid w:val="002A36F8"/>
    <w:rsid w:val="002A4425"/>
    <w:rsid w:val="002A49B4"/>
    <w:rsid w:val="002A52B3"/>
    <w:rsid w:val="002A69C4"/>
    <w:rsid w:val="002A6F1D"/>
    <w:rsid w:val="002A6FA7"/>
    <w:rsid w:val="002A7080"/>
    <w:rsid w:val="002A7854"/>
    <w:rsid w:val="002A7D93"/>
    <w:rsid w:val="002B02B0"/>
    <w:rsid w:val="002B0E7C"/>
    <w:rsid w:val="002B1297"/>
    <w:rsid w:val="002B1B62"/>
    <w:rsid w:val="002B1D37"/>
    <w:rsid w:val="002B2622"/>
    <w:rsid w:val="002B2E0E"/>
    <w:rsid w:val="002B3724"/>
    <w:rsid w:val="002B3949"/>
    <w:rsid w:val="002B50F0"/>
    <w:rsid w:val="002B59B1"/>
    <w:rsid w:val="002B60EF"/>
    <w:rsid w:val="002B654A"/>
    <w:rsid w:val="002B7DDF"/>
    <w:rsid w:val="002C0114"/>
    <w:rsid w:val="002C12C7"/>
    <w:rsid w:val="002C171C"/>
    <w:rsid w:val="002C1CCD"/>
    <w:rsid w:val="002C246F"/>
    <w:rsid w:val="002C42F7"/>
    <w:rsid w:val="002C4DEC"/>
    <w:rsid w:val="002C58CD"/>
    <w:rsid w:val="002C6011"/>
    <w:rsid w:val="002C65F8"/>
    <w:rsid w:val="002C6FFC"/>
    <w:rsid w:val="002C71E4"/>
    <w:rsid w:val="002C72F2"/>
    <w:rsid w:val="002D0424"/>
    <w:rsid w:val="002D1E08"/>
    <w:rsid w:val="002D2FC8"/>
    <w:rsid w:val="002D3172"/>
    <w:rsid w:val="002D31DD"/>
    <w:rsid w:val="002D348C"/>
    <w:rsid w:val="002D4786"/>
    <w:rsid w:val="002D4A20"/>
    <w:rsid w:val="002D4ED5"/>
    <w:rsid w:val="002D5AF7"/>
    <w:rsid w:val="002D6113"/>
    <w:rsid w:val="002D639E"/>
    <w:rsid w:val="002D7AD5"/>
    <w:rsid w:val="002E04F2"/>
    <w:rsid w:val="002E088C"/>
    <w:rsid w:val="002E0E62"/>
    <w:rsid w:val="002E14F8"/>
    <w:rsid w:val="002E187E"/>
    <w:rsid w:val="002E2136"/>
    <w:rsid w:val="002E2539"/>
    <w:rsid w:val="002E259C"/>
    <w:rsid w:val="002E2AD1"/>
    <w:rsid w:val="002E3121"/>
    <w:rsid w:val="002E3839"/>
    <w:rsid w:val="002E3D09"/>
    <w:rsid w:val="002E4953"/>
    <w:rsid w:val="002E57C3"/>
    <w:rsid w:val="002E5D5E"/>
    <w:rsid w:val="002E624D"/>
    <w:rsid w:val="002E65A6"/>
    <w:rsid w:val="002E66D9"/>
    <w:rsid w:val="002E6728"/>
    <w:rsid w:val="002E7877"/>
    <w:rsid w:val="002E7C4C"/>
    <w:rsid w:val="002F2809"/>
    <w:rsid w:val="002F2A26"/>
    <w:rsid w:val="002F30D1"/>
    <w:rsid w:val="002F38B4"/>
    <w:rsid w:val="002F3D38"/>
    <w:rsid w:val="002F5D5B"/>
    <w:rsid w:val="002F607B"/>
    <w:rsid w:val="002F659A"/>
    <w:rsid w:val="002F6FC4"/>
    <w:rsid w:val="002F730A"/>
    <w:rsid w:val="00300BEC"/>
    <w:rsid w:val="00301762"/>
    <w:rsid w:val="00301BA1"/>
    <w:rsid w:val="00301BCA"/>
    <w:rsid w:val="00301ED1"/>
    <w:rsid w:val="00302513"/>
    <w:rsid w:val="0030267C"/>
    <w:rsid w:val="003030C8"/>
    <w:rsid w:val="00303F9F"/>
    <w:rsid w:val="00304A89"/>
    <w:rsid w:val="00305583"/>
    <w:rsid w:val="00305820"/>
    <w:rsid w:val="00305E9C"/>
    <w:rsid w:val="00306EF8"/>
    <w:rsid w:val="003077B3"/>
    <w:rsid w:val="003078B6"/>
    <w:rsid w:val="0031004E"/>
    <w:rsid w:val="003100E4"/>
    <w:rsid w:val="00311272"/>
    <w:rsid w:val="00311A3E"/>
    <w:rsid w:val="00312E25"/>
    <w:rsid w:val="0031351A"/>
    <w:rsid w:val="003140DD"/>
    <w:rsid w:val="00314397"/>
    <w:rsid w:val="0031475D"/>
    <w:rsid w:val="00315083"/>
    <w:rsid w:val="003150A7"/>
    <w:rsid w:val="00315A71"/>
    <w:rsid w:val="00316793"/>
    <w:rsid w:val="00316DF7"/>
    <w:rsid w:val="003179E4"/>
    <w:rsid w:val="00317B2C"/>
    <w:rsid w:val="00320A07"/>
    <w:rsid w:val="00321FF4"/>
    <w:rsid w:val="003221D3"/>
    <w:rsid w:val="00323603"/>
    <w:rsid w:val="00324501"/>
    <w:rsid w:val="00324FC0"/>
    <w:rsid w:val="00326AF6"/>
    <w:rsid w:val="0032702D"/>
    <w:rsid w:val="00331A2D"/>
    <w:rsid w:val="003328DC"/>
    <w:rsid w:val="00333235"/>
    <w:rsid w:val="0033352B"/>
    <w:rsid w:val="003369C5"/>
    <w:rsid w:val="00337937"/>
    <w:rsid w:val="003412AE"/>
    <w:rsid w:val="003415DB"/>
    <w:rsid w:val="00341856"/>
    <w:rsid w:val="003429E8"/>
    <w:rsid w:val="00342E05"/>
    <w:rsid w:val="00344579"/>
    <w:rsid w:val="00346088"/>
    <w:rsid w:val="00346573"/>
    <w:rsid w:val="00347F53"/>
    <w:rsid w:val="003501C3"/>
    <w:rsid w:val="00350C42"/>
    <w:rsid w:val="00350DDA"/>
    <w:rsid w:val="00350F8A"/>
    <w:rsid w:val="003515C5"/>
    <w:rsid w:val="00351922"/>
    <w:rsid w:val="00352663"/>
    <w:rsid w:val="00352C74"/>
    <w:rsid w:val="00354545"/>
    <w:rsid w:val="00354BE7"/>
    <w:rsid w:val="00355167"/>
    <w:rsid w:val="00355B41"/>
    <w:rsid w:val="00355DBD"/>
    <w:rsid w:val="00355E1A"/>
    <w:rsid w:val="00356576"/>
    <w:rsid w:val="00356C39"/>
    <w:rsid w:val="0035739C"/>
    <w:rsid w:val="003576AB"/>
    <w:rsid w:val="003600D8"/>
    <w:rsid w:val="00360600"/>
    <w:rsid w:val="00360FE2"/>
    <w:rsid w:val="00361DEB"/>
    <w:rsid w:val="0036256D"/>
    <w:rsid w:val="00365577"/>
    <w:rsid w:val="00365856"/>
    <w:rsid w:val="00365D23"/>
    <w:rsid w:val="0036795A"/>
    <w:rsid w:val="00367FF1"/>
    <w:rsid w:val="00371118"/>
    <w:rsid w:val="0037122D"/>
    <w:rsid w:val="00371507"/>
    <w:rsid w:val="003719C6"/>
    <w:rsid w:val="0037206C"/>
    <w:rsid w:val="003729BB"/>
    <w:rsid w:val="00372D6F"/>
    <w:rsid w:val="003732D6"/>
    <w:rsid w:val="00374865"/>
    <w:rsid w:val="0037493F"/>
    <w:rsid w:val="00374BEE"/>
    <w:rsid w:val="003754DA"/>
    <w:rsid w:val="00375904"/>
    <w:rsid w:val="00377035"/>
    <w:rsid w:val="00380251"/>
    <w:rsid w:val="0038140D"/>
    <w:rsid w:val="003829B5"/>
    <w:rsid w:val="00382CF3"/>
    <w:rsid w:val="003836B2"/>
    <w:rsid w:val="00383FE5"/>
    <w:rsid w:val="00384030"/>
    <w:rsid w:val="003852D8"/>
    <w:rsid w:val="003854EB"/>
    <w:rsid w:val="00385923"/>
    <w:rsid w:val="00386A39"/>
    <w:rsid w:val="0038703C"/>
    <w:rsid w:val="0038725A"/>
    <w:rsid w:val="00387B42"/>
    <w:rsid w:val="00387F91"/>
    <w:rsid w:val="0039172C"/>
    <w:rsid w:val="0039227D"/>
    <w:rsid w:val="003922C4"/>
    <w:rsid w:val="00393C3D"/>
    <w:rsid w:val="00395256"/>
    <w:rsid w:val="003965E6"/>
    <w:rsid w:val="00396851"/>
    <w:rsid w:val="00396C13"/>
    <w:rsid w:val="003A030B"/>
    <w:rsid w:val="003A1EC7"/>
    <w:rsid w:val="003A2480"/>
    <w:rsid w:val="003A2847"/>
    <w:rsid w:val="003A460E"/>
    <w:rsid w:val="003A5812"/>
    <w:rsid w:val="003A5B53"/>
    <w:rsid w:val="003A6C68"/>
    <w:rsid w:val="003A6F41"/>
    <w:rsid w:val="003A73F2"/>
    <w:rsid w:val="003B07CC"/>
    <w:rsid w:val="003B09B4"/>
    <w:rsid w:val="003B0BC8"/>
    <w:rsid w:val="003B47A8"/>
    <w:rsid w:val="003B61F8"/>
    <w:rsid w:val="003B6AC5"/>
    <w:rsid w:val="003B6B72"/>
    <w:rsid w:val="003B709A"/>
    <w:rsid w:val="003B7D1C"/>
    <w:rsid w:val="003C0D0E"/>
    <w:rsid w:val="003C11B1"/>
    <w:rsid w:val="003C1CEC"/>
    <w:rsid w:val="003C1F63"/>
    <w:rsid w:val="003C22D1"/>
    <w:rsid w:val="003C2CCD"/>
    <w:rsid w:val="003C2EDC"/>
    <w:rsid w:val="003C3B40"/>
    <w:rsid w:val="003C4572"/>
    <w:rsid w:val="003C59D2"/>
    <w:rsid w:val="003C6FB6"/>
    <w:rsid w:val="003C77BB"/>
    <w:rsid w:val="003C7B5F"/>
    <w:rsid w:val="003C7DF1"/>
    <w:rsid w:val="003D07F8"/>
    <w:rsid w:val="003D16EE"/>
    <w:rsid w:val="003D1CB2"/>
    <w:rsid w:val="003D1FD8"/>
    <w:rsid w:val="003D30E0"/>
    <w:rsid w:val="003D3350"/>
    <w:rsid w:val="003D34A4"/>
    <w:rsid w:val="003D375E"/>
    <w:rsid w:val="003D37ED"/>
    <w:rsid w:val="003D3E0C"/>
    <w:rsid w:val="003D5C20"/>
    <w:rsid w:val="003D7130"/>
    <w:rsid w:val="003D73A0"/>
    <w:rsid w:val="003D7469"/>
    <w:rsid w:val="003D7E49"/>
    <w:rsid w:val="003E03DD"/>
    <w:rsid w:val="003E041E"/>
    <w:rsid w:val="003E0B90"/>
    <w:rsid w:val="003E0DCA"/>
    <w:rsid w:val="003E147D"/>
    <w:rsid w:val="003E2075"/>
    <w:rsid w:val="003E2959"/>
    <w:rsid w:val="003E2DCE"/>
    <w:rsid w:val="003E7204"/>
    <w:rsid w:val="003E7711"/>
    <w:rsid w:val="003E7D86"/>
    <w:rsid w:val="003F008F"/>
    <w:rsid w:val="003F01FF"/>
    <w:rsid w:val="003F0B60"/>
    <w:rsid w:val="003F0E0F"/>
    <w:rsid w:val="003F2A12"/>
    <w:rsid w:val="003F2AA0"/>
    <w:rsid w:val="003F3107"/>
    <w:rsid w:val="003F31D6"/>
    <w:rsid w:val="003F356F"/>
    <w:rsid w:val="003F46FA"/>
    <w:rsid w:val="003F4787"/>
    <w:rsid w:val="003F4D0D"/>
    <w:rsid w:val="003F52C3"/>
    <w:rsid w:val="003F5788"/>
    <w:rsid w:val="003F5F39"/>
    <w:rsid w:val="003F6913"/>
    <w:rsid w:val="003F7019"/>
    <w:rsid w:val="003F7A06"/>
    <w:rsid w:val="0040009C"/>
    <w:rsid w:val="004011CF"/>
    <w:rsid w:val="0040182E"/>
    <w:rsid w:val="00402100"/>
    <w:rsid w:val="004023FF"/>
    <w:rsid w:val="00402E3D"/>
    <w:rsid w:val="00403D14"/>
    <w:rsid w:val="0040407A"/>
    <w:rsid w:val="00404250"/>
    <w:rsid w:val="004047C7"/>
    <w:rsid w:val="00404CC5"/>
    <w:rsid w:val="004055E4"/>
    <w:rsid w:val="00406614"/>
    <w:rsid w:val="00406B55"/>
    <w:rsid w:val="0040739E"/>
    <w:rsid w:val="00411096"/>
    <w:rsid w:val="004115C4"/>
    <w:rsid w:val="00411B1B"/>
    <w:rsid w:val="004132D9"/>
    <w:rsid w:val="0041394B"/>
    <w:rsid w:val="0041405E"/>
    <w:rsid w:val="004144FC"/>
    <w:rsid w:val="004145B8"/>
    <w:rsid w:val="004158C0"/>
    <w:rsid w:val="00415D39"/>
    <w:rsid w:val="00416259"/>
    <w:rsid w:val="0041654E"/>
    <w:rsid w:val="00416890"/>
    <w:rsid w:val="00416983"/>
    <w:rsid w:val="0041764A"/>
    <w:rsid w:val="00417E5F"/>
    <w:rsid w:val="00420201"/>
    <w:rsid w:val="00420512"/>
    <w:rsid w:val="00420A68"/>
    <w:rsid w:val="00420CF9"/>
    <w:rsid w:val="00420E17"/>
    <w:rsid w:val="004212A7"/>
    <w:rsid w:val="004224E5"/>
    <w:rsid w:val="0042318F"/>
    <w:rsid w:val="004233EF"/>
    <w:rsid w:val="004256ED"/>
    <w:rsid w:val="00425D66"/>
    <w:rsid w:val="004265F1"/>
    <w:rsid w:val="00426EDF"/>
    <w:rsid w:val="00427C25"/>
    <w:rsid w:val="004330E1"/>
    <w:rsid w:val="0043357A"/>
    <w:rsid w:val="0043428A"/>
    <w:rsid w:val="00434D71"/>
    <w:rsid w:val="00435A66"/>
    <w:rsid w:val="00435EFE"/>
    <w:rsid w:val="00436978"/>
    <w:rsid w:val="004412B6"/>
    <w:rsid w:val="00442674"/>
    <w:rsid w:val="0044272B"/>
    <w:rsid w:val="004430E0"/>
    <w:rsid w:val="00444E46"/>
    <w:rsid w:val="00445E68"/>
    <w:rsid w:val="00446217"/>
    <w:rsid w:val="004477B2"/>
    <w:rsid w:val="00450A62"/>
    <w:rsid w:val="004517A7"/>
    <w:rsid w:val="00451A16"/>
    <w:rsid w:val="004530F3"/>
    <w:rsid w:val="004545BE"/>
    <w:rsid w:val="00454F49"/>
    <w:rsid w:val="00456454"/>
    <w:rsid w:val="00457679"/>
    <w:rsid w:val="004607BE"/>
    <w:rsid w:val="00460C68"/>
    <w:rsid w:val="00460CCC"/>
    <w:rsid w:val="00460CF0"/>
    <w:rsid w:val="00461315"/>
    <w:rsid w:val="00462967"/>
    <w:rsid w:val="004630A5"/>
    <w:rsid w:val="00463403"/>
    <w:rsid w:val="0046384E"/>
    <w:rsid w:val="00463C89"/>
    <w:rsid w:val="00463E24"/>
    <w:rsid w:val="00464329"/>
    <w:rsid w:val="00465197"/>
    <w:rsid w:val="0046573E"/>
    <w:rsid w:val="00465AD6"/>
    <w:rsid w:val="004668E5"/>
    <w:rsid w:val="00470983"/>
    <w:rsid w:val="00470BEF"/>
    <w:rsid w:val="00473033"/>
    <w:rsid w:val="00474231"/>
    <w:rsid w:val="00474C80"/>
    <w:rsid w:val="00474CFF"/>
    <w:rsid w:val="00475283"/>
    <w:rsid w:val="004752FD"/>
    <w:rsid w:val="004755A0"/>
    <w:rsid w:val="0047586F"/>
    <w:rsid w:val="00475B5A"/>
    <w:rsid w:val="00475DFC"/>
    <w:rsid w:val="00476AD8"/>
    <w:rsid w:val="00476F34"/>
    <w:rsid w:val="00480FFE"/>
    <w:rsid w:val="00481CA5"/>
    <w:rsid w:val="004829D8"/>
    <w:rsid w:val="00482F2D"/>
    <w:rsid w:val="0048336F"/>
    <w:rsid w:val="00483640"/>
    <w:rsid w:val="0048476A"/>
    <w:rsid w:val="00484843"/>
    <w:rsid w:val="004853BC"/>
    <w:rsid w:val="00485D2F"/>
    <w:rsid w:val="00486DF0"/>
    <w:rsid w:val="00487806"/>
    <w:rsid w:val="00487B3C"/>
    <w:rsid w:val="00490005"/>
    <w:rsid w:val="00490073"/>
    <w:rsid w:val="004902C0"/>
    <w:rsid w:val="00490D83"/>
    <w:rsid w:val="004916C9"/>
    <w:rsid w:val="00491E4D"/>
    <w:rsid w:val="00494196"/>
    <w:rsid w:val="00494C33"/>
    <w:rsid w:val="00494C6A"/>
    <w:rsid w:val="00495556"/>
    <w:rsid w:val="00495850"/>
    <w:rsid w:val="00496CC6"/>
    <w:rsid w:val="00497190"/>
    <w:rsid w:val="004A0E30"/>
    <w:rsid w:val="004A12CB"/>
    <w:rsid w:val="004A2A58"/>
    <w:rsid w:val="004A2B0F"/>
    <w:rsid w:val="004A35EF"/>
    <w:rsid w:val="004A4655"/>
    <w:rsid w:val="004A4D86"/>
    <w:rsid w:val="004A4EFA"/>
    <w:rsid w:val="004A51EF"/>
    <w:rsid w:val="004A60DE"/>
    <w:rsid w:val="004A62D4"/>
    <w:rsid w:val="004A6A6A"/>
    <w:rsid w:val="004A6B4F"/>
    <w:rsid w:val="004A6DA9"/>
    <w:rsid w:val="004A6E72"/>
    <w:rsid w:val="004A71D6"/>
    <w:rsid w:val="004A755B"/>
    <w:rsid w:val="004A7B90"/>
    <w:rsid w:val="004A7DC6"/>
    <w:rsid w:val="004B03E7"/>
    <w:rsid w:val="004B082C"/>
    <w:rsid w:val="004B123F"/>
    <w:rsid w:val="004B2F02"/>
    <w:rsid w:val="004B3462"/>
    <w:rsid w:val="004B38F4"/>
    <w:rsid w:val="004B47F1"/>
    <w:rsid w:val="004B4D2E"/>
    <w:rsid w:val="004B5B79"/>
    <w:rsid w:val="004B6004"/>
    <w:rsid w:val="004C09E3"/>
    <w:rsid w:val="004C0D23"/>
    <w:rsid w:val="004C1B25"/>
    <w:rsid w:val="004C42E0"/>
    <w:rsid w:val="004C4EB8"/>
    <w:rsid w:val="004C5758"/>
    <w:rsid w:val="004C5E66"/>
    <w:rsid w:val="004C5F74"/>
    <w:rsid w:val="004C66E3"/>
    <w:rsid w:val="004C6FCE"/>
    <w:rsid w:val="004C7F98"/>
    <w:rsid w:val="004D0723"/>
    <w:rsid w:val="004D09FD"/>
    <w:rsid w:val="004D0C52"/>
    <w:rsid w:val="004D140F"/>
    <w:rsid w:val="004D1531"/>
    <w:rsid w:val="004D1B22"/>
    <w:rsid w:val="004D1FBC"/>
    <w:rsid w:val="004D2FF8"/>
    <w:rsid w:val="004D410D"/>
    <w:rsid w:val="004D4F3B"/>
    <w:rsid w:val="004D68BA"/>
    <w:rsid w:val="004D7040"/>
    <w:rsid w:val="004E075A"/>
    <w:rsid w:val="004E11D4"/>
    <w:rsid w:val="004E1467"/>
    <w:rsid w:val="004E1F67"/>
    <w:rsid w:val="004E2909"/>
    <w:rsid w:val="004E2C0D"/>
    <w:rsid w:val="004E3C4D"/>
    <w:rsid w:val="004E3D04"/>
    <w:rsid w:val="004E452B"/>
    <w:rsid w:val="004E48A5"/>
    <w:rsid w:val="004E4FD4"/>
    <w:rsid w:val="004E5017"/>
    <w:rsid w:val="004E5A10"/>
    <w:rsid w:val="004E6FB4"/>
    <w:rsid w:val="004E773C"/>
    <w:rsid w:val="004F013C"/>
    <w:rsid w:val="004F057F"/>
    <w:rsid w:val="004F0874"/>
    <w:rsid w:val="004F0D29"/>
    <w:rsid w:val="004F144C"/>
    <w:rsid w:val="004F237D"/>
    <w:rsid w:val="004F265C"/>
    <w:rsid w:val="004F2CBE"/>
    <w:rsid w:val="004F3115"/>
    <w:rsid w:val="004F43B4"/>
    <w:rsid w:val="004F4A50"/>
    <w:rsid w:val="004F4F5D"/>
    <w:rsid w:val="004F547F"/>
    <w:rsid w:val="004F56AE"/>
    <w:rsid w:val="004F57C5"/>
    <w:rsid w:val="004F61E6"/>
    <w:rsid w:val="004F6231"/>
    <w:rsid w:val="004F73BF"/>
    <w:rsid w:val="004F7EFB"/>
    <w:rsid w:val="0050081C"/>
    <w:rsid w:val="00500959"/>
    <w:rsid w:val="00501FC0"/>
    <w:rsid w:val="00502946"/>
    <w:rsid w:val="0050310A"/>
    <w:rsid w:val="005049FA"/>
    <w:rsid w:val="00504FFB"/>
    <w:rsid w:val="00505054"/>
    <w:rsid w:val="005051EA"/>
    <w:rsid w:val="0050525E"/>
    <w:rsid w:val="00506799"/>
    <w:rsid w:val="00506886"/>
    <w:rsid w:val="00506B4B"/>
    <w:rsid w:val="00506E8B"/>
    <w:rsid w:val="00507012"/>
    <w:rsid w:val="005077CA"/>
    <w:rsid w:val="00510A6E"/>
    <w:rsid w:val="00511543"/>
    <w:rsid w:val="00511985"/>
    <w:rsid w:val="00512B19"/>
    <w:rsid w:val="00513717"/>
    <w:rsid w:val="00513EC0"/>
    <w:rsid w:val="00514D03"/>
    <w:rsid w:val="00515C61"/>
    <w:rsid w:val="00515E3F"/>
    <w:rsid w:val="00515FA1"/>
    <w:rsid w:val="00516109"/>
    <w:rsid w:val="0052165F"/>
    <w:rsid w:val="00523194"/>
    <w:rsid w:val="005233F5"/>
    <w:rsid w:val="00524085"/>
    <w:rsid w:val="00525002"/>
    <w:rsid w:val="005262E9"/>
    <w:rsid w:val="0052764B"/>
    <w:rsid w:val="005276F2"/>
    <w:rsid w:val="0053034A"/>
    <w:rsid w:val="00530F16"/>
    <w:rsid w:val="00531E59"/>
    <w:rsid w:val="00531FD0"/>
    <w:rsid w:val="005334C6"/>
    <w:rsid w:val="0053392B"/>
    <w:rsid w:val="00533A33"/>
    <w:rsid w:val="005340CD"/>
    <w:rsid w:val="005357E0"/>
    <w:rsid w:val="00535E63"/>
    <w:rsid w:val="0053678D"/>
    <w:rsid w:val="00536851"/>
    <w:rsid w:val="00536B27"/>
    <w:rsid w:val="00536CD6"/>
    <w:rsid w:val="005372B2"/>
    <w:rsid w:val="00537DFE"/>
    <w:rsid w:val="00542027"/>
    <w:rsid w:val="00542451"/>
    <w:rsid w:val="00544835"/>
    <w:rsid w:val="005454F2"/>
    <w:rsid w:val="00545856"/>
    <w:rsid w:val="00545984"/>
    <w:rsid w:val="0054598B"/>
    <w:rsid w:val="005462BE"/>
    <w:rsid w:val="00546ADF"/>
    <w:rsid w:val="00546AEB"/>
    <w:rsid w:val="00546FEE"/>
    <w:rsid w:val="00547219"/>
    <w:rsid w:val="005475F6"/>
    <w:rsid w:val="00547891"/>
    <w:rsid w:val="00550AB8"/>
    <w:rsid w:val="005514CC"/>
    <w:rsid w:val="005519C8"/>
    <w:rsid w:val="00552075"/>
    <w:rsid w:val="00552865"/>
    <w:rsid w:val="005529F8"/>
    <w:rsid w:val="00552C21"/>
    <w:rsid w:val="00552FDF"/>
    <w:rsid w:val="00553102"/>
    <w:rsid w:val="00553111"/>
    <w:rsid w:val="00553430"/>
    <w:rsid w:val="00553C95"/>
    <w:rsid w:val="00554258"/>
    <w:rsid w:val="005542CE"/>
    <w:rsid w:val="00554D27"/>
    <w:rsid w:val="00555642"/>
    <w:rsid w:val="00555CC5"/>
    <w:rsid w:val="005568E1"/>
    <w:rsid w:val="00556F5C"/>
    <w:rsid w:val="0055786E"/>
    <w:rsid w:val="00557E28"/>
    <w:rsid w:val="00557F61"/>
    <w:rsid w:val="005605CA"/>
    <w:rsid w:val="00561469"/>
    <w:rsid w:val="0056147E"/>
    <w:rsid w:val="0056164F"/>
    <w:rsid w:val="0056234B"/>
    <w:rsid w:val="00562688"/>
    <w:rsid w:val="00565706"/>
    <w:rsid w:val="005657D6"/>
    <w:rsid w:val="005659E1"/>
    <w:rsid w:val="005665B2"/>
    <w:rsid w:val="005666EC"/>
    <w:rsid w:val="00566BE3"/>
    <w:rsid w:val="005670DA"/>
    <w:rsid w:val="005701ED"/>
    <w:rsid w:val="00571909"/>
    <w:rsid w:val="00572734"/>
    <w:rsid w:val="00572F19"/>
    <w:rsid w:val="00573740"/>
    <w:rsid w:val="00573A23"/>
    <w:rsid w:val="00573E44"/>
    <w:rsid w:val="00576421"/>
    <w:rsid w:val="0057654D"/>
    <w:rsid w:val="00576784"/>
    <w:rsid w:val="00581394"/>
    <w:rsid w:val="00581477"/>
    <w:rsid w:val="00581ED1"/>
    <w:rsid w:val="00582046"/>
    <w:rsid w:val="00583203"/>
    <w:rsid w:val="005834B1"/>
    <w:rsid w:val="00583A5C"/>
    <w:rsid w:val="00583EFE"/>
    <w:rsid w:val="00584E4D"/>
    <w:rsid w:val="00585261"/>
    <w:rsid w:val="0058580F"/>
    <w:rsid w:val="00585983"/>
    <w:rsid w:val="00586A1D"/>
    <w:rsid w:val="00586A5C"/>
    <w:rsid w:val="00586B8F"/>
    <w:rsid w:val="00587381"/>
    <w:rsid w:val="00587CB3"/>
    <w:rsid w:val="005910BC"/>
    <w:rsid w:val="00592124"/>
    <w:rsid w:val="00592A8C"/>
    <w:rsid w:val="005931D5"/>
    <w:rsid w:val="00593A5A"/>
    <w:rsid w:val="00593C3C"/>
    <w:rsid w:val="00593D17"/>
    <w:rsid w:val="00593FCB"/>
    <w:rsid w:val="005940E4"/>
    <w:rsid w:val="00595214"/>
    <w:rsid w:val="0059604A"/>
    <w:rsid w:val="00596755"/>
    <w:rsid w:val="005A1504"/>
    <w:rsid w:val="005A1F51"/>
    <w:rsid w:val="005A2111"/>
    <w:rsid w:val="005A2133"/>
    <w:rsid w:val="005A2471"/>
    <w:rsid w:val="005A2FCC"/>
    <w:rsid w:val="005A50CC"/>
    <w:rsid w:val="005A51D1"/>
    <w:rsid w:val="005A5C22"/>
    <w:rsid w:val="005A61C2"/>
    <w:rsid w:val="005A7099"/>
    <w:rsid w:val="005A74DD"/>
    <w:rsid w:val="005A7FB1"/>
    <w:rsid w:val="005B0317"/>
    <w:rsid w:val="005B0642"/>
    <w:rsid w:val="005B066E"/>
    <w:rsid w:val="005B0B07"/>
    <w:rsid w:val="005B0D63"/>
    <w:rsid w:val="005B13D8"/>
    <w:rsid w:val="005B1849"/>
    <w:rsid w:val="005B1A71"/>
    <w:rsid w:val="005B3C93"/>
    <w:rsid w:val="005B4858"/>
    <w:rsid w:val="005B590A"/>
    <w:rsid w:val="005B59F5"/>
    <w:rsid w:val="005B5AD7"/>
    <w:rsid w:val="005B63A4"/>
    <w:rsid w:val="005B63BE"/>
    <w:rsid w:val="005B7590"/>
    <w:rsid w:val="005C010B"/>
    <w:rsid w:val="005C0241"/>
    <w:rsid w:val="005C0AA2"/>
    <w:rsid w:val="005C1353"/>
    <w:rsid w:val="005C15AD"/>
    <w:rsid w:val="005C1C7E"/>
    <w:rsid w:val="005C1CE0"/>
    <w:rsid w:val="005C2DF9"/>
    <w:rsid w:val="005C3B80"/>
    <w:rsid w:val="005C469B"/>
    <w:rsid w:val="005C4A6C"/>
    <w:rsid w:val="005C4C80"/>
    <w:rsid w:val="005C4E76"/>
    <w:rsid w:val="005C521F"/>
    <w:rsid w:val="005C5D6F"/>
    <w:rsid w:val="005D0620"/>
    <w:rsid w:val="005D0FD4"/>
    <w:rsid w:val="005D1839"/>
    <w:rsid w:val="005D2CEF"/>
    <w:rsid w:val="005D37A4"/>
    <w:rsid w:val="005D3ED8"/>
    <w:rsid w:val="005D3EFC"/>
    <w:rsid w:val="005D458A"/>
    <w:rsid w:val="005D5928"/>
    <w:rsid w:val="005D6905"/>
    <w:rsid w:val="005D78B3"/>
    <w:rsid w:val="005E08D9"/>
    <w:rsid w:val="005E1D3F"/>
    <w:rsid w:val="005E2A2B"/>
    <w:rsid w:val="005E3D36"/>
    <w:rsid w:val="005E3D8B"/>
    <w:rsid w:val="005E46F8"/>
    <w:rsid w:val="005E5284"/>
    <w:rsid w:val="005E652D"/>
    <w:rsid w:val="005E675E"/>
    <w:rsid w:val="005E6D24"/>
    <w:rsid w:val="005E7961"/>
    <w:rsid w:val="005F01C9"/>
    <w:rsid w:val="005F07E9"/>
    <w:rsid w:val="005F0C9F"/>
    <w:rsid w:val="005F14E2"/>
    <w:rsid w:val="005F1FE1"/>
    <w:rsid w:val="005F2095"/>
    <w:rsid w:val="005F3D89"/>
    <w:rsid w:val="005F4397"/>
    <w:rsid w:val="005F4EA9"/>
    <w:rsid w:val="005F4ECF"/>
    <w:rsid w:val="005F58B1"/>
    <w:rsid w:val="005F5D5F"/>
    <w:rsid w:val="005F5EC5"/>
    <w:rsid w:val="005F6006"/>
    <w:rsid w:val="005F6065"/>
    <w:rsid w:val="005F703E"/>
    <w:rsid w:val="005F7142"/>
    <w:rsid w:val="0060009F"/>
    <w:rsid w:val="006000EA"/>
    <w:rsid w:val="00600295"/>
    <w:rsid w:val="00600543"/>
    <w:rsid w:val="0060071D"/>
    <w:rsid w:val="0060094F"/>
    <w:rsid w:val="00600D96"/>
    <w:rsid w:val="0060119C"/>
    <w:rsid w:val="00601F1D"/>
    <w:rsid w:val="006031B6"/>
    <w:rsid w:val="00603479"/>
    <w:rsid w:val="006035AA"/>
    <w:rsid w:val="0060459D"/>
    <w:rsid w:val="0060536F"/>
    <w:rsid w:val="00605735"/>
    <w:rsid w:val="00606672"/>
    <w:rsid w:val="00606C40"/>
    <w:rsid w:val="006075E3"/>
    <w:rsid w:val="00607EAB"/>
    <w:rsid w:val="006101E1"/>
    <w:rsid w:val="00610EA1"/>
    <w:rsid w:val="00611413"/>
    <w:rsid w:val="00612BAF"/>
    <w:rsid w:val="006133FB"/>
    <w:rsid w:val="006138EA"/>
    <w:rsid w:val="0061574C"/>
    <w:rsid w:val="006164B2"/>
    <w:rsid w:val="006164F4"/>
    <w:rsid w:val="00616E1F"/>
    <w:rsid w:val="00617129"/>
    <w:rsid w:val="00617826"/>
    <w:rsid w:val="0061796E"/>
    <w:rsid w:val="006179FC"/>
    <w:rsid w:val="00617F84"/>
    <w:rsid w:val="006208DC"/>
    <w:rsid w:val="00621282"/>
    <w:rsid w:val="006216AE"/>
    <w:rsid w:val="0062215C"/>
    <w:rsid w:val="006225B5"/>
    <w:rsid w:val="00623793"/>
    <w:rsid w:val="006241BB"/>
    <w:rsid w:val="0062447E"/>
    <w:rsid w:val="00624A0E"/>
    <w:rsid w:val="00625935"/>
    <w:rsid w:val="00625968"/>
    <w:rsid w:val="00625C5B"/>
    <w:rsid w:val="0062669F"/>
    <w:rsid w:val="006272FD"/>
    <w:rsid w:val="0062783E"/>
    <w:rsid w:val="00627D35"/>
    <w:rsid w:val="00631047"/>
    <w:rsid w:val="00631D69"/>
    <w:rsid w:val="00632026"/>
    <w:rsid w:val="006326B4"/>
    <w:rsid w:val="00632867"/>
    <w:rsid w:val="00632F8D"/>
    <w:rsid w:val="00634C7C"/>
    <w:rsid w:val="0063701C"/>
    <w:rsid w:val="006370AA"/>
    <w:rsid w:val="00637263"/>
    <w:rsid w:val="006412EC"/>
    <w:rsid w:val="00642300"/>
    <w:rsid w:val="006428F3"/>
    <w:rsid w:val="00642AE7"/>
    <w:rsid w:val="00643BBC"/>
    <w:rsid w:val="00643C9F"/>
    <w:rsid w:val="006440B6"/>
    <w:rsid w:val="006452D6"/>
    <w:rsid w:val="006455A8"/>
    <w:rsid w:val="00645929"/>
    <w:rsid w:val="0064709C"/>
    <w:rsid w:val="0064787A"/>
    <w:rsid w:val="00650F95"/>
    <w:rsid w:val="006514BA"/>
    <w:rsid w:val="00651530"/>
    <w:rsid w:val="006516E6"/>
    <w:rsid w:val="006529A5"/>
    <w:rsid w:val="006529BA"/>
    <w:rsid w:val="00652B4C"/>
    <w:rsid w:val="00652CFE"/>
    <w:rsid w:val="006534BB"/>
    <w:rsid w:val="00654CF1"/>
    <w:rsid w:val="00654FD9"/>
    <w:rsid w:val="006554D5"/>
    <w:rsid w:val="00656894"/>
    <w:rsid w:val="006569CF"/>
    <w:rsid w:val="00657CE7"/>
    <w:rsid w:val="00657CF5"/>
    <w:rsid w:val="00660079"/>
    <w:rsid w:val="00660206"/>
    <w:rsid w:val="00660256"/>
    <w:rsid w:val="00660CAE"/>
    <w:rsid w:val="00661402"/>
    <w:rsid w:val="006620DB"/>
    <w:rsid w:val="006622AD"/>
    <w:rsid w:val="0066274F"/>
    <w:rsid w:val="00663A35"/>
    <w:rsid w:val="00663FC3"/>
    <w:rsid w:val="00663FDE"/>
    <w:rsid w:val="0066412E"/>
    <w:rsid w:val="006647BA"/>
    <w:rsid w:val="00664C5D"/>
    <w:rsid w:val="00665016"/>
    <w:rsid w:val="00666562"/>
    <w:rsid w:val="00666DF1"/>
    <w:rsid w:val="00667070"/>
    <w:rsid w:val="006675E3"/>
    <w:rsid w:val="0066765E"/>
    <w:rsid w:val="00667BCC"/>
    <w:rsid w:val="006701A3"/>
    <w:rsid w:val="006702D4"/>
    <w:rsid w:val="00670428"/>
    <w:rsid w:val="00670AA8"/>
    <w:rsid w:val="00670D23"/>
    <w:rsid w:val="00671B82"/>
    <w:rsid w:val="0067276D"/>
    <w:rsid w:val="00672D96"/>
    <w:rsid w:val="00673ECD"/>
    <w:rsid w:val="00674539"/>
    <w:rsid w:val="00674EF4"/>
    <w:rsid w:val="006760A8"/>
    <w:rsid w:val="00676B0C"/>
    <w:rsid w:val="00677870"/>
    <w:rsid w:val="0068058D"/>
    <w:rsid w:val="00680980"/>
    <w:rsid w:val="00682EB9"/>
    <w:rsid w:val="0068335F"/>
    <w:rsid w:val="00684306"/>
    <w:rsid w:val="0068459D"/>
    <w:rsid w:val="006849EC"/>
    <w:rsid w:val="0068566E"/>
    <w:rsid w:val="006867ED"/>
    <w:rsid w:val="00686D28"/>
    <w:rsid w:val="00686E22"/>
    <w:rsid w:val="0068731A"/>
    <w:rsid w:val="006902DC"/>
    <w:rsid w:val="006917CB"/>
    <w:rsid w:val="00691E3D"/>
    <w:rsid w:val="00692A54"/>
    <w:rsid w:val="00692F11"/>
    <w:rsid w:val="00694924"/>
    <w:rsid w:val="00694A08"/>
    <w:rsid w:val="00694ECD"/>
    <w:rsid w:val="00697813"/>
    <w:rsid w:val="00697870"/>
    <w:rsid w:val="006A0A12"/>
    <w:rsid w:val="006A0C6D"/>
    <w:rsid w:val="006A0CC4"/>
    <w:rsid w:val="006A1A29"/>
    <w:rsid w:val="006A239B"/>
    <w:rsid w:val="006A26D5"/>
    <w:rsid w:val="006A3010"/>
    <w:rsid w:val="006A3186"/>
    <w:rsid w:val="006A48BC"/>
    <w:rsid w:val="006A4B90"/>
    <w:rsid w:val="006A723B"/>
    <w:rsid w:val="006A7A93"/>
    <w:rsid w:val="006B0B3D"/>
    <w:rsid w:val="006B0E42"/>
    <w:rsid w:val="006B1919"/>
    <w:rsid w:val="006B1B43"/>
    <w:rsid w:val="006B21A8"/>
    <w:rsid w:val="006B30A7"/>
    <w:rsid w:val="006B3B63"/>
    <w:rsid w:val="006B4835"/>
    <w:rsid w:val="006B575A"/>
    <w:rsid w:val="006B650A"/>
    <w:rsid w:val="006B71B1"/>
    <w:rsid w:val="006C0739"/>
    <w:rsid w:val="006C1032"/>
    <w:rsid w:val="006C121E"/>
    <w:rsid w:val="006C1E20"/>
    <w:rsid w:val="006C2458"/>
    <w:rsid w:val="006C2717"/>
    <w:rsid w:val="006C276D"/>
    <w:rsid w:val="006C3F75"/>
    <w:rsid w:val="006C444C"/>
    <w:rsid w:val="006C4DCC"/>
    <w:rsid w:val="006C4F73"/>
    <w:rsid w:val="006C51A3"/>
    <w:rsid w:val="006C5469"/>
    <w:rsid w:val="006C5977"/>
    <w:rsid w:val="006C7F49"/>
    <w:rsid w:val="006D0166"/>
    <w:rsid w:val="006D03DF"/>
    <w:rsid w:val="006D0EE3"/>
    <w:rsid w:val="006D201C"/>
    <w:rsid w:val="006D257D"/>
    <w:rsid w:val="006D3754"/>
    <w:rsid w:val="006D3E2B"/>
    <w:rsid w:val="006D42E6"/>
    <w:rsid w:val="006D45D0"/>
    <w:rsid w:val="006D4BB8"/>
    <w:rsid w:val="006D538F"/>
    <w:rsid w:val="006D5B66"/>
    <w:rsid w:val="006D63FF"/>
    <w:rsid w:val="006D68D7"/>
    <w:rsid w:val="006E0A37"/>
    <w:rsid w:val="006E0F03"/>
    <w:rsid w:val="006E1637"/>
    <w:rsid w:val="006E1F51"/>
    <w:rsid w:val="006E2631"/>
    <w:rsid w:val="006E2711"/>
    <w:rsid w:val="006E364B"/>
    <w:rsid w:val="006E4438"/>
    <w:rsid w:val="006E4CAF"/>
    <w:rsid w:val="006E5F32"/>
    <w:rsid w:val="006E610E"/>
    <w:rsid w:val="006E675C"/>
    <w:rsid w:val="006E738D"/>
    <w:rsid w:val="006F14F5"/>
    <w:rsid w:val="006F1669"/>
    <w:rsid w:val="006F1744"/>
    <w:rsid w:val="006F27A7"/>
    <w:rsid w:val="006F34AD"/>
    <w:rsid w:val="006F3F9C"/>
    <w:rsid w:val="006F47F7"/>
    <w:rsid w:val="006F56CF"/>
    <w:rsid w:val="006F5DC4"/>
    <w:rsid w:val="006F609A"/>
    <w:rsid w:val="006F60C4"/>
    <w:rsid w:val="006F6B18"/>
    <w:rsid w:val="006F732F"/>
    <w:rsid w:val="006F75ED"/>
    <w:rsid w:val="006F7EE6"/>
    <w:rsid w:val="00700948"/>
    <w:rsid w:val="00701951"/>
    <w:rsid w:val="00702F4E"/>
    <w:rsid w:val="00704692"/>
    <w:rsid w:val="00705279"/>
    <w:rsid w:val="007055C6"/>
    <w:rsid w:val="00706B31"/>
    <w:rsid w:val="00711228"/>
    <w:rsid w:val="00711B92"/>
    <w:rsid w:val="00711FBB"/>
    <w:rsid w:val="0071223A"/>
    <w:rsid w:val="0071237E"/>
    <w:rsid w:val="0071244A"/>
    <w:rsid w:val="00712494"/>
    <w:rsid w:val="00712A43"/>
    <w:rsid w:val="00713058"/>
    <w:rsid w:val="00713069"/>
    <w:rsid w:val="00713182"/>
    <w:rsid w:val="00713743"/>
    <w:rsid w:val="00714467"/>
    <w:rsid w:val="00715CCC"/>
    <w:rsid w:val="007172BB"/>
    <w:rsid w:val="0071737A"/>
    <w:rsid w:val="00720996"/>
    <w:rsid w:val="00721523"/>
    <w:rsid w:val="00722519"/>
    <w:rsid w:val="007228E5"/>
    <w:rsid w:val="00722D56"/>
    <w:rsid w:val="00724411"/>
    <w:rsid w:val="00724766"/>
    <w:rsid w:val="007248D0"/>
    <w:rsid w:val="0072514A"/>
    <w:rsid w:val="00726F92"/>
    <w:rsid w:val="007270F5"/>
    <w:rsid w:val="00727A68"/>
    <w:rsid w:val="007307AE"/>
    <w:rsid w:val="00730A3C"/>
    <w:rsid w:val="00730F93"/>
    <w:rsid w:val="00731BC9"/>
    <w:rsid w:val="007321A6"/>
    <w:rsid w:val="00732349"/>
    <w:rsid w:val="00733B33"/>
    <w:rsid w:val="00734179"/>
    <w:rsid w:val="00735A2E"/>
    <w:rsid w:val="0073618D"/>
    <w:rsid w:val="00736BFD"/>
    <w:rsid w:val="0073702B"/>
    <w:rsid w:val="007375B8"/>
    <w:rsid w:val="00741998"/>
    <w:rsid w:val="0074299B"/>
    <w:rsid w:val="00742AC1"/>
    <w:rsid w:val="007433F5"/>
    <w:rsid w:val="00743406"/>
    <w:rsid w:val="00744554"/>
    <w:rsid w:val="007448AD"/>
    <w:rsid w:val="00744A49"/>
    <w:rsid w:val="007453BE"/>
    <w:rsid w:val="00747D41"/>
    <w:rsid w:val="00750C0D"/>
    <w:rsid w:val="00750E87"/>
    <w:rsid w:val="00751D32"/>
    <w:rsid w:val="00752071"/>
    <w:rsid w:val="00752534"/>
    <w:rsid w:val="007529AF"/>
    <w:rsid w:val="007531E0"/>
    <w:rsid w:val="00753B0F"/>
    <w:rsid w:val="00753ED8"/>
    <w:rsid w:val="00754116"/>
    <w:rsid w:val="007541B3"/>
    <w:rsid w:val="007542B8"/>
    <w:rsid w:val="00754685"/>
    <w:rsid w:val="00754D97"/>
    <w:rsid w:val="00755F27"/>
    <w:rsid w:val="00757088"/>
    <w:rsid w:val="00757667"/>
    <w:rsid w:val="00757985"/>
    <w:rsid w:val="00757E19"/>
    <w:rsid w:val="00757FBF"/>
    <w:rsid w:val="00760546"/>
    <w:rsid w:val="007613BC"/>
    <w:rsid w:val="00761490"/>
    <w:rsid w:val="007618B1"/>
    <w:rsid w:val="00761C27"/>
    <w:rsid w:val="007628E6"/>
    <w:rsid w:val="00763447"/>
    <w:rsid w:val="007635CF"/>
    <w:rsid w:val="00763CB1"/>
    <w:rsid w:val="00763D44"/>
    <w:rsid w:val="00764E5C"/>
    <w:rsid w:val="00765AFD"/>
    <w:rsid w:val="00765D4C"/>
    <w:rsid w:val="00766C51"/>
    <w:rsid w:val="0076719D"/>
    <w:rsid w:val="0076744B"/>
    <w:rsid w:val="00771A66"/>
    <w:rsid w:val="00771B6C"/>
    <w:rsid w:val="00771B7C"/>
    <w:rsid w:val="00771D38"/>
    <w:rsid w:val="00773794"/>
    <w:rsid w:val="00773EE6"/>
    <w:rsid w:val="00774128"/>
    <w:rsid w:val="0077593E"/>
    <w:rsid w:val="00775AFD"/>
    <w:rsid w:val="007763AF"/>
    <w:rsid w:val="00776D36"/>
    <w:rsid w:val="007776A5"/>
    <w:rsid w:val="0078043C"/>
    <w:rsid w:val="0078115D"/>
    <w:rsid w:val="00781333"/>
    <w:rsid w:val="00781655"/>
    <w:rsid w:val="00783885"/>
    <w:rsid w:val="00783B04"/>
    <w:rsid w:val="0078447F"/>
    <w:rsid w:val="00785009"/>
    <w:rsid w:val="0078500F"/>
    <w:rsid w:val="00785226"/>
    <w:rsid w:val="0078563F"/>
    <w:rsid w:val="00785F58"/>
    <w:rsid w:val="007860FA"/>
    <w:rsid w:val="00787CC9"/>
    <w:rsid w:val="00790268"/>
    <w:rsid w:val="007904CB"/>
    <w:rsid w:val="007911A6"/>
    <w:rsid w:val="0079152F"/>
    <w:rsid w:val="007925FF"/>
    <w:rsid w:val="0079315A"/>
    <w:rsid w:val="00793493"/>
    <w:rsid w:val="00793C6B"/>
    <w:rsid w:val="00793D02"/>
    <w:rsid w:val="00793DC9"/>
    <w:rsid w:val="0079457D"/>
    <w:rsid w:val="00794CC5"/>
    <w:rsid w:val="00795AF6"/>
    <w:rsid w:val="00795C56"/>
    <w:rsid w:val="00795C66"/>
    <w:rsid w:val="007969AF"/>
    <w:rsid w:val="0079719D"/>
    <w:rsid w:val="00797523"/>
    <w:rsid w:val="00797FE2"/>
    <w:rsid w:val="007A1346"/>
    <w:rsid w:val="007A40B5"/>
    <w:rsid w:val="007A43D8"/>
    <w:rsid w:val="007A4990"/>
    <w:rsid w:val="007A4D5A"/>
    <w:rsid w:val="007A5091"/>
    <w:rsid w:val="007A5C0F"/>
    <w:rsid w:val="007A5D7A"/>
    <w:rsid w:val="007A626A"/>
    <w:rsid w:val="007A74E2"/>
    <w:rsid w:val="007B2BBA"/>
    <w:rsid w:val="007B3232"/>
    <w:rsid w:val="007B36D9"/>
    <w:rsid w:val="007B3C81"/>
    <w:rsid w:val="007B451A"/>
    <w:rsid w:val="007B4648"/>
    <w:rsid w:val="007B4699"/>
    <w:rsid w:val="007B4802"/>
    <w:rsid w:val="007B5DB8"/>
    <w:rsid w:val="007B72F4"/>
    <w:rsid w:val="007B7408"/>
    <w:rsid w:val="007B7D5B"/>
    <w:rsid w:val="007C00A3"/>
    <w:rsid w:val="007C0764"/>
    <w:rsid w:val="007C1013"/>
    <w:rsid w:val="007C1A87"/>
    <w:rsid w:val="007C1C9D"/>
    <w:rsid w:val="007C2953"/>
    <w:rsid w:val="007C3012"/>
    <w:rsid w:val="007C5B2A"/>
    <w:rsid w:val="007C5C5D"/>
    <w:rsid w:val="007C66E2"/>
    <w:rsid w:val="007C7BB2"/>
    <w:rsid w:val="007D0D31"/>
    <w:rsid w:val="007D19CD"/>
    <w:rsid w:val="007D30AE"/>
    <w:rsid w:val="007D4647"/>
    <w:rsid w:val="007D4898"/>
    <w:rsid w:val="007D4D9F"/>
    <w:rsid w:val="007D4F68"/>
    <w:rsid w:val="007D6751"/>
    <w:rsid w:val="007D6EC3"/>
    <w:rsid w:val="007D71A1"/>
    <w:rsid w:val="007D794B"/>
    <w:rsid w:val="007D7AA4"/>
    <w:rsid w:val="007D7AB4"/>
    <w:rsid w:val="007D7D11"/>
    <w:rsid w:val="007E01B6"/>
    <w:rsid w:val="007E04AA"/>
    <w:rsid w:val="007E0C03"/>
    <w:rsid w:val="007E12AF"/>
    <w:rsid w:val="007E1601"/>
    <w:rsid w:val="007E1F48"/>
    <w:rsid w:val="007E24E9"/>
    <w:rsid w:val="007E327B"/>
    <w:rsid w:val="007E34EC"/>
    <w:rsid w:val="007E392F"/>
    <w:rsid w:val="007E399D"/>
    <w:rsid w:val="007E3BF4"/>
    <w:rsid w:val="007E3F57"/>
    <w:rsid w:val="007E5162"/>
    <w:rsid w:val="007E5270"/>
    <w:rsid w:val="007E559E"/>
    <w:rsid w:val="007E631B"/>
    <w:rsid w:val="007E6F10"/>
    <w:rsid w:val="007E77FD"/>
    <w:rsid w:val="007F1261"/>
    <w:rsid w:val="007F1685"/>
    <w:rsid w:val="007F172C"/>
    <w:rsid w:val="007F2842"/>
    <w:rsid w:val="007F2B81"/>
    <w:rsid w:val="007F2BEF"/>
    <w:rsid w:val="007F3335"/>
    <w:rsid w:val="007F48AE"/>
    <w:rsid w:val="007F501C"/>
    <w:rsid w:val="007F52B8"/>
    <w:rsid w:val="007F65EE"/>
    <w:rsid w:val="007F695F"/>
    <w:rsid w:val="007F734C"/>
    <w:rsid w:val="008006A2"/>
    <w:rsid w:val="008009C1"/>
    <w:rsid w:val="00801599"/>
    <w:rsid w:val="00801938"/>
    <w:rsid w:val="00801B9F"/>
    <w:rsid w:val="00801BF4"/>
    <w:rsid w:val="008029C5"/>
    <w:rsid w:val="00803474"/>
    <w:rsid w:val="008034E2"/>
    <w:rsid w:val="0080561B"/>
    <w:rsid w:val="00805920"/>
    <w:rsid w:val="00806230"/>
    <w:rsid w:val="008062BC"/>
    <w:rsid w:val="00806575"/>
    <w:rsid w:val="00806A0D"/>
    <w:rsid w:val="00807802"/>
    <w:rsid w:val="00807B07"/>
    <w:rsid w:val="008100F4"/>
    <w:rsid w:val="00811D35"/>
    <w:rsid w:val="00811F2B"/>
    <w:rsid w:val="00812379"/>
    <w:rsid w:val="008123BE"/>
    <w:rsid w:val="00814460"/>
    <w:rsid w:val="00815D71"/>
    <w:rsid w:val="00816A0A"/>
    <w:rsid w:val="008170DC"/>
    <w:rsid w:val="008207B7"/>
    <w:rsid w:val="00821092"/>
    <w:rsid w:val="00822D48"/>
    <w:rsid w:val="00822EB9"/>
    <w:rsid w:val="00823068"/>
    <w:rsid w:val="00823CBC"/>
    <w:rsid w:val="00826140"/>
    <w:rsid w:val="00826153"/>
    <w:rsid w:val="008275F8"/>
    <w:rsid w:val="008277E0"/>
    <w:rsid w:val="008314F3"/>
    <w:rsid w:val="00831DD3"/>
    <w:rsid w:val="00832714"/>
    <w:rsid w:val="00832B32"/>
    <w:rsid w:val="00832E6C"/>
    <w:rsid w:val="00833D13"/>
    <w:rsid w:val="00834673"/>
    <w:rsid w:val="00834693"/>
    <w:rsid w:val="008346A1"/>
    <w:rsid w:val="00834A73"/>
    <w:rsid w:val="00834AC7"/>
    <w:rsid w:val="00834B22"/>
    <w:rsid w:val="008361FF"/>
    <w:rsid w:val="00836609"/>
    <w:rsid w:val="00836938"/>
    <w:rsid w:val="00836D12"/>
    <w:rsid w:val="00837233"/>
    <w:rsid w:val="00837B59"/>
    <w:rsid w:val="00837BDD"/>
    <w:rsid w:val="00840E11"/>
    <w:rsid w:val="0084112D"/>
    <w:rsid w:val="008412F4"/>
    <w:rsid w:val="0084209E"/>
    <w:rsid w:val="008426B8"/>
    <w:rsid w:val="00842DDD"/>
    <w:rsid w:val="00842F47"/>
    <w:rsid w:val="00843B74"/>
    <w:rsid w:val="00843E84"/>
    <w:rsid w:val="008444AE"/>
    <w:rsid w:val="00844B44"/>
    <w:rsid w:val="00844E84"/>
    <w:rsid w:val="00845806"/>
    <w:rsid w:val="00845FC1"/>
    <w:rsid w:val="008460BB"/>
    <w:rsid w:val="008462FF"/>
    <w:rsid w:val="00846394"/>
    <w:rsid w:val="00846ACF"/>
    <w:rsid w:val="00846DDD"/>
    <w:rsid w:val="008477D9"/>
    <w:rsid w:val="00850AE0"/>
    <w:rsid w:val="0085129E"/>
    <w:rsid w:val="00851788"/>
    <w:rsid w:val="00851EF1"/>
    <w:rsid w:val="00852543"/>
    <w:rsid w:val="00852FF6"/>
    <w:rsid w:val="00853CED"/>
    <w:rsid w:val="00854222"/>
    <w:rsid w:val="008544D1"/>
    <w:rsid w:val="00854B75"/>
    <w:rsid w:val="00854BA6"/>
    <w:rsid w:val="00856180"/>
    <w:rsid w:val="00856660"/>
    <w:rsid w:val="008567D6"/>
    <w:rsid w:val="00860D5B"/>
    <w:rsid w:val="0086427F"/>
    <w:rsid w:val="00864852"/>
    <w:rsid w:val="0086673F"/>
    <w:rsid w:val="00866A71"/>
    <w:rsid w:val="00866C13"/>
    <w:rsid w:val="00870EEF"/>
    <w:rsid w:val="0087153B"/>
    <w:rsid w:val="00873A91"/>
    <w:rsid w:val="008741A3"/>
    <w:rsid w:val="00874365"/>
    <w:rsid w:val="008746BE"/>
    <w:rsid w:val="00874F5E"/>
    <w:rsid w:val="00876805"/>
    <w:rsid w:val="00876E88"/>
    <w:rsid w:val="00876FF0"/>
    <w:rsid w:val="00877121"/>
    <w:rsid w:val="008771E7"/>
    <w:rsid w:val="0088042C"/>
    <w:rsid w:val="0088049D"/>
    <w:rsid w:val="008822B8"/>
    <w:rsid w:val="008825AB"/>
    <w:rsid w:val="008828C2"/>
    <w:rsid w:val="00883CD1"/>
    <w:rsid w:val="0088434E"/>
    <w:rsid w:val="008845F2"/>
    <w:rsid w:val="00884B44"/>
    <w:rsid w:val="008856F3"/>
    <w:rsid w:val="00886583"/>
    <w:rsid w:val="008868DD"/>
    <w:rsid w:val="00886C3E"/>
    <w:rsid w:val="008871A3"/>
    <w:rsid w:val="008906E0"/>
    <w:rsid w:val="00890918"/>
    <w:rsid w:val="00890A71"/>
    <w:rsid w:val="008919C8"/>
    <w:rsid w:val="00891B01"/>
    <w:rsid w:val="008921F8"/>
    <w:rsid w:val="00892230"/>
    <w:rsid w:val="008935CF"/>
    <w:rsid w:val="00894026"/>
    <w:rsid w:val="00894099"/>
    <w:rsid w:val="00894463"/>
    <w:rsid w:val="00894CA6"/>
    <w:rsid w:val="008954CD"/>
    <w:rsid w:val="008974B3"/>
    <w:rsid w:val="008979D0"/>
    <w:rsid w:val="008A045F"/>
    <w:rsid w:val="008A135A"/>
    <w:rsid w:val="008A14B5"/>
    <w:rsid w:val="008A1A86"/>
    <w:rsid w:val="008A2C1D"/>
    <w:rsid w:val="008A307C"/>
    <w:rsid w:val="008A4299"/>
    <w:rsid w:val="008A4C87"/>
    <w:rsid w:val="008A4CCA"/>
    <w:rsid w:val="008A5663"/>
    <w:rsid w:val="008A574F"/>
    <w:rsid w:val="008A5A1F"/>
    <w:rsid w:val="008A5DBA"/>
    <w:rsid w:val="008A5F9E"/>
    <w:rsid w:val="008A626F"/>
    <w:rsid w:val="008A6569"/>
    <w:rsid w:val="008A688B"/>
    <w:rsid w:val="008A6CDA"/>
    <w:rsid w:val="008A6E1A"/>
    <w:rsid w:val="008A7886"/>
    <w:rsid w:val="008B02ED"/>
    <w:rsid w:val="008B0625"/>
    <w:rsid w:val="008B0F3B"/>
    <w:rsid w:val="008B3824"/>
    <w:rsid w:val="008B4D58"/>
    <w:rsid w:val="008B4FF7"/>
    <w:rsid w:val="008B5061"/>
    <w:rsid w:val="008B5201"/>
    <w:rsid w:val="008B5292"/>
    <w:rsid w:val="008B56E9"/>
    <w:rsid w:val="008B5AC6"/>
    <w:rsid w:val="008B5AE4"/>
    <w:rsid w:val="008B64C6"/>
    <w:rsid w:val="008B663D"/>
    <w:rsid w:val="008B7812"/>
    <w:rsid w:val="008C0289"/>
    <w:rsid w:val="008C0EDA"/>
    <w:rsid w:val="008C13D7"/>
    <w:rsid w:val="008C1E44"/>
    <w:rsid w:val="008C2565"/>
    <w:rsid w:val="008C2FF8"/>
    <w:rsid w:val="008C328F"/>
    <w:rsid w:val="008C4962"/>
    <w:rsid w:val="008C4D4E"/>
    <w:rsid w:val="008C6265"/>
    <w:rsid w:val="008C6446"/>
    <w:rsid w:val="008C6E78"/>
    <w:rsid w:val="008C71A2"/>
    <w:rsid w:val="008C7365"/>
    <w:rsid w:val="008C7478"/>
    <w:rsid w:val="008C7C25"/>
    <w:rsid w:val="008C7F7D"/>
    <w:rsid w:val="008D04C8"/>
    <w:rsid w:val="008D0A94"/>
    <w:rsid w:val="008D184B"/>
    <w:rsid w:val="008D3C32"/>
    <w:rsid w:val="008D4150"/>
    <w:rsid w:val="008D5429"/>
    <w:rsid w:val="008D57F0"/>
    <w:rsid w:val="008D5B30"/>
    <w:rsid w:val="008D5CD2"/>
    <w:rsid w:val="008D6C13"/>
    <w:rsid w:val="008D7214"/>
    <w:rsid w:val="008D734D"/>
    <w:rsid w:val="008E0426"/>
    <w:rsid w:val="008E093E"/>
    <w:rsid w:val="008E1DFC"/>
    <w:rsid w:val="008E34CE"/>
    <w:rsid w:val="008E3784"/>
    <w:rsid w:val="008E3B7A"/>
    <w:rsid w:val="008E3F56"/>
    <w:rsid w:val="008E4011"/>
    <w:rsid w:val="008E45B4"/>
    <w:rsid w:val="008E46A1"/>
    <w:rsid w:val="008E51CF"/>
    <w:rsid w:val="008E51DA"/>
    <w:rsid w:val="008E54A3"/>
    <w:rsid w:val="008E5B3A"/>
    <w:rsid w:val="008E6714"/>
    <w:rsid w:val="008E698A"/>
    <w:rsid w:val="008E7135"/>
    <w:rsid w:val="008F0466"/>
    <w:rsid w:val="008F1751"/>
    <w:rsid w:val="008F1FB9"/>
    <w:rsid w:val="008F202E"/>
    <w:rsid w:val="008F23A9"/>
    <w:rsid w:val="008F2563"/>
    <w:rsid w:val="008F3090"/>
    <w:rsid w:val="008F3116"/>
    <w:rsid w:val="008F3A84"/>
    <w:rsid w:val="008F56C8"/>
    <w:rsid w:val="008F618F"/>
    <w:rsid w:val="008F79D5"/>
    <w:rsid w:val="00900DEE"/>
    <w:rsid w:val="009011CC"/>
    <w:rsid w:val="00901C17"/>
    <w:rsid w:val="0090275E"/>
    <w:rsid w:val="009027A7"/>
    <w:rsid w:val="0090298D"/>
    <w:rsid w:val="00903209"/>
    <w:rsid w:val="00903332"/>
    <w:rsid w:val="00903F2C"/>
    <w:rsid w:val="0090424C"/>
    <w:rsid w:val="009056F4"/>
    <w:rsid w:val="00905857"/>
    <w:rsid w:val="00905C1A"/>
    <w:rsid w:val="00907911"/>
    <w:rsid w:val="009079E8"/>
    <w:rsid w:val="00907B8F"/>
    <w:rsid w:val="009102FE"/>
    <w:rsid w:val="0091032C"/>
    <w:rsid w:val="00910CF3"/>
    <w:rsid w:val="00911334"/>
    <w:rsid w:val="00911B2A"/>
    <w:rsid w:val="00911D68"/>
    <w:rsid w:val="00911E54"/>
    <w:rsid w:val="009122A6"/>
    <w:rsid w:val="00912EDE"/>
    <w:rsid w:val="00912F44"/>
    <w:rsid w:val="00912F4B"/>
    <w:rsid w:val="00913A28"/>
    <w:rsid w:val="0091401C"/>
    <w:rsid w:val="00914DE7"/>
    <w:rsid w:val="00914FEB"/>
    <w:rsid w:val="00915277"/>
    <w:rsid w:val="009152B7"/>
    <w:rsid w:val="009152D1"/>
    <w:rsid w:val="009153B8"/>
    <w:rsid w:val="00915DCA"/>
    <w:rsid w:val="009161F8"/>
    <w:rsid w:val="009166DF"/>
    <w:rsid w:val="009178D5"/>
    <w:rsid w:val="00917F43"/>
    <w:rsid w:val="0092075E"/>
    <w:rsid w:val="009213C8"/>
    <w:rsid w:val="00921E6E"/>
    <w:rsid w:val="00922601"/>
    <w:rsid w:val="00922F4D"/>
    <w:rsid w:val="009230B9"/>
    <w:rsid w:val="00923247"/>
    <w:rsid w:val="009241F7"/>
    <w:rsid w:val="00924705"/>
    <w:rsid w:val="00924A43"/>
    <w:rsid w:val="00924BBE"/>
    <w:rsid w:val="00925549"/>
    <w:rsid w:val="009257A9"/>
    <w:rsid w:val="00925898"/>
    <w:rsid w:val="00927FBB"/>
    <w:rsid w:val="00931636"/>
    <w:rsid w:val="00931B35"/>
    <w:rsid w:val="0093212D"/>
    <w:rsid w:val="009324CB"/>
    <w:rsid w:val="00933535"/>
    <w:rsid w:val="009347BB"/>
    <w:rsid w:val="00934E3E"/>
    <w:rsid w:val="00935738"/>
    <w:rsid w:val="009367DA"/>
    <w:rsid w:val="00937D70"/>
    <w:rsid w:val="0094033C"/>
    <w:rsid w:val="00940348"/>
    <w:rsid w:val="009405EE"/>
    <w:rsid w:val="00941021"/>
    <w:rsid w:val="00942241"/>
    <w:rsid w:val="00942434"/>
    <w:rsid w:val="00942AF6"/>
    <w:rsid w:val="009431BC"/>
    <w:rsid w:val="009436A5"/>
    <w:rsid w:val="009438B5"/>
    <w:rsid w:val="009439F5"/>
    <w:rsid w:val="00946AB7"/>
    <w:rsid w:val="00950909"/>
    <w:rsid w:val="00950CF0"/>
    <w:rsid w:val="00950EB2"/>
    <w:rsid w:val="009517F0"/>
    <w:rsid w:val="00952DDB"/>
    <w:rsid w:val="00953DF6"/>
    <w:rsid w:val="0095424F"/>
    <w:rsid w:val="009558F5"/>
    <w:rsid w:val="00956926"/>
    <w:rsid w:val="009576F6"/>
    <w:rsid w:val="00957B9E"/>
    <w:rsid w:val="009613C1"/>
    <w:rsid w:val="00961AA0"/>
    <w:rsid w:val="0096203B"/>
    <w:rsid w:val="00962112"/>
    <w:rsid w:val="00963640"/>
    <w:rsid w:val="00963F14"/>
    <w:rsid w:val="00965F4F"/>
    <w:rsid w:val="009665C3"/>
    <w:rsid w:val="00966C35"/>
    <w:rsid w:val="00967597"/>
    <w:rsid w:val="00967A10"/>
    <w:rsid w:val="009704C4"/>
    <w:rsid w:val="0097080C"/>
    <w:rsid w:val="00974748"/>
    <w:rsid w:val="00974C74"/>
    <w:rsid w:val="009757C4"/>
    <w:rsid w:val="00975EDB"/>
    <w:rsid w:val="00975F79"/>
    <w:rsid w:val="00975FF9"/>
    <w:rsid w:val="009769CD"/>
    <w:rsid w:val="009770DF"/>
    <w:rsid w:val="00977631"/>
    <w:rsid w:val="00977A1B"/>
    <w:rsid w:val="00977C55"/>
    <w:rsid w:val="00977DD5"/>
    <w:rsid w:val="00980208"/>
    <w:rsid w:val="009807B6"/>
    <w:rsid w:val="00980D67"/>
    <w:rsid w:val="00980F44"/>
    <w:rsid w:val="009828AD"/>
    <w:rsid w:val="00982AB6"/>
    <w:rsid w:val="00982AFF"/>
    <w:rsid w:val="009832E8"/>
    <w:rsid w:val="0098362E"/>
    <w:rsid w:val="00983D04"/>
    <w:rsid w:val="009860E9"/>
    <w:rsid w:val="0098661E"/>
    <w:rsid w:val="00987770"/>
    <w:rsid w:val="0099054F"/>
    <w:rsid w:val="00990C67"/>
    <w:rsid w:val="00991019"/>
    <w:rsid w:val="00992BF5"/>
    <w:rsid w:val="00992DD1"/>
    <w:rsid w:val="00993247"/>
    <w:rsid w:val="00994C08"/>
    <w:rsid w:val="00994D92"/>
    <w:rsid w:val="00994EC2"/>
    <w:rsid w:val="00995309"/>
    <w:rsid w:val="0099539A"/>
    <w:rsid w:val="00995756"/>
    <w:rsid w:val="009957AE"/>
    <w:rsid w:val="00995C8F"/>
    <w:rsid w:val="00997443"/>
    <w:rsid w:val="009A0345"/>
    <w:rsid w:val="009A0772"/>
    <w:rsid w:val="009A07A6"/>
    <w:rsid w:val="009A1EE3"/>
    <w:rsid w:val="009A2ADC"/>
    <w:rsid w:val="009A3BA5"/>
    <w:rsid w:val="009A3ED4"/>
    <w:rsid w:val="009A472B"/>
    <w:rsid w:val="009A4D07"/>
    <w:rsid w:val="009A502E"/>
    <w:rsid w:val="009A7EFC"/>
    <w:rsid w:val="009B0C0D"/>
    <w:rsid w:val="009B23F4"/>
    <w:rsid w:val="009B2F1E"/>
    <w:rsid w:val="009B32C8"/>
    <w:rsid w:val="009B386D"/>
    <w:rsid w:val="009B3DEC"/>
    <w:rsid w:val="009B41B3"/>
    <w:rsid w:val="009B4A31"/>
    <w:rsid w:val="009C00A7"/>
    <w:rsid w:val="009C12BD"/>
    <w:rsid w:val="009C1549"/>
    <w:rsid w:val="009C1F11"/>
    <w:rsid w:val="009C1FAF"/>
    <w:rsid w:val="009C2270"/>
    <w:rsid w:val="009C2397"/>
    <w:rsid w:val="009C2553"/>
    <w:rsid w:val="009C327E"/>
    <w:rsid w:val="009C3294"/>
    <w:rsid w:val="009C3FDF"/>
    <w:rsid w:val="009C455B"/>
    <w:rsid w:val="009C48ED"/>
    <w:rsid w:val="009C52CF"/>
    <w:rsid w:val="009C546C"/>
    <w:rsid w:val="009C637F"/>
    <w:rsid w:val="009C63BB"/>
    <w:rsid w:val="009C6B6A"/>
    <w:rsid w:val="009C6C5C"/>
    <w:rsid w:val="009C6CF6"/>
    <w:rsid w:val="009C71D1"/>
    <w:rsid w:val="009C73A1"/>
    <w:rsid w:val="009C7D05"/>
    <w:rsid w:val="009D0DDE"/>
    <w:rsid w:val="009D1122"/>
    <w:rsid w:val="009D1195"/>
    <w:rsid w:val="009D1CF5"/>
    <w:rsid w:val="009D2B76"/>
    <w:rsid w:val="009D3774"/>
    <w:rsid w:val="009D3DAC"/>
    <w:rsid w:val="009D4257"/>
    <w:rsid w:val="009D43D2"/>
    <w:rsid w:val="009D4532"/>
    <w:rsid w:val="009D4AF8"/>
    <w:rsid w:val="009D583C"/>
    <w:rsid w:val="009D611E"/>
    <w:rsid w:val="009D74F1"/>
    <w:rsid w:val="009D75C7"/>
    <w:rsid w:val="009D7D1B"/>
    <w:rsid w:val="009D7EA8"/>
    <w:rsid w:val="009D7ED9"/>
    <w:rsid w:val="009E262F"/>
    <w:rsid w:val="009E37E6"/>
    <w:rsid w:val="009E4D15"/>
    <w:rsid w:val="009E4FE6"/>
    <w:rsid w:val="009E62F1"/>
    <w:rsid w:val="009E6F37"/>
    <w:rsid w:val="009E6FE8"/>
    <w:rsid w:val="009E7988"/>
    <w:rsid w:val="009F002D"/>
    <w:rsid w:val="009F1620"/>
    <w:rsid w:val="009F1735"/>
    <w:rsid w:val="009F1D8A"/>
    <w:rsid w:val="009F2E6D"/>
    <w:rsid w:val="009F2FF6"/>
    <w:rsid w:val="009F33BC"/>
    <w:rsid w:val="009F37A7"/>
    <w:rsid w:val="009F44F6"/>
    <w:rsid w:val="009F4E28"/>
    <w:rsid w:val="009F6305"/>
    <w:rsid w:val="00A00909"/>
    <w:rsid w:val="00A0161F"/>
    <w:rsid w:val="00A01B07"/>
    <w:rsid w:val="00A02144"/>
    <w:rsid w:val="00A0215F"/>
    <w:rsid w:val="00A0420F"/>
    <w:rsid w:val="00A04EC4"/>
    <w:rsid w:val="00A0507C"/>
    <w:rsid w:val="00A052AF"/>
    <w:rsid w:val="00A05B0F"/>
    <w:rsid w:val="00A05B1F"/>
    <w:rsid w:val="00A060E7"/>
    <w:rsid w:val="00A063E8"/>
    <w:rsid w:val="00A06B99"/>
    <w:rsid w:val="00A070DD"/>
    <w:rsid w:val="00A0734A"/>
    <w:rsid w:val="00A0772D"/>
    <w:rsid w:val="00A100B3"/>
    <w:rsid w:val="00A11B38"/>
    <w:rsid w:val="00A11CC1"/>
    <w:rsid w:val="00A12BF2"/>
    <w:rsid w:val="00A12DD3"/>
    <w:rsid w:val="00A141AC"/>
    <w:rsid w:val="00A155BB"/>
    <w:rsid w:val="00A15F6C"/>
    <w:rsid w:val="00A173B1"/>
    <w:rsid w:val="00A1777E"/>
    <w:rsid w:val="00A17CE7"/>
    <w:rsid w:val="00A20DA2"/>
    <w:rsid w:val="00A21D07"/>
    <w:rsid w:val="00A21E77"/>
    <w:rsid w:val="00A21F0B"/>
    <w:rsid w:val="00A22CEB"/>
    <w:rsid w:val="00A22FCD"/>
    <w:rsid w:val="00A2383F"/>
    <w:rsid w:val="00A23D00"/>
    <w:rsid w:val="00A243CD"/>
    <w:rsid w:val="00A24DDD"/>
    <w:rsid w:val="00A2671F"/>
    <w:rsid w:val="00A26D29"/>
    <w:rsid w:val="00A271D7"/>
    <w:rsid w:val="00A273E9"/>
    <w:rsid w:val="00A276E4"/>
    <w:rsid w:val="00A30782"/>
    <w:rsid w:val="00A30972"/>
    <w:rsid w:val="00A30B5B"/>
    <w:rsid w:val="00A30D49"/>
    <w:rsid w:val="00A31136"/>
    <w:rsid w:val="00A311B3"/>
    <w:rsid w:val="00A31BB7"/>
    <w:rsid w:val="00A3268C"/>
    <w:rsid w:val="00A33F09"/>
    <w:rsid w:val="00A34761"/>
    <w:rsid w:val="00A35A67"/>
    <w:rsid w:val="00A36189"/>
    <w:rsid w:val="00A3716D"/>
    <w:rsid w:val="00A376B6"/>
    <w:rsid w:val="00A37E0D"/>
    <w:rsid w:val="00A37E12"/>
    <w:rsid w:val="00A40D4A"/>
    <w:rsid w:val="00A410AC"/>
    <w:rsid w:val="00A42F6B"/>
    <w:rsid w:val="00A452B3"/>
    <w:rsid w:val="00A4537D"/>
    <w:rsid w:val="00A460D9"/>
    <w:rsid w:val="00A46955"/>
    <w:rsid w:val="00A46963"/>
    <w:rsid w:val="00A471F0"/>
    <w:rsid w:val="00A47819"/>
    <w:rsid w:val="00A47F37"/>
    <w:rsid w:val="00A50B23"/>
    <w:rsid w:val="00A50CCA"/>
    <w:rsid w:val="00A513CC"/>
    <w:rsid w:val="00A51497"/>
    <w:rsid w:val="00A51A56"/>
    <w:rsid w:val="00A51CC8"/>
    <w:rsid w:val="00A52133"/>
    <w:rsid w:val="00A52637"/>
    <w:rsid w:val="00A537C7"/>
    <w:rsid w:val="00A53830"/>
    <w:rsid w:val="00A545AC"/>
    <w:rsid w:val="00A54DFA"/>
    <w:rsid w:val="00A550DE"/>
    <w:rsid w:val="00A55B5F"/>
    <w:rsid w:val="00A55CA8"/>
    <w:rsid w:val="00A576C9"/>
    <w:rsid w:val="00A57CAB"/>
    <w:rsid w:val="00A57FCF"/>
    <w:rsid w:val="00A57FFE"/>
    <w:rsid w:val="00A600C4"/>
    <w:rsid w:val="00A60119"/>
    <w:rsid w:val="00A60BD3"/>
    <w:rsid w:val="00A60C12"/>
    <w:rsid w:val="00A61238"/>
    <w:rsid w:val="00A61CD4"/>
    <w:rsid w:val="00A622DC"/>
    <w:rsid w:val="00A6258B"/>
    <w:rsid w:val="00A62A63"/>
    <w:rsid w:val="00A62B60"/>
    <w:rsid w:val="00A64A33"/>
    <w:rsid w:val="00A651DE"/>
    <w:rsid w:val="00A66655"/>
    <w:rsid w:val="00A67D3F"/>
    <w:rsid w:val="00A67FF8"/>
    <w:rsid w:val="00A71364"/>
    <w:rsid w:val="00A74BA2"/>
    <w:rsid w:val="00A75653"/>
    <w:rsid w:val="00A75916"/>
    <w:rsid w:val="00A75925"/>
    <w:rsid w:val="00A76828"/>
    <w:rsid w:val="00A802CF"/>
    <w:rsid w:val="00A8055F"/>
    <w:rsid w:val="00A80D9B"/>
    <w:rsid w:val="00A810F1"/>
    <w:rsid w:val="00A82304"/>
    <w:rsid w:val="00A8293B"/>
    <w:rsid w:val="00A82E86"/>
    <w:rsid w:val="00A8407E"/>
    <w:rsid w:val="00A840BC"/>
    <w:rsid w:val="00A840C1"/>
    <w:rsid w:val="00A84525"/>
    <w:rsid w:val="00A84613"/>
    <w:rsid w:val="00A87036"/>
    <w:rsid w:val="00A87186"/>
    <w:rsid w:val="00A87FBE"/>
    <w:rsid w:val="00A900A6"/>
    <w:rsid w:val="00A911A0"/>
    <w:rsid w:val="00A91E61"/>
    <w:rsid w:val="00A930C3"/>
    <w:rsid w:val="00A93103"/>
    <w:rsid w:val="00A93413"/>
    <w:rsid w:val="00A9379C"/>
    <w:rsid w:val="00A948BB"/>
    <w:rsid w:val="00A94E33"/>
    <w:rsid w:val="00A94FB5"/>
    <w:rsid w:val="00A97383"/>
    <w:rsid w:val="00A978AB"/>
    <w:rsid w:val="00A97F09"/>
    <w:rsid w:val="00AA1C93"/>
    <w:rsid w:val="00AA2097"/>
    <w:rsid w:val="00AA2566"/>
    <w:rsid w:val="00AA2650"/>
    <w:rsid w:val="00AA2E90"/>
    <w:rsid w:val="00AA3702"/>
    <w:rsid w:val="00AA393E"/>
    <w:rsid w:val="00AA449C"/>
    <w:rsid w:val="00AA45D0"/>
    <w:rsid w:val="00AA67C5"/>
    <w:rsid w:val="00AA6C11"/>
    <w:rsid w:val="00AA75A5"/>
    <w:rsid w:val="00AB0731"/>
    <w:rsid w:val="00AB0EF0"/>
    <w:rsid w:val="00AB4359"/>
    <w:rsid w:val="00AB7CF6"/>
    <w:rsid w:val="00AC0017"/>
    <w:rsid w:val="00AC11E2"/>
    <w:rsid w:val="00AC180F"/>
    <w:rsid w:val="00AC1CBC"/>
    <w:rsid w:val="00AC213E"/>
    <w:rsid w:val="00AC28BA"/>
    <w:rsid w:val="00AC37E5"/>
    <w:rsid w:val="00AC48F0"/>
    <w:rsid w:val="00AC5D19"/>
    <w:rsid w:val="00AC7616"/>
    <w:rsid w:val="00AC7E5B"/>
    <w:rsid w:val="00AC7E6D"/>
    <w:rsid w:val="00AD1AA8"/>
    <w:rsid w:val="00AD298C"/>
    <w:rsid w:val="00AD2B55"/>
    <w:rsid w:val="00AD35A1"/>
    <w:rsid w:val="00AD4752"/>
    <w:rsid w:val="00AD4C2F"/>
    <w:rsid w:val="00AD4E01"/>
    <w:rsid w:val="00AD509F"/>
    <w:rsid w:val="00AD66C2"/>
    <w:rsid w:val="00AD6BE7"/>
    <w:rsid w:val="00AD7D51"/>
    <w:rsid w:val="00AE0BFA"/>
    <w:rsid w:val="00AE0DF6"/>
    <w:rsid w:val="00AE1E6F"/>
    <w:rsid w:val="00AE21C7"/>
    <w:rsid w:val="00AE2262"/>
    <w:rsid w:val="00AE239B"/>
    <w:rsid w:val="00AE25E2"/>
    <w:rsid w:val="00AE27CC"/>
    <w:rsid w:val="00AE3EE7"/>
    <w:rsid w:val="00AE55AD"/>
    <w:rsid w:val="00AE6F30"/>
    <w:rsid w:val="00AE7CFE"/>
    <w:rsid w:val="00AF033F"/>
    <w:rsid w:val="00AF05B6"/>
    <w:rsid w:val="00AF1C06"/>
    <w:rsid w:val="00AF23F3"/>
    <w:rsid w:val="00AF298A"/>
    <w:rsid w:val="00AF2A1B"/>
    <w:rsid w:val="00AF2D92"/>
    <w:rsid w:val="00AF3BB6"/>
    <w:rsid w:val="00AF413C"/>
    <w:rsid w:val="00AF4445"/>
    <w:rsid w:val="00AF47A7"/>
    <w:rsid w:val="00AF512C"/>
    <w:rsid w:val="00AF65F4"/>
    <w:rsid w:val="00AF6696"/>
    <w:rsid w:val="00AF6D76"/>
    <w:rsid w:val="00AF7766"/>
    <w:rsid w:val="00AF7917"/>
    <w:rsid w:val="00AF7BA9"/>
    <w:rsid w:val="00B003CB"/>
    <w:rsid w:val="00B005E1"/>
    <w:rsid w:val="00B014C9"/>
    <w:rsid w:val="00B0183B"/>
    <w:rsid w:val="00B02EE2"/>
    <w:rsid w:val="00B035DE"/>
    <w:rsid w:val="00B0388E"/>
    <w:rsid w:val="00B03C82"/>
    <w:rsid w:val="00B0411F"/>
    <w:rsid w:val="00B04199"/>
    <w:rsid w:val="00B041F8"/>
    <w:rsid w:val="00B04BA9"/>
    <w:rsid w:val="00B04CDF"/>
    <w:rsid w:val="00B06A1C"/>
    <w:rsid w:val="00B06C59"/>
    <w:rsid w:val="00B07ED2"/>
    <w:rsid w:val="00B103FF"/>
    <w:rsid w:val="00B11651"/>
    <w:rsid w:val="00B127A3"/>
    <w:rsid w:val="00B1447A"/>
    <w:rsid w:val="00B14C18"/>
    <w:rsid w:val="00B14E98"/>
    <w:rsid w:val="00B1638E"/>
    <w:rsid w:val="00B172E1"/>
    <w:rsid w:val="00B17926"/>
    <w:rsid w:val="00B17D5F"/>
    <w:rsid w:val="00B21510"/>
    <w:rsid w:val="00B21B72"/>
    <w:rsid w:val="00B22788"/>
    <w:rsid w:val="00B22D51"/>
    <w:rsid w:val="00B22EF6"/>
    <w:rsid w:val="00B233A1"/>
    <w:rsid w:val="00B23557"/>
    <w:rsid w:val="00B236B5"/>
    <w:rsid w:val="00B23E66"/>
    <w:rsid w:val="00B23EAA"/>
    <w:rsid w:val="00B240E5"/>
    <w:rsid w:val="00B241CA"/>
    <w:rsid w:val="00B2553E"/>
    <w:rsid w:val="00B26D42"/>
    <w:rsid w:val="00B27A52"/>
    <w:rsid w:val="00B27DAD"/>
    <w:rsid w:val="00B30731"/>
    <w:rsid w:val="00B30BDF"/>
    <w:rsid w:val="00B31BF2"/>
    <w:rsid w:val="00B33002"/>
    <w:rsid w:val="00B3322F"/>
    <w:rsid w:val="00B33A8E"/>
    <w:rsid w:val="00B343B2"/>
    <w:rsid w:val="00B346FE"/>
    <w:rsid w:val="00B347AE"/>
    <w:rsid w:val="00B348DC"/>
    <w:rsid w:val="00B34D0F"/>
    <w:rsid w:val="00B36640"/>
    <w:rsid w:val="00B36E57"/>
    <w:rsid w:val="00B37B25"/>
    <w:rsid w:val="00B37CFC"/>
    <w:rsid w:val="00B41C5B"/>
    <w:rsid w:val="00B4285D"/>
    <w:rsid w:val="00B4444B"/>
    <w:rsid w:val="00B45650"/>
    <w:rsid w:val="00B46A4C"/>
    <w:rsid w:val="00B46E1B"/>
    <w:rsid w:val="00B47A97"/>
    <w:rsid w:val="00B506D5"/>
    <w:rsid w:val="00B507BD"/>
    <w:rsid w:val="00B50A1B"/>
    <w:rsid w:val="00B534D2"/>
    <w:rsid w:val="00B53749"/>
    <w:rsid w:val="00B54B7A"/>
    <w:rsid w:val="00B55840"/>
    <w:rsid w:val="00B55876"/>
    <w:rsid w:val="00B55EC4"/>
    <w:rsid w:val="00B56793"/>
    <w:rsid w:val="00B56DAB"/>
    <w:rsid w:val="00B60BBF"/>
    <w:rsid w:val="00B60D4F"/>
    <w:rsid w:val="00B61251"/>
    <w:rsid w:val="00B62525"/>
    <w:rsid w:val="00B6286E"/>
    <w:rsid w:val="00B63ABF"/>
    <w:rsid w:val="00B63D1F"/>
    <w:rsid w:val="00B63F1B"/>
    <w:rsid w:val="00B64086"/>
    <w:rsid w:val="00B642C7"/>
    <w:rsid w:val="00B66BF8"/>
    <w:rsid w:val="00B66C6F"/>
    <w:rsid w:val="00B66D26"/>
    <w:rsid w:val="00B670E7"/>
    <w:rsid w:val="00B67C68"/>
    <w:rsid w:val="00B70C9E"/>
    <w:rsid w:val="00B71052"/>
    <w:rsid w:val="00B72C69"/>
    <w:rsid w:val="00B733FC"/>
    <w:rsid w:val="00B73F06"/>
    <w:rsid w:val="00B76001"/>
    <w:rsid w:val="00B7650E"/>
    <w:rsid w:val="00B7679D"/>
    <w:rsid w:val="00B772FE"/>
    <w:rsid w:val="00B7760F"/>
    <w:rsid w:val="00B77906"/>
    <w:rsid w:val="00B8027D"/>
    <w:rsid w:val="00B80B8D"/>
    <w:rsid w:val="00B826BA"/>
    <w:rsid w:val="00B8322F"/>
    <w:rsid w:val="00B833C6"/>
    <w:rsid w:val="00B8530F"/>
    <w:rsid w:val="00B85443"/>
    <w:rsid w:val="00B8562D"/>
    <w:rsid w:val="00B87772"/>
    <w:rsid w:val="00B87870"/>
    <w:rsid w:val="00B87F77"/>
    <w:rsid w:val="00B87FDD"/>
    <w:rsid w:val="00B91616"/>
    <w:rsid w:val="00B91642"/>
    <w:rsid w:val="00B916AD"/>
    <w:rsid w:val="00B92675"/>
    <w:rsid w:val="00B92730"/>
    <w:rsid w:val="00B92EF9"/>
    <w:rsid w:val="00B942B1"/>
    <w:rsid w:val="00B943F6"/>
    <w:rsid w:val="00B95343"/>
    <w:rsid w:val="00B96191"/>
    <w:rsid w:val="00B9699A"/>
    <w:rsid w:val="00B96D9F"/>
    <w:rsid w:val="00B97440"/>
    <w:rsid w:val="00BA02D7"/>
    <w:rsid w:val="00BA04AE"/>
    <w:rsid w:val="00BA1047"/>
    <w:rsid w:val="00BA1274"/>
    <w:rsid w:val="00BA16FA"/>
    <w:rsid w:val="00BA1ECB"/>
    <w:rsid w:val="00BA247E"/>
    <w:rsid w:val="00BA3989"/>
    <w:rsid w:val="00BA3D5A"/>
    <w:rsid w:val="00BA51B0"/>
    <w:rsid w:val="00BA5622"/>
    <w:rsid w:val="00BA6258"/>
    <w:rsid w:val="00BA7E60"/>
    <w:rsid w:val="00BB042C"/>
    <w:rsid w:val="00BB0EFA"/>
    <w:rsid w:val="00BB10E6"/>
    <w:rsid w:val="00BB10FC"/>
    <w:rsid w:val="00BB1CA0"/>
    <w:rsid w:val="00BB356D"/>
    <w:rsid w:val="00BB4597"/>
    <w:rsid w:val="00BB4612"/>
    <w:rsid w:val="00BB4C64"/>
    <w:rsid w:val="00BB525C"/>
    <w:rsid w:val="00BB576B"/>
    <w:rsid w:val="00BB5EA5"/>
    <w:rsid w:val="00BB671B"/>
    <w:rsid w:val="00BC02A7"/>
    <w:rsid w:val="00BC0AB0"/>
    <w:rsid w:val="00BC1100"/>
    <w:rsid w:val="00BC1308"/>
    <w:rsid w:val="00BC1611"/>
    <w:rsid w:val="00BC1F95"/>
    <w:rsid w:val="00BC25BD"/>
    <w:rsid w:val="00BC2E86"/>
    <w:rsid w:val="00BC302E"/>
    <w:rsid w:val="00BC3B73"/>
    <w:rsid w:val="00BC43CF"/>
    <w:rsid w:val="00BC4A16"/>
    <w:rsid w:val="00BC5C29"/>
    <w:rsid w:val="00BC5CE0"/>
    <w:rsid w:val="00BC6242"/>
    <w:rsid w:val="00BC69F5"/>
    <w:rsid w:val="00BC723C"/>
    <w:rsid w:val="00BC728F"/>
    <w:rsid w:val="00BC77CA"/>
    <w:rsid w:val="00BD00E9"/>
    <w:rsid w:val="00BD084B"/>
    <w:rsid w:val="00BD0BB3"/>
    <w:rsid w:val="00BD1470"/>
    <w:rsid w:val="00BD1623"/>
    <w:rsid w:val="00BD1FD7"/>
    <w:rsid w:val="00BD3111"/>
    <w:rsid w:val="00BD39A9"/>
    <w:rsid w:val="00BD3F3C"/>
    <w:rsid w:val="00BD546F"/>
    <w:rsid w:val="00BD6EDC"/>
    <w:rsid w:val="00BD6F0E"/>
    <w:rsid w:val="00BD6F4A"/>
    <w:rsid w:val="00BD7755"/>
    <w:rsid w:val="00BE08E5"/>
    <w:rsid w:val="00BE0A14"/>
    <w:rsid w:val="00BE0C1E"/>
    <w:rsid w:val="00BE0E0B"/>
    <w:rsid w:val="00BE1447"/>
    <w:rsid w:val="00BE1C46"/>
    <w:rsid w:val="00BE2159"/>
    <w:rsid w:val="00BE38D9"/>
    <w:rsid w:val="00BE434E"/>
    <w:rsid w:val="00BE44ED"/>
    <w:rsid w:val="00BE4D43"/>
    <w:rsid w:val="00BE5303"/>
    <w:rsid w:val="00BE6FBF"/>
    <w:rsid w:val="00BE7041"/>
    <w:rsid w:val="00BE71FF"/>
    <w:rsid w:val="00BE75C7"/>
    <w:rsid w:val="00BE7CDF"/>
    <w:rsid w:val="00BE7F01"/>
    <w:rsid w:val="00BF014B"/>
    <w:rsid w:val="00BF07A6"/>
    <w:rsid w:val="00BF0D1A"/>
    <w:rsid w:val="00BF24C4"/>
    <w:rsid w:val="00BF2879"/>
    <w:rsid w:val="00BF2E25"/>
    <w:rsid w:val="00BF3664"/>
    <w:rsid w:val="00BF457B"/>
    <w:rsid w:val="00BF4689"/>
    <w:rsid w:val="00BF4C59"/>
    <w:rsid w:val="00BF4DD6"/>
    <w:rsid w:val="00BF53C2"/>
    <w:rsid w:val="00BF600B"/>
    <w:rsid w:val="00BF6341"/>
    <w:rsid w:val="00BF7278"/>
    <w:rsid w:val="00BF763C"/>
    <w:rsid w:val="00C007F3"/>
    <w:rsid w:val="00C00A58"/>
    <w:rsid w:val="00C016CA"/>
    <w:rsid w:val="00C01863"/>
    <w:rsid w:val="00C0294E"/>
    <w:rsid w:val="00C04984"/>
    <w:rsid w:val="00C04D9D"/>
    <w:rsid w:val="00C0537D"/>
    <w:rsid w:val="00C05A71"/>
    <w:rsid w:val="00C05D9E"/>
    <w:rsid w:val="00C05E0B"/>
    <w:rsid w:val="00C06045"/>
    <w:rsid w:val="00C062DA"/>
    <w:rsid w:val="00C06ACC"/>
    <w:rsid w:val="00C06B36"/>
    <w:rsid w:val="00C07132"/>
    <w:rsid w:val="00C071CA"/>
    <w:rsid w:val="00C07275"/>
    <w:rsid w:val="00C1117E"/>
    <w:rsid w:val="00C1121C"/>
    <w:rsid w:val="00C11853"/>
    <w:rsid w:val="00C12350"/>
    <w:rsid w:val="00C12734"/>
    <w:rsid w:val="00C12B41"/>
    <w:rsid w:val="00C1340F"/>
    <w:rsid w:val="00C1511F"/>
    <w:rsid w:val="00C1552A"/>
    <w:rsid w:val="00C16A5A"/>
    <w:rsid w:val="00C17109"/>
    <w:rsid w:val="00C17802"/>
    <w:rsid w:val="00C17D55"/>
    <w:rsid w:val="00C20230"/>
    <w:rsid w:val="00C20B4C"/>
    <w:rsid w:val="00C20D02"/>
    <w:rsid w:val="00C2139A"/>
    <w:rsid w:val="00C220E9"/>
    <w:rsid w:val="00C22718"/>
    <w:rsid w:val="00C23289"/>
    <w:rsid w:val="00C236D1"/>
    <w:rsid w:val="00C25571"/>
    <w:rsid w:val="00C25C85"/>
    <w:rsid w:val="00C262EE"/>
    <w:rsid w:val="00C2636A"/>
    <w:rsid w:val="00C265D8"/>
    <w:rsid w:val="00C265ED"/>
    <w:rsid w:val="00C26C27"/>
    <w:rsid w:val="00C3069B"/>
    <w:rsid w:val="00C307DF"/>
    <w:rsid w:val="00C3116F"/>
    <w:rsid w:val="00C31A60"/>
    <w:rsid w:val="00C31D00"/>
    <w:rsid w:val="00C3213B"/>
    <w:rsid w:val="00C32A64"/>
    <w:rsid w:val="00C32C27"/>
    <w:rsid w:val="00C32CE1"/>
    <w:rsid w:val="00C33DFE"/>
    <w:rsid w:val="00C3510C"/>
    <w:rsid w:val="00C357DC"/>
    <w:rsid w:val="00C36DEC"/>
    <w:rsid w:val="00C37065"/>
    <w:rsid w:val="00C3727B"/>
    <w:rsid w:val="00C40978"/>
    <w:rsid w:val="00C40AC5"/>
    <w:rsid w:val="00C410E8"/>
    <w:rsid w:val="00C41741"/>
    <w:rsid w:val="00C4190F"/>
    <w:rsid w:val="00C42416"/>
    <w:rsid w:val="00C42B67"/>
    <w:rsid w:val="00C42FA3"/>
    <w:rsid w:val="00C43012"/>
    <w:rsid w:val="00C43237"/>
    <w:rsid w:val="00C4423D"/>
    <w:rsid w:val="00C449DA"/>
    <w:rsid w:val="00C45572"/>
    <w:rsid w:val="00C46812"/>
    <w:rsid w:val="00C46B5A"/>
    <w:rsid w:val="00C5070C"/>
    <w:rsid w:val="00C5073E"/>
    <w:rsid w:val="00C50882"/>
    <w:rsid w:val="00C50A60"/>
    <w:rsid w:val="00C50B03"/>
    <w:rsid w:val="00C50CB7"/>
    <w:rsid w:val="00C50E1D"/>
    <w:rsid w:val="00C510D8"/>
    <w:rsid w:val="00C51459"/>
    <w:rsid w:val="00C51A51"/>
    <w:rsid w:val="00C51C05"/>
    <w:rsid w:val="00C528C1"/>
    <w:rsid w:val="00C52B85"/>
    <w:rsid w:val="00C52DA4"/>
    <w:rsid w:val="00C52E54"/>
    <w:rsid w:val="00C5319B"/>
    <w:rsid w:val="00C53473"/>
    <w:rsid w:val="00C54123"/>
    <w:rsid w:val="00C542AA"/>
    <w:rsid w:val="00C546F0"/>
    <w:rsid w:val="00C54775"/>
    <w:rsid w:val="00C54AF6"/>
    <w:rsid w:val="00C55407"/>
    <w:rsid w:val="00C554BF"/>
    <w:rsid w:val="00C5621C"/>
    <w:rsid w:val="00C5660D"/>
    <w:rsid w:val="00C56770"/>
    <w:rsid w:val="00C61801"/>
    <w:rsid w:val="00C62289"/>
    <w:rsid w:val="00C62412"/>
    <w:rsid w:val="00C62661"/>
    <w:rsid w:val="00C638BE"/>
    <w:rsid w:val="00C63A5F"/>
    <w:rsid w:val="00C63EB5"/>
    <w:rsid w:val="00C64386"/>
    <w:rsid w:val="00C64B4E"/>
    <w:rsid w:val="00C66251"/>
    <w:rsid w:val="00C664A7"/>
    <w:rsid w:val="00C671C4"/>
    <w:rsid w:val="00C67A0D"/>
    <w:rsid w:val="00C70008"/>
    <w:rsid w:val="00C70721"/>
    <w:rsid w:val="00C70745"/>
    <w:rsid w:val="00C70AF8"/>
    <w:rsid w:val="00C7191F"/>
    <w:rsid w:val="00C71A2A"/>
    <w:rsid w:val="00C73235"/>
    <w:rsid w:val="00C73E43"/>
    <w:rsid w:val="00C7495C"/>
    <w:rsid w:val="00C75676"/>
    <w:rsid w:val="00C75A2F"/>
    <w:rsid w:val="00C76F70"/>
    <w:rsid w:val="00C7714F"/>
    <w:rsid w:val="00C77844"/>
    <w:rsid w:val="00C8052F"/>
    <w:rsid w:val="00C80837"/>
    <w:rsid w:val="00C80861"/>
    <w:rsid w:val="00C80A7C"/>
    <w:rsid w:val="00C80ABD"/>
    <w:rsid w:val="00C8103D"/>
    <w:rsid w:val="00C811F8"/>
    <w:rsid w:val="00C81CEF"/>
    <w:rsid w:val="00C8230E"/>
    <w:rsid w:val="00C82745"/>
    <w:rsid w:val="00C8377E"/>
    <w:rsid w:val="00C83A3E"/>
    <w:rsid w:val="00C840DA"/>
    <w:rsid w:val="00C851B5"/>
    <w:rsid w:val="00C8553B"/>
    <w:rsid w:val="00C8565E"/>
    <w:rsid w:val="00C8643E"/>
    <w:rsid w:val="00C86692"/>
    <w:rsid w:val="00C86F29"/>
    <w:rsid w:val="00C911A4"/>
    <w:rsid w:val="00C92D2C"/>
    <w:rsid w:val="00C9343A"/>
    <w:rsid w:val="00C93FCD"/>
    <w:rsid w:val="00C94160"/>
    <w:rsid w:val="00CA015A"/>
    <w:rsid w:val="00CA0385"/>
    <w:rsid w:val="00CA091D"/>
    <w:rsid w:val="00CA0ACC"/>
    <w:rsid w:val="00CA13E2"/>
    <w:rsid w:val="00CA2C71"/>
    <w:rsid w:val="00CA322F"/>
    <w:rsid w:val="00CA32DC"/>
    <w:rsid w:val="00CA3D49"/>
    <w:rsid w:val="00CA40B3"/>
    <w:rsid w:val="00CA4E44"/>
    <w:rsid w:val="00CA5B86"/>
    <w:rsid w:val="00CA5CA7"/>
    <w:rsid w:val="00CA5DE5"/>
    <w:rsid w:val="00CA62B7"/>
    <w:rsid w:val="00CA78D1"/>
    <w:rsid w:val="00CB0F22"/>
    <w:rsid w:val="00CB18E1"/>
    <w:rsid w:val="00CB24F4"/>
    <w:rsid w:val="00CB3192"/>
    <w:rsid w:val="00CB41E6"/>
    <w:rsid w:val="00CB6C4F"/>
    <w:rsid w:val="00CB7232"/>
    <w:rsid w:val="00CB76D2"/>
    <w:rsid w:val="00CB779F"/>
    <w:rsid w:val="00CC0B60"/>
    <w:rsid w:val="00CC1499"/>
    <w:rsid w:val="00CC220E"/>
    <w:rsid w:val="00CC3077"/>
    <w:rsid w:val="00CC5C2C"/>
    <w:rsid w:val="00CC6205"/>
    <w:rsid w:val="00CC64E2"/>
    <w:rsid w:val="00CC72E5"/>
    <w:rsid w:val="00CC7DB2"/>
    <w:rsid w:val="00CD09D0"/>
    <w:rsid w:val="00CD0ED9"/>
    <w:rsid w:val="00CD0F73"/>
    <w:rsid w:val="00CD1911"/>
    <w:rsid w:val="00CD2D5C"/>
    <w:rsid w:val="00CD36E3"/>
    <w:rsid w:val="00CD6E32"/>
    <w:rsid w:val="00CD7572"/>
    <w:rsid w:val="00CD787B"/>
    <w:rsid w:val="00CD7C11"/>
    <w:rsid w:val="00CE04BC"/>
    <w:rsid w:val="00CE0C49"/>
    <w:rsid w:val="00CE11DD"/>
    <w:rsid w:val="00CE1342"/>
    <w:rsid w:val="00CE1663"/>
    <w:rsid w:val="00CE1669"/>
    <w:rsid w:val="00CE26C7"/>
    <w:rsid w:val="00CE4251"/>
    <w:rsid w:val="00CE4440"/>
    <w:rsid w:val="00CE5AEB"/>
    <w:rsid w:val="00CE5E99"/>
    <w:rsid w:val="00CE607D"/>
    <w:rsid w:val="00CE6329"/>
    <w:rsid w:val="00CE7226"/>
    <w:rsid w:val="00CE7A94"/>
    <w:rsid w:val="00CE7F57"/>
    <w:rsid w:val="00CF1308"/>
    <w:rsid w:val="00CF1C0C"/>
    <w:rsid w:val="00CF1F43"/>
    <w:rsid w:val="00CF25A6"/>
    <w:rsid w:val="00CF3E80"/>
    <w:rsid w:val="00CF5482"/>
    <w:rsid w:val="00CF56DF"/>
    <w:rsid w:val="00CF5E87"/>
    <w:rsid w:val="00CF63BF"/>
    <w:rsid w:val="00CF642E"/>
    <w:rsid w:val="00D002B1"/>
    <w:rsid w:val="00D010CC"/>
    <w:rsid w:val="00D024D7"/>
    <w:rsid w:val="00D052FC"/>
    <w:rsid w:val="00D05450"/>
    <w:rsid w:val="00D05976"/>
    <w:rsid w:val="00D0737E"/>
    <w:rsid w:val="00D1205E"/>
    <w:rsid w:val="00D12483"/>
    <w:rsid w:val="00D13BC9"/>
    <w:rsid w:val="00D1434F"/>
    <w:rsid w:val="00D146A0"/>
    <w:rsid w:val="00D14A5E"/>
    <w:rsid w:val="00D153EC"/>
    <w:rsid w:val="00D172B9"/>
    <w:rsid w:val="00D174C0"/>
    <w:rsid w:val="00D1772C"/>
    <w:rsid w:val="00D1773B"/>
    <w:rsid w:val="00D209B2"/>
    <w:rsid w:val="00D20DF0"/>
    <w:rsid w:val="00D20F81"/>
    <w:rsid w:val="00D21444"/>
    <w:rsid w:val="00D215CE"/>
    <w:rsid w:val="00D24D34"/>
    <w:rsid w:val="00D25CFA"/>
    <w:rsid w:val="00D25D04"/>
    <w:rsid w:val="00D260E9"/>
    <w:rsid w:val="00D26BBC"/>
    <w:rsid w:val="00D26E2A"/>
    <w:rsid w:val="00D27643"/>
    <w:rsid w:val="00D277E6"/>
    <w:rsid w:val="00D27E7C"/>
    <w:rsid w:val="00D30256"/>
    <w:rsid w:val="00D30C9A"/>
    <w:rsid w:val="00D3125C"/>
    <w:rsid w:val="00D3154B"/>
    <w:rsid w:val="00D3189A"/>
    <w:rsid w:val="00D31A89"/>
    <w:rsid w:val="00D31F05"/>
    <w:rsid w:val="00D322A5"/>
    <w:rsid w:val="00D32FC2"/>
    <w:rsid w:val="00D34A8D"/>
    <w:rsid w:val="00D34D0C"/>
    <w:rsid w:val="00D34F0A"/>
    <w:rsid w:val="00D35AE5"/>
    <w:rsid w:val="00D3664A"/>
    <w:rsid w:val="00D3768D"/>
    <w:rsid w:val="00D37851"/>
    <w:rsid w:val="00D378FE"/>
    <w:rsid w:val="00D40C6F"/>
    <w:rsid w:val="00D4144C"/>
    <w:rsid w:val="00D41CC2"/>
    <w:rsid w:val="00D41D85"/>
    <w:rsid w:val="00D43907"/>
    <w:rsid w:val="00D4444E"/>
    <w:rsid w:val="00D445A1"/>
    <w:rsid w:val="00D44E92"/>
    <w:rsid w:val="00D45032"/>
    <w:rsid w:val="00D453D9"/>
    <w:rsid w:val="00D46CA2"/>
    <w:rsid w:val="00D475EE"/>
    <w:rsid w:val="00D501D0"/>
    <w:rsid w:val="00D51A03"/>
    <w:rsid w:val="00D52AC5"/>
    <w:rsid w:val="00D52C5A"/>
    <w:rsid w:val="00D52CB7"/>
    <w:rsid w:val="00D53D32"/>
    <w:rsid w:val="00D540C1"/>
    <w:rsid w:val="00D54A00"/>
    <w:rsid w:val="00D556C4"/>
    <w:rsid w:val="00D56D85"/>
    <w:rsid w:val="00D574FF"/>
    <w:rsid w:val="00D575E9"/>
    <w:rsid w:val="00D6274B"/>
    <w:rsid w:val="00D62790"/>
    <w:rsid w:val="00D62B1E"/>
    <w:rsid w:val="00D62F79"/>
    <w:rsid w:val="00D65EA9"/>
    <w:rsid w:val="00D66C63"/>
    <w:rsid w:val="00D7040D"/>
    <w:rsid w:val="00D71083"/>
    <w:rsid w:val="00D721D9"/>
    <w:rsid w:val="00D722C0"/>
    <w:rsid w:val="00D72EB9"/>
    <w:rsid w:val="00D7575D"/>
    <w:rsid w:val="00D75FFA"/>
    <w:rsid w:val="00D767FD"/>
    <w:rsid w:val="00D77199"/>
    <w:rsid w:val="00D7727B"/>
    <w:rsid w:val="00D81349"/>
    <w:rsid w:val="00D816A9"/>
    <w:rsid w:val="00D82C82"/>
    <w:rsid w:val="00D83852"/>
    <w:rsid w:val="00D83AE4"/>
    <w:rsid w:val="00D8419E"/>
    <w:rsid w:val="00D843A3"/>
    <w:rsid w:val="00D8538E"/>
    <w:rsid w:val="00D8596D"/>
    <w:rsid w:val="00D87418"/>
    <w:rsid w:val="00D8749B"/>
    <w:rsid w:val="00D8777D"/>
    <w:rsid w:val="00D90114"/>
    <w:rsid w:val="00D901B3"/>
    <w:rsid w:val="00D90A66"/>
    <w:rsid w:val="00D93BC6"/>
    <w:rsid w:val="00D93C80"/>
    <w:rsid w:val="00D93F71"/>
    <w:rsid w:val="00D94563"/>
    <w:rsid w:val="00D945FC"/>
    <w:rsid w:val="00D95823"/>
    <w:rsid w:val="00D95EC9"/>
    <w:rsid w:val="00D96C25"/>
    <w:rsid w:val="00DA0223"/>
    <w:rsid w:val="00DA0D66"/>
    <w:rsid w:val="00DA0FD2"/>
    <w:rsid w:val="00DA1BC6"/>
    <w:rsid w:val="00DA1C52"/>
    <w:rsid w:val="00DA28BC"/>
    <w:rsid w:val="00DA2A34"/>
    <w:rsid w:val="00DA2F89"/>
    <w:rsid w:val="00DA3033"/>
    <w:rsid w:val="00DA3EBD"/>
    <w:rsid w:val="00DA4970"/>
    <w:rsid w:val="00DA4DAA"/>
    <w:rsid w:val="00DA5C34"/>
    <w:rsid w:val="00DA710C"/>
    <w:rsid w:val="00DA749B"/>
    <w:rsid w:val="00DA7533"/>
    <w:rsid w:val="00DA7907"/>
    <w:rsid w:val="00DB067A"/>
    <w:rsid w:val="00DB0A10"/>
    <w:rsid w:val="00DB1250"/>
    <w:rsid w:val="00DB5F83"/>
    <w:rsid w:val="00DB6813"/>
    <w:rsid w:val="00DB6C43"/>
    <w:rsid w:val="00DB74E0"/>
    <w:rsid w:val="00DC0D41"/>
    <w:rsid w:val="00DC154E"/>
    <w:rsid w:val="00DC1A71"/>
    <w:rsid w:val="00DC25A0"/>
    <w:rsid w:val="00DC2A1E"/>
    <w:rsid w:val="00DC2BD3"/>
    <w:rsid w:val="00DC31F4"/>
    <w:rsid w:val="00DC3533"/>
    <w:rsid w:val="00DC42A7"/>
    <w:rsid w:val="00DC46D7"/>
    <w:rsid w:val="00DC48A7"/>
    <w:rsid w:val="00DC4AE2"/>
    <w:rsid w:val="00DC51D8"/>
    <w:rsid w:val="00DC5278"/>
    <w:rsid w:val="00DC542E"/>
    <w:rsid w:val="00DC5764"/>
    <w:rsid w:val="00DC5B8C"/>
    <w:rsid w:val="00DC6189"/>
    <w:rsid w:val="00DC6759"/>
    <w:rsid w:val="00DC68EF"/>
    <w:rsid w:val="00DC6F6F"/>
    <w:rsid w:val="00DC7515"/>
    <w:rsid w:val="00DD00F5"/>
    <w:rsid w:val="00DD08AF"/>
    <w:rsid w:val="00DD08DD"/>
    <w:rsid w:val="00DD21B7"/>
    <w:rsid w:val="00DD247A"/>
    <w:rsid w:val="00DD2775"/>
    <w:rsid w:val="00DD294C"/>
    <w:rsid w:val="00DD2E8F"/>
    <w:rsid w:val="00DD44F2"/>
    <w:rsid w:val="00DD4FC1"/>
    <w:rsid w:val="00DD5955"/>
    <w:rsid w:val="00DD5E31"/>
    <w:rsid w:val="00DD7EB8"/>
    <w:rsid w:val="00DE011D"/>
    <w:rsid w:val="00DE0801"/>
    <w:rsid w:val="00DE0ADF"/>
    <w:rsid w:val="00DE0BE7"/>
    <w:rsid w:val="00DE1232"/>
    <w:rsid w:val="00DE186F"/>
    <w:rsid w:val="00DE1AF8"/>
    <w:rsid w:val="00DE2642"/>
    <w:rsid w:val="00DE3878"/>
    <w:rsid w:val="00DE3FC8"/>
    <w:rsid w:val="00DE42F9"/>
    <w:rsid w:val="00DE44E7"/>
    <w:rsid w:val="00DE4D5E"/>
    <w:rsid w:val="00DE519C"/>
    <w:rsid w:val="00DE55B9"/>
    <w:rsid w:val="00DE7361"/>
    <w:rsid w:val="00DE7830"/>
    <w:rsid w:val="00DE7A51"/>
    <w:rsid w:val="00DF0206"/>
    <w:rsid w:val="00DF06CF"/>
    <w:rsid w:val="00DF0885"/>
    <w:rsid w:val="00DF0BAB"/>
    <w:rsid w:val="00DF19AE"/>
    <w:rsid w:val="00DF225C"/>
    <w:rsid w:val="00DF25B6"/>
    <w:rsid w:val="00DF3F9C"/>
    <w:rsid w:val="00DF59DC"/>
    <w:rsid w:val="00DF6ADE"/>
    <w:rsid w:val="00DF77CD"/>
    <w:rsid w:val="00DF7C5F"/>
    <w:rsid w:val="00E00781"/>
    <w:rsid w:val="00E009E7"/>
    <w:rsid w:val="00E00D32"/>
    <w:rsid w:val="00E00D68"/>
    <w:rsid w:val="00E012DA"/>
    <w:rsid w:val="00E013DC"/>
    <w:rsid w:val="00E01FAF"/>
    <w:rsid w:val="00E03BF3"/>
    <w:rsid w:val="00E045F4"/>
    <w:rsid w:val="00E0467C"/>
    <w:rsid w:val="00E04D49"/>
    <w:rsid w:val="00E04F74"/>
    <w:rsid w:val="00E0506D"/>
    <w:rsid w:val="00E050A5"/>
    <w:rsid w:val="00E066B6"/>
    <w:rsid w:val="00E068B4"/>
    <w:rsid w:val="00E06B8A"/>
    <w:rsid w:val="00E072EF"/>
    <w:rsid w:val="00E07AA0"/>
    <w:rsid w:val="00E10802"/>
    <w:rsid w:val="00E11BF3"/>
    <w:rsid w:val="00E11EFF"/>
    <w:rsid w:val="00E1276B"/>
    <w:rsid w:val="00E12B9C"/>
    <w:rsid w:val="00E13B19"/>
    <w:rsid w:val="00E13FAB"/>
    <w:rsid w:val="00E143B1"/>
    <w:rsid w:val="00E167BC"/>
    <w:rsid w:val="00E1685D"/>
    <w:rsid w:val="00E177DE"/>
    <w:rsid w:val="00E17D78"/>
    <w:rsid w:val="00E20944"/>
    <w:rsid w:val="00E2163B"/>
    <w:rsid w:val="00E21814"/>
    <w:rsid w:val="00E224FA"/>
    <w:rsid w:val="00E228EF"/>
    <w:rsid w:val="00E23146"/>
    <w:rsid w:val="00E238A2"/>
    <w:rsid w:val="00E23DA6"/>
    <w:rsid w:val="00E24CE0"/>
    <w:rsid w:val="00E253B2"/>
    <w:rsid w:val="00E256AD"/>
    <w:rsid w:val="00E25936"/>
    <w:rsid w:val="00E25BF0"/>
    <w:rsid w:val="00E25D98"/>
    <w:rsid w:val="00E27811"/>
    <w:rsid w:val="00E30903"/>
    <w:rsid w:val="00E3120B"/>
    <w:rsid w:val="00E31958"/>
    <w:rsid w:val="00E31A13"/>
    <w:rsid w:val="00E32055"/>
    <w:rsid w:val="00E3220F"/>
    <w:rsid w:val="00E32812"/>
    <w:rsid w:val="00E33B4A"/>
    <w:rsid w:val="00E341D4"/>
    <w:rsid w:val="00E35D69"/>
    <w:rsid w:val="00E36351"/>
    <w:rsid w:val="00E37146"/>
    <w:rsid w:val="00E37D41"/>
    <w:rsid w:val="00E40C9C"/>
    <w:rsid w:val="00E41B81"/>
    <w:rsid w:val="00E44173"/>
    <w:rsid w:val="00E44AB5"/>
    <w:rsid w:val="00E44BF7"/>
    <w:rsid w:val="00E4512A"/>
    <w:rsid w:val="00E4566F"/>
    <w:rsid w:val="00E47D60"/>
    <w:rsid w:val="00E50D0E"/>
    <w:rsid w:val="00E50D47"/>
    <w:rsid w:val="00E51048"/>
    <w:rsid w:val="00E51774"/>
    <w:rsid w:val="00E526A5"/>
    <w:rsid w:val="00E53E40"/>
    <w:rsid w:val="00E561DB"/>
    <w:rsid w:val="00E56378"/>
    <w:rsid w:val="00E56C5F"/>
    <w:rsid w:val="00E578AA"/>
    <w:rsid w:val="00E57E96"/>
    <w:rsid w:val="00E613BF"/>
    <w:rsid w:val="00E624B3"/>
    <w:rsid w:val="00E62AF4"/>
    <w:rsid w:val="00E62E17"/>
    <w:rsid w:val="00E63059"/>
    <w:rsid w:val="00E63934"/>
    <w:rsid w:val="00E64905"/>
    <w:rsid w:val="00E65B3A"/>
    <w:rsid w:val="00E65EB9"/>
    <w:rsid w:val="00E6606B"/>
    <w:rsid w:val="00E70B6F"/>
    <w:rsid w:val="00E71105"/>
    <w:rsid w:val="00E7115E"/>
    <w:rsid w:val="00E71A79"/>
    <w:rsid w:val="00E71E42"/>
    <w:rsid w:val="00E731A1"/>
    <w:rsid w:val="00E738DB"/>
    <w:rsid w:val="00E73B7E"/>
    <w:rsid w:val="00E75342"/>
    <w:rsid w:val="00E75754"/>
    <w:rsid w:val="00E8199A"/>
    <w:rsid w:val="00E8208F"/>
    <w:rsid w:val="00E824D3"/>
    <w:rsid w:val="00E824FD"/>
    <w:rsid w:val="00E82C70"/>
    <w:rsid w:val="00E830D5"/>
    <w:rsid w:val="00E83A18"/>
    <w:rsid w:val="00E842AD"/>
    <w:rsid w:val="00E84712"/>
    <w:rsid w:val="00E84724"/>
    <w:rsid w:val="00E84746"/>
    <w:rsid w:val="00E85F8A"/>
    <w:rsid w:val="00E86592"/>
    <w:rsid w:val="00E87E89"/>
    <w:rsid w:val="00E91975"/>
    <w:rsid w:val="00E93E4B"/>
    <w:rsid w:val="00E94009"/>
    <w:rsid w:val="00E94078"/>
    <w:rsid w:val="00E9555E"/>
    <w:rsid w:val="00E95708"/>
    <w:rsid w:val="00E95F03"/>
    <w:rsid w:val="00E96464"/>
    <w:rsid w:val="00E968B9"/>
    <w:rsid w:val="00E9709C"/>
    <w:rsid w:val="00E9790F"/>
    <w:rsid w:val="00E97B42"/>
    <w:rsid w:val="00EA018F"/>
    <w:rsid w:val="00EA07AD"/>
    <w:rsid w:val="00EA0F32"/>
    <w:rsid w:val="00EA1A01"/>
    <w:rsid w:val="00EA1D25"/>
    <w:rsid w:val="00EA27A8"/>
    <w:rsid w:val="00EA351F"/>
    <w:rsid w:val="00EA3C2C"/>
    <w:rsid w:val="00EA454E"/>
    <w:rsid w:val="00EA5006"/>
    <w:rsid w:val="00EA5CCF"/>
    <w:rsid w:val="00EA7944"/>
    <w:rsid w:val="00EB0CFB"/>
    <w:rsid w:val="00EB0D19"/>
    <w:rsid w:val="00EB2311"/>
    <w:rsid w:val="00EB4BC3"/>
    <w:rsid w:val="00EB4D52"/>
    <w:rsid w:val="00EB4F11"/>
    <w:rsid w:val="00EB5BC9"/>
    <w:rsid w:val="00EB5C55"/>
    <w:rsid w:val="00EB6084"/>
    <w:rsid w:val="00EB759B"/>
    <w:rsid w:val="00EC017F"/>
    <w:rsid w:val="00EC0635"/>
    <w:rsid w:val="00EC081E"/>
    <w:rsid w:val="00EC1153"/>
    <w:rsid w:val="00EC1819"/>
    <w:rsid w:val="00EC1CCF"/>
    <w:rsid w:val="00EC22D7"/>
    <w:rsid w:val="00EC28C2"/>
    <w:rsid w:val="00EC4412"/>
    <w:rsid w:val="00EC4803"/>
    <w:rsid w:val="00EC5045"/>
    <w:rsid w:val="00EC5378"/>
    <w:rsid w:val="00EC64AB"/>
    <w:rsid w:val="00EC6C97"/>
    <w:rsid w:val="00EC7772"/>
    <w:rsid w:val="00EC7862"/>
    <w:rsid w:val="00EC7888"/>
    <w:rsid w:val="00EC7ABE"/>
    <w:rsid w:val="00ED20EB"/>
    <w:rsid w:val="00ED2190"/>
    <w:rsid w:val="00ED27F3"/>
    <w:rsid w:val="00ED28D1"/>
    <w:rsid w:val="00ED2D34"/>
    <w:rsid w:val="00ED2E7A"/>
    <w:rsid w:val="00ED33DD"/>
    <w:rsid w:val="00ED3989"/>
    <w:rsid w:val="00ED3A37"/>
    <w:rsid w:val="00ED3B7E"/>
    <w:rsid w:val="00ED42AD"/>
    <w:rsid w:val="00ED4655"/>
    <w:rsid w:val="00ED5049"/>
    <w:rsid w:val="00ED51B6"/>
    <w:rsid w:val="00ED5AC9"/>
    <w:rsid w:val="00ED62DD"/>
    <w:rsid w:val="00ED6FC0"/>
    <w:rsid w:val="00ED79A4"/>
    <w:rsid w:val="00ED7AEB"/>
    <w:rsid w:val="00EE2E08"/>
    <w:rsid w:val="00EE2E27"/>
    <w:rsid w:val="00EE3210"/>
    <w:rsid w:val="00EE407D"/>
    <w:rsid w:val="00EE4B2E"/>
    <w:rsid w:val="00EE5063"/>
    <w:rsid w:val="00EE5148"/>
    <w:rsid w:val="00EE523C"/>
    <w:rsid w:val="00EE548F"/>
    <w:rsid w:val="00EE6DD6"/>
    <w:rsid w:val="00EE7B6E"/>
    <w:rsid w:val="00EE7D37"/>
    <w:rsid w:val="00EF0042"/>
    <w:rsid w:val="00EF00C5"/>
    <w:rsid w:val="00EF03CD"/>
    <w:rsid w:val="00EF061D"/>
    <w:rsid w:val="00EF0AC9"/>
    <w:rsid w:val="00EF1240"/>
    <w:rsid w:val="00EF1F4F"/>
    <w:rsid w:val="00EF24A8"/>
    <w:rsid w:val="00EF34A9"/>
    <w:rsid w:val="00EF3CC5"/>
    <w:rsid w:val="00EF4469"/>
    <w:rsid w:val="00EF63DC"/>
    <w:rsid w:val="00EF661E"/>
    <w:rsid w:val="00F01429"/>
    <w:rsid w:val="00F01862"/>
    <w:rsid w:val="00F02480"/>
    <w:rsid w:val="00F03487"/>
    <w:rsid w:val="00F05D2D"/>
    <w:rsid w:val="00F077CF"/>
    <w:rsid w:val="00F1043F"/>
    <w:rsid w:val="00F108CA"/>
    <w:rsid w:val="00F12534"/>
    <w:rsid w:val="00F13019"/>
    <w:rsid w:val="00F13692"/>
    <w:rsid w:val="00F144EF"/>
    <w:rsid w:val="00F1476D"/>
    <w:rsid w:val="00F1483E"/>
    <w:rsid w:val="00F1492D"/>
    <w:rsid w:val="00F14995"/>
    <w:rsid w:val="00F14E90"/>
    <w:rsid w:val="00F179F5"/>
    <w:rsid w:val="00F20120"/>
    <w:rsid w:val="00F2063D"/>
    <w:rsid w:val="00F20B07"/>
    <w:rsid w:val="00F2116C"/>
    <w:rsid w:val="00F2128C"/>
    <w:rsid w:val="00F2278D"/>
    <w:rsid w:val="00F22B06"/>
    <w:rsid w:val="00F22BDF"/>
    <w:rsid w:val="00F23101"/>
    <w:rsid w:val="00F23329"/>
    <w:rsid w:val="00F23457"/>
    <w:rsid w:val="00F23AA1"/>
    <w:rsid w:val="00F23CC4"/>
    <w:rsid w:val="00F23F33"/>
    <w:rsid w:val="00F24B4B"/>
    <w:rsid w:val="00F25BF3"/>
    <w:rsid w:val="00F2655F"/>
    <w:rsid w:val="00F26647"/>
    <w:rsid w:val="00F2696E"/>
    <w:rsid w:val="00F26F6A"/>
    <w:rsid w:val="00F27A0E"/>
    <w:rsid w:val="00F27A46"/>
    <w:rsid w:val="00F27C2A"/>
    <w:rsid w:val="00F27ED5"/>
    <w:rsid w:val="00F3008D"/>
    <w:rsid w:val="00F317AF"/>
    <w:rsid w:val="00F31FE4"/>
    <w:rsid w:val="00F3202C"/>
    <w:rsid w:val="00F32A48"/>
    <w:rsid w:val="00F3348A"/>
    <w:rsid w:val="00F34F36"/>
    <w:rsid w:val="00F34F4B"/>
    <w:rsid w:val="00F351C3"/>
    <w:rsid w:val="00F3593B"/>
    <w:rsid w:val="00F364AE"/>
    <w:rsid w:val="00F375BF"/>
    <w:rsid w:val="00F40053"/>
    <w:rsid w:val="00F40086"/>
    <w:rsid w:val="00F40F00"/>
    <w:rsid w:val="00F41987"/>
    <w:rsid w:val="00F420D9"/>
    <w:rsid w:val="00F429CA"/>
    <w:rsid w:val="00F42EAE"/>
    <w:rsid w:val="00F4375D"/>
    <w:rsid w:val="00F45210"/>
    <w:rsid w:val="00F4566C"/>
    <w:rsid w:val="00F45F3C"/>
    <w:rsid w:val="00F4686A"/>
    <w:rsid w:val="00F46A3A"/>
    <w:rsid w:val="00F46BBC"/>
    <w:rsid w:val="00F46F08"/>
    <w:rsid w:val="00F47645"/>
    <w:rsid w:val="00F47924"/>
    <w:rsid w:val="00F51FF0"/>
    <w:rsid w:val="00F5215A"/>
    <w:rsid w:val="00F52EBD"/>
    <w:rsid w:val="00F5308A"/>
    <w:rsid w:val="00F53697"/>
    <w:rsid w:val="00F53BD2"/>
    <w:rsid w:val="00F53C52"/>
    <w:rsid w:val="00F53DA2"/>
    <w:rsid w:val="00F544F7"/>
    <w:rsid w:val="00F54B35"/>
    <w:rsid w:val="00F55B53"/>
    <w:rsid w:val="00F56C5F"/>
    <w:rsid w:val="00F56D9D"/>
    <w:rsid w:val="00F578C4"/>
    <w:rsid w:val="00F57BAC"/>
    <w:rsid w:val="00F57DF1"/>
    <w:rsid w:val="00F602ED"/>
    <w:rsid w:val="00F60B00"/>
    <w:rsid w:val="00F6154E"/>
    <w:rsid w:val="00F61806"/>
    <w:rsid w:val="00F62CD0"/>
    <w:rsid w:val="00F6392A"/>
    <w:rsid w:val="00F650C2"/>
    <w:rsid w:val="00F65293"/>
    <w:rsid w:val="00F66023"/>
    <w:rsid w:val="00F66FB4"/>
    <w:rsid w:val="00F67898"/>
    <w:rsid w:val="00F67C56"/>
    <w:rsid w:val="00F701C8"/>
    <w:rsid w:val="00F704DD"/>
    <w:rsid w:val="00F712B6"/>
    <w:rsid w:val="00F71483"/>
    <w:rsid w:val="00F71636"/>
    <w:rsid w:val="00F722D2"/>
    <w:rsid w:val="00F72E6E"/>
    <w:rsid w:val="00F74078"/>
    <w:rsid w:val="00F7447E"/>
    <w:rsid w:val="00F753F5"/>
    <w:rsid w:val="00F7664F"/>
    <w:rsid w:val="00F8064D"/>
    <w:rsid w:val="00F818F8"/>
    <w:rsid w:val="00F81E56"/>
    <w:rsid w:val="00F81E6B"/>
    <w:rsid w:val="00F8358E"/>
    <w:rsid w:val="00F83B6D"/>
    <w:rsid w:val="00F8444B"/>
    <w:rsid w:val="00F84976"/>
    <w:rsid w:val="00F84DB8"/>
    <w:rsid w:val="00F8539B"/>
    <w:rsid w:val="00F85DA5"/>
    <w:rsid w:val="00F87C11"/>
    <w:rsid w:val="00F900DD"/>
    <w:rsid w:val="00F912FE"/>
    <w:rsid w:val="00F914C3"/>
    <w:rsid w:val="00F91BE0"/>
    <w:rsid w:val="00F93940"/>
    <w:rsid w:val="00F95298"/>
    <w:rsid w:val="00F953CD"/>
    <w:rsid w:val="00F9565B"/>
    <w:rsid w:val="00F9585A"/>
    <w:rsid w:val="00F97096"/>
    <w:rsid w:val="00FA025B"/>
    <w:rsid w:val="00FA0B94"/>
    <w:rsid w:val="00FA0EB3"/>
    <w:rsid w:val="00FA0F77"/>
    <w:rsid w:val="00FA1D44"/>
    <w:rsid w:val="00FA216E"/>
    <w:rsid w:val="00FA21C6"/>
    <w:rsid w:val="00FA229F"/>
    <w:rsid w:val="00FA35CE"/>
    <w:rsid w:val="00FA3688"/>
    <w:rsid w:val="00FA61C7"/>
    <w:rsid w:val="00FA69E6"/>
    <w:rsid w:val="00FA7864"/>
    <w:rsid w:val="00FB03C2"/>
    <w:rsid w:val="00FB07B0"/>
    <w:rsid w:val="00FB1BFB"/>
    <w:rsid w:val="00FB1E06"/>
    <w:rsid w:val="00FB2719"/>
    <w:rsid w:val="00FB2AD2"/>
    <w:rsid w:val="00FB2E0A"/>
    <w:rsid w:val="00FB309C"/>
    <w:rsid w:val="00FB38EB"/>
    <w:rsid w:val="00FB4B68"/>
    <w:rsid w:val="00FB4D3A"/>
    <w:rsid w:val="00FB53C2"/>
    <w:rsid w:val="00FB571B"/>
    <w:rsid w:val="00FB595B"/>
    <w:rsid w:val="00FB727A"/>
    <w:rsid w:val="00FB78C9"/>
    <w:rsid w:val="00FC07E9"/>
    <w:rsid w:val="00FC07F2"/>
    <w:rsid w:val="00FC126D"/>
    <w:rsid w:val="00FC14C0"/>
    <w:rsid w:val="00FC1857"/>
    <w:rsid w:val="00FC18B3"/>
    <w:rsid w:val="00FC1CEB"/>
    <w:rsid w:val="00FC2302"/>
    <w:rsid w:val="00FC2867"/>
    <w:rsid w:val="00FC2E6B"/>
    <w:rsid w:val="00FC2FA1"/>
    <w:rsid w:val="00FC3107"/>
    <w:rsid w:val="00FC3687"/>
    <w:rsid w:val="00FC4C8F"/>
    <w:rsid w:val="00FC51B0"/>
    <w:rsid w:val="00FC524D"/>
    <w:rsid w:val="00FC550C"/>
    <w:rsid w:val="00FC5B7D"/>
    <w:rsid w:val="00FC5D2F"/>
    <w:rsid w:val="00FD00B2"/>
    <w:rsid w:val="00FD084C"/>
    <w:rsid w:val="00FD2110"/>
    <w:rsid w:val="00FD2740"/>
    <w:rsid w:val="00FD2973"/>
    <w:rsid w:val="00FD4509"/>
    <w:rsid w:val="00FD4E9C"/>
    <w:rsid w:val="00FD64BC"/>
    <w:rsid w:val="00FE0EA1"/>
    <w:rsid w:val="00FE191B"/>
    <w:rsid w:val="00FE1C2F"/>
    <w:rsid w:val="00FE300C"/>
    <w:rsid w:val="00FE34B6"/>
    <w:rsid w:val="00FE3954"/>
    <w:rsid w:val="00FE3FE9"/>
    <w:rsid w:val="00FE44EC"/>
    <w:rsid w:val="00FE4DDC"/>
    <w:rsid w:val="00FE517C"/>
    <w:rsid w:val="00FE6CC7"/>
    <w:rsid w:val="00FF198C"/>
    <w:rsid w:val="00FF233C"/>
    <w:rsid w:val="00FF3C3E"/>
    <w:rsid w:val="00FF417F"/>
    <w:rsid w:val="00FF4E1F"/>
    <w:rsid w:val="00FF56EB"/>
    <w:rsid w:val="00FF5A25"/>
    <w:rsid w:val="00FF65EA"/>
    <w:rsid w:val="00FF70E1"/>
    <w:rsid w:val="00FF7C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1327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240" w:after="120"/>
        <w:ind w:left="1021" w:hanging="102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5"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E03CD"/>
    <w:pPr>
      <w:spacing w:after="0"/>
      <w:ind w:left="0" w:firstLine="0"/>
    </w:pPr>
    <w:rPr>
      <w:rFonts w:ascii="Calibri" w:hAnsi="Calibri"/>
    </w:rPr>
  </w:style>
  <w:style w:type="paragraph" w:styleId="Heading1">
    <w:name w:val="heading 1"/>
    <w:basedOn w:val="Normal"/>
    <w:next w:val="BodyText"/>
    <w:uiPriority w:val="9"/>
    <w:qFormat/>
    <w:rsid w:val="00FC3687"/>
    <w:pPr>
      <w:keepNext/>
      <w:keepLines/>
      <w:numPr>
        <w:numId w:val="21"/>
      </w:numPr>
      <w:spacing w:after="120" w:line="400" w:lineRule="atLeast"/>
      <w:outlineLvl w:val="0"/>
    </w:pPr>
    <w:rPr>
      <w:rFonts w:ascii="Cambria" w:eastAsiaTheme="majorEastAsia" w:hAnsi="Cambria" w:cstheme="majorBidi"/>
      <w:bCs/>
      <w:color w:val="0072B9"/>
      <w:sz w:val="36"/>
      <w:szCs w:val="28"/>
    </w:rPr>
  </w:style>
  <w:style w:type="paragraph" w:styleId="Heading2">
    <w:name w:val="heading 2"/>
    <w:basedOn w:val="Normal"/>
    <w:next w:val="BodyText"/>
    <w:link w:val="Heading2Char"/>
    <w:uiPriority w:val="9"/>
    <w:qFormat/>
    <w:rsid w:val="00FC3687"/>
    <w:pPr>
      <w:keepNext/>
      <w:keepLines/>
      <w:numPr>
        <w:ilvl w:val="1"/>
        <w:numId w:val="21"/>
      </w:numPr>
      <w:spacing w:after="200" w:line="280" w:lineRule="atLeast"/>
      <w:outlineLvl w:val="1"/>
    </w:pPr>
    <w:rPr>
      <w:rFonts w:ascii="Cambria" w:eastAsiaTheme="majorEastAsia" w:hAnsi="Cambria" w:cstheme="majorBidi"/>
      <w:bCs/>
      <w:color w:val="0072B9"/>
      <w:sz w:val="26"/>
      <w:szCs w:val="26"/>
    </w:rPr>
  </w:style>
  <w:style w:type="paragraph" w:styleId="Heading3">
    <w:name w:val="heading 3"/>
    <w:basedOn w:val="Normal"/>
    <w:next w:val="BodyText"/>
    <w:uiPriority w:val="9"/>
    <w:qFormat/>
    <w:rsid w:val="007E1F48"/>
    <w:pPr>
      <w:keepNext/>
      <w:keepLines/>
      <w:numPr>
        <w:ilvl w:val="2"/>
        <w:numId w:val="21"/>
      </w:numPr>
      <w:spacing w:before="200" w:after="120"/>
      <w:outlineLvl w:val="2"/>
    </w:pPr>
    <w:rPr>
      <w:rFonts w:ascii="Cambria" w:eastAsiaTheme="majorEastAsia" w:hAnsi="Cambria" w:cstheme="majorBidi"/>
      <w:b/>
      <w:bCs/>
      <w:color w:val="0072B9"/>
    </w:rPr>
  </w:style>
  <w:style w:type="paragraph" w:styleId="Heading4">
    <w:name w:val="heading 4"/>
    <w:basedOn w:val="Normal"/>
    <w:next w:val="BodyText"/>
    <w:link w:val="Heading4Char"/>
    <w:uiPriority w:val="9"/>
    <w:qFormat/>
    <w:rsid w:val="004E1F67"/>
    <w:pPr>
      <w:keepNext/>
      <w:keepLines/>
      <w:numPr>
        <w:ilvl w:val="3"/>
        <w:numId w:val="21"/>
      </w:numPr>
      <w:spacing w:before="200" w:after="120"/>
      <w:outlineLvl w:val="3"/>
    </w:pPr>
    <w:rPr>
      <w:rFonts w:ascii="Cambria" w:eastAsiaTheme="majorEastAsia" w:hAnsi="Cambria" w:cstheme="majorBidi"/>
      <w:b/>
      <w:bCs/>
      <w:iCs/>
    </w:rPr>
  </w:style>
  <w:style w:type="paragraph" w:styleId="Heading5">
    <w:name w:val="heading 5"/>
    <w:basedOn w:val="Normal"/>
    <w:next w:val="BodyText"/>
    <w:uiPriority w:val="9"/>
    <w:qFormat/>
    <w:rsid w:val="004E1F67"/>
    <w:pPr>
      <w:keepNext/>
      <w:keepLines/>
      <w:numPr>
        <w:ilvl w:val="4"/>
        <w:numId w:val="21"/>
      </w:numPr>
      <w:spacing w:before="200" w:after="120"/>
      <w:outlineLvl w:val="4"/>
    </w:pPr>
    <w:rPr>
      <w:rFonts w:ascii="Cambria" w:eastAsiaTheme="majorEastAsia" w:hAnsi="Cambria" w:cstheme="majorBidi"/>
    </w:rPr>
  </w:style>
  <w:style w:type="paragraph" w:styleId="Heading6">
    <w:name w:val="heading 6"/>
    <w:basedOn w:val="Normal"/>
    <w:next w:val="Normal"/>
    <w:uiPriority w:val="9"/>
    <w:semiHidden/>
    <w:unhideWhenUsed/>
    <w:qFormat/>
    <w:rsid w:val="00A0420F"/>
    <w:pPr>
      <w:keepNext/>
      <w:keepLines/>
      <w:numPr>
        <w:ilvl w:val="5"/>
        <w:numId w:val="19"/>
      </w:numPr>
      <w:spacing w:before="200"/>
      <w:outlineLvl w:val="5"/>
    </w:pPr>
    <w:rPr>
      <w:rFonts w:asciiTheme="majorHAnsi" w:eastAsiaTheme="majorEastAsia" w:hAnsiTheme="majorHAnsi" w:cstheme="majorBidi"/>
      <w:i/>
      <w:iCs/>
      <w:color w:val="003847" w:themeColor="accent1" w:themeShade="7F"/>
    </w:rPr>
  </w:style>
  <w:style w:type="paragraph" w:styleId="Heading7">
    <w:name w:val="heading 7"/>
    <w:basedOn w:val="Normal"/>
    <w:next w:val="Normal"/>
    <w:uiPriority w:val="9"/>
    <w:semiHidden/>
    <w:unhideWhenUsed/>
    <w:qFormat/>
    <w:rsid w:val="00A0420F"/>
    <w:pPr>
      <w:keepNext/>
      <w:keepLines/>
      <w:numPr>
        <w:ilvl w:val="6"/>
        <w:numId w:val="19"/>
      </w:numPr>
      <w:spacing w:before="200"/>
      <w:outlineLvl w:val="6"/>
    </w:pPr>
    <w:rPr>
      <w:rFonts w:asciiTheme="majorHAnsi" w:eastAsiaTheme="majorEastAsia" w:hAnsiTheme="majorHAnsi" w:cstheme="majorBidi"/>
      <w:i/>
      <w:iCs/>
      <w:color w:val="00BBEB" w:themeColor="text1" w:themeTint="BF"/>
    </w:rPr>
  </w:style>
  <w:style w:type="paragraph" w:styleId="Heading8">
    <w:name w:val="heading 8"/>
    <w:basedOn w:val="Normal"/>
    <w:next w:val="Normal"/>
    <w:uiPriority w:val="9"/>
    <w:semiHidden/>
    <w:unhideWhenUsed/>
    <w:qFormat/>
    <w:rsid w:val="00A0420F"/>
    <w:pPr>
      <w:keepNext/>
      <w:keepLines/>
      <w:numPr>
        <w:ilvl w:val="7"/>
        <w:numId w:val="19"/>
      </w:numPr>
      <w:spacing w:before="200"/>
      <w:outlineLvl w:val="7"/>
    </w:pPr>
    <w:rPr>
      <w:rFonts w:asciiTheme="majorHAnsi" w:eastAsiaTheme="majorEastAsia" w:hAnsiTheme="majorHAnsi" w:cstheme="majorBidi"/>
      <w:color w:val="00BBEB" w:themeColor="text1" w:themeTint="BF"/>
      <w:sz w:val="20"/>
      <w:szCs w:val="20"/>
    </w:rPr>
  </w:style>
  <w:style w:type="paragraph" w:styleId="Heading9">
    <w:name w:val="heading 9"/>
    <w:basedOn w:val="Normal"/>
    <w:next w:val="Normal"/>
    <w:uiPriority w:val="9"/>
    <w:semiHidden/>
    <w:unhideWhenUsed/>
    <w:qFormat/>
    <w:rsid w:val="00A0420F"/>
    <w:pPr>
      <w:keepNext/>
      <w:keepLines/>
      <w:numPr>
        <w:ilvl w:val="8"/>
        <w:numId w:val="19"/>
      </w:numPr>
      <w:spacing w:before="200"/>
      <w:outlineLvl w:val="8"/>
    </w:pPr>
    <w:rPr>
      <w:rFonts w:asciiTheme="majorHAnsi" w:eastAsiaTheme="majorEastAsia" w:hAnsiTheme="majorHAnsi" w:cstheme="majorBidi"/>
      <w:i/>
      <w:iCs/>
      <w:color w:val="00BBE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5622"/>
    <w:pPr>
      <w:spacing w:after="240"/>
    </w:pPr>
  </w:style>
  <w:style w:type="paragraph" w:customStyle="1" w:styleId="Titleheading">
    <w:name w:val="Title heading"/>
    <w:basedOn w:val="Normal"/>
    <w:next w:val="BodyText"/>
    <w:uiPriority w:val="15"/>
    <w:qFormat/>
    <w:rsid w:val="00583203"/>
    <w:pPr>
      <w:spacing w:before="480" w:after="360" w:line="440" w:lineRule="atLeast"/>
    </w:pPr>
    <w:rPr>
      <w:rFonts w:asciiTheme="minorHAnsi" w:hAnsiTheme="minorHAnsi"/>
      <w:color w:val="005391"/>
      <w:sz w:val="60"/>
    </w:rPr>
  </w:style>
  <w:style w:type="paragraph" w:customStyle="1" w:styleId="Tablecellheading">
    <w:name w:val="Table cell heading"/>
    <w:basedOn w:val="Tabletext"/>
    <w:uiPriority w:val="12"/>
    <w:qFormat/>
    <w:rsid w:val="009B32C8"/>
    <w:pPr>
      <w:keepNext/>
    </w:pPr>
    <w:rPr>
      <w:bCs/>
      <w:color w:val="FFFFFF"/>
    </w:rPr>
  </w:style>
  <w:style w:type="paragraph" w:customStyle="1" w:styleId="Tabletext">
    <w:name w:val="Table text"/>
    <w:basedOn w:val="BodyText"/>
    <w:uiPriority w:val="12"/>
    <w:qFormat/>
    <w:rsid w:val="00763CB1"/>
    <w:pPr>
      <w:spacing w:before="120" w:after="120"/>
    </w:pPr>
    <w:rPr>
      <w:rFonts w:eastAsia="Calibri" w:cs="Times New Roman"/>
      <w:sz w:val="21"/>
      <w:lang w:eastAsia="en-AU"/>
    </w:rPr>
  </w:style>
  <w:style w:type="paragraph" w:styleId="Caption">
    <w:name w:val="caption"/>
    <w:basedOn w:val="Normal"/>
    <w:next w:val="Normal"/>
    <w:uiPriority w:val="35"/>
    <w:semiHidden/>
    <w:qFormat/>
    <w:rsid w:val="0052764B"/>
    <w:pPr>
      <w:tabs>
        <w:tab w:val="left" w:pos="1021"/>
      </w:tabs>
      <w:spacing w:after="120"/>
      <w:ind w:left="1021" w:hanging="1021"/>
    </w:pPr>
    <w:rPr>
      <w:b/>
      <w:bCs/>
      <w:color w:val="00728F"/>
      <w:sz w:val="18"/>
      <w:szCs w:val="18"/>
    </w:rPr>
  </w:style>
  <w:style w:type="paragraph" w:customStyle="1" w:styleId="Tablecaption">
    <w:name w:val="Table caption"/>
    <w:basedOn w:val="Caption"/>
    <w:next w:val="Tabledescription"/>
    <w:uiPriority w:val="11"/>
    <w:qFormat/>
    <w:rsid w:val="00F602ED"/>
    <w:pPr>
      <w:keepNext/>
    </w:pPr>
    <w:rPr>
      <w:color w:val="0072B9"/>
    </w:rPr>
  </w:style>
  <w:style w:type="character" w:styleId="Strong">
    <w:name w:val="Strong"/>
    <w:basedOn w:val="DefaultParagraphFont"/>
    <w:uiPriority w:val="22"/>
    <w:qFormat/>
    <w:rsid w:val="00BF014B"/>
    <w:rPr>
      <w:b/>
      <w:bCs/>
    </w:rPr>
  </w:style>
  <w:style w:type="paragraph" w:styleId="BalloonText">
    <w:name w:val="Balloon Text"/>
    <w:basedOn w:val="Normal"/>
    <w:uiPriority w:val="99"/>
    <w:semiHidden/>
    <w:rsid w:val="00A66655"/>
    <w:rPr>
      <w:rFonts w:ascii="Tahoma" w:hAnsi="Tahoma" w:cs="Tahoma"/>
      <w:sz w:val="16"/>
      <w:szCs w:val="16"/>
    </w:rPr>
  </w:style>
  <w:style w:type="character" w:styleId="Hyperlink">
    <w:name w:val="Hyperlink"/>
    <w:basedOn w:val="DefaultParagraphFont"/>
    <w:uiPriority w:val="99"/>
    <w:unhideWhenUsed/>
    <w:rsid w:val="00B11651"/>
    <w:rPr>
      <w:color w:val="006DFF"/>
      <w:u w:val="single"/>
    </w:rPr>
  </w:style>
  <w:style w:type="paragraph" w:customStyle="1" w:styleId="Tablebullet-Level1">
    <w:name w:val="Table bullet - Level 1"/>
    <w:basedOn w:val="Tabletext"/>
    <w:uiPriority w:val="13"/>
    <w:qFormat/>
    <w:rsid w:val="00F05D2D"/>
    <w:pPr>
      <w:numPr>
        <w:numId w:val="12"/>
      </w:numPr>
    </w:pPr>
  </w:style>
  <w:style w:type="paragraph" w:customStyle="1" w:styleId="Tabledescription">
    <w:name w:val="Table description"/>
    <w:basedOn w:val="Tablecaption"/>
    <w:uiPriority w:val="11"/>
    <w:qFormat/>
    <w:rsid w:val="0052764B"/>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FC3687"/>
    <w:pPr>
      <w:pageBreakBefore/>
      <w:numPr>
        <w:numId w:val="22"/>
      </w:numPr>
    </w:pPr>
  </w:style>
  <w:style w:type="paragraph" w:styleId="TOCHeading">
    <w:name w:val="TOC Heading"/>
    <w:basedOn w:val="Heading1"/>
    <w:next w:val="BodyText"/>
    <w:uiPriority w:val="38"/>
    <w:qFormat/>
    <w:rsid w:val="00FC3687"/>
    <w:pPr>
      <w:numPr>
        <w:numId w:val="0"/>
      </w:numPr>
      <w:spacing w:after="360"/>
      <w:outlineLvl w:val="9"/>
    </w:pPr>
    <w:rPr>
      <w:rFonts w:asciiTheme="minorHAnsi" w:hAnsiTheme="minorHAnsi"/>
    </w:rPr>
  </w:style>
  <w:style w:type="paragraph" w:styleId="TOC1">
    <w:name w:val="toc 1"/>
    <w:basedOn w:val="Normal"/>
    <w:next w:val="Normal"/>
    <w:autoRedefine/>
    <w:uiPriority w:val="39"/>
    <w:rsid w:val="00FC3687"/>
    <w:pPr>
      <w:tabs>
        <w:tab w:val="left" w:pos="567"/>
        <w:tab w:val="right" w:leader="dot" w:pos="9029"/>
      </w:tabs>
      <w:spacing w:before="120" w:after="100"/>
      <w:ind w:left="567" w:right="662" w:hanging="567"/>
    </w:pPr>
    <w:rPr>
      <w:noProof/>
      <w:color w:val="0072B9"/>
      <w:sz w:val="24"/>
    </w:rPr>
  </w:style>
  <w:style w:type="paragraph" w:styleId="TOC2">
    <w:name w:val="toc 2"/>
    <w:basedOn w:val="Normal"/>
    <w:next w:val="Normal"/>
    <w:autoRedefine/>
    <w:uiPriority w:val="39"/>
    <w:rsid w:val="00545856"/>
    <w:pPr>
      <w:tabs>
        <w:tab w:val="left" w:pos="1134"/>
        <w:tab w:val="right" w:leader="dot" w:pos="9029"/>
      </w:tabs>
      <w:spacing w:before="0" w:after="100"/>
      <w:ind w:left="1134" w:right="379" w:hanging="567"/>
    </w:pPr>
  </w:style>
  <w:style w:type="paragraph" w:styleId="TOC3">
    <w:name w:val="toc 3"/>
    <w:basedOn w:val="Normal"/>
    <w:next w:val="Normal"/>
    <w:autoRedefine/>
    <w:uiPriority w:val="39"/>
    <w:rsid w:val="00D556C4"/>
    <w:pPr>
      <w:tabs>
        <w:tab w:val="right" w:leader="dot" w:pos="9016"/>
      </w:tabs>
      <w:spacing w:before="0" w:after="100"/>
      <w:ind w:left="440"/>
    </w:pPr>
  </w:style>
  <w:style w:type="paragraph" w:customStyle="1" w:styleId="Titlesub-heading">
    <w:name w:val="Title sub-heading"/>
    <w:basedOn w:val="Normal"/>
    <w:next w:val="BodyText"/>
    <w:uiPriority w:val="15"/>
    <w:qFormat/>
    <w:rsid w:val="00FC3687"/>
    <w:pPr>
      <w:spacing w:after="120" w:line="440" w:lineRule="atLeast"/>
      <w:contextualSpacing/>
    </w:pPr>
    <w:rPr>
      <w:rFonts w:ascii="Cambria" w:eastAsiaTheme="majorEastAsia" w:hAnsi="Cambria" w:cstheme="majorBidi"/>
      <w:color w:val="0072B9"/>
      <w:kern w:val="28"/>
      <w:sz w:val="36"/>
      <w:szCs w:val="52"/>
    </w:rPr>
  </w:style>
  <w:style w:type="paragraph" w:customStyle="1" w:styleId="Endmatter-Heading2">
    <w:name w:val="End matter - Heading 2"/>
    <w:basedOn w:val="Heading2"/>
    <w:next w:val="BodyText"/>
    <w:uiPriority w:val="19"/>
    <w:qFormat/>
    <w:rsid w:val="00FC3687"/>
    <w:pPr>
      <w:numPr>
        <w:numId w:val="22"/>
      </w:numPr>
    </w:pPr>
  </w:style>
  <w:style w:type="paragraph" w:styleId="Header">
    <w:name w:val="header"/>
    <w:basedOn w:val="Normal"/>
    <w:link w:val="HeaderChar"/>
    <w:rsid w:val="00FC3687"/>
    <w:pPr>
      <w:tabs>
        <w:tab w:val="center" w:pos="4513"/>
        <w:tab w:val="right" w:pos="9026"/>
      </w:tabs>
      <w:spacing w:before="0"/>
    </w:pPr>
    <w:rPr>
      <w:color w:val="0072C3"/>
      <w:sz w:val="20"/>
    </w:rPr>
  </w:style>
  <w:style w:type="paragraph" w:styleId="Footer">
    <w:name w:val="footer"/>
    <w:basedOn w:val="Normal"/>
    <w:link w:val="FooterChar"/>
    <w:uiPriority w:val="99"/>
    <w:rsid w:val="00FC3687"/>
    <w:pPr>
      <w:tabs>
        <w:tab w:val="center" w:pos="4513"/>
        <w:tab w:val="right" w:pos="9026"/>
      </w:tabs>
    </w:pPr>
    <w:rPr>
      <w:color w:val="FFFFFF" w:themeColor="background1"/>
      <w:sz w:val="20"/>
    </w:rPr>
  </w:style>
  <w:style w:type="paragraph" w:customStyle="1" w:styleId="Bodybullet-Level1">
    <w:name w:val="Body bullet - Level 1"/>
    <w:basedOn w:val="BodyText"/>
    <w:uiPriority w:val="1"/>
    <w:qFormat/>
    <w:rsid w:val="00793DC9"/>
    <w:pPr>
      <w:numPr>
        <w:numId w:val="11"/>
      </w:numPr>
      <w:spacing w:before="120" w:after="180"/>
    </w:pPr>
  </w:style>
  <w:style w:type="paragraph" w:customStyle="1" w:styleId="Bodybullet-Level2">
    <w:name w:val="Body bullet - Level 2"/>
    <w:basedOn w:val="Bodybullet-Level1"/>
    <w:uiPriority w:val="1"/>
    <w:qFormat/>
    <w:rsid w:val="008825AB"/>
    <w:pPr>
      <w:numPr>
        <w:ilvl w:val="1"/>
      </w:numPr>
    </w:pPr>
  </w:style>
  <w:style w:type="paragraph" w:customStyle="1" w:styleId="Bodybullet-Level3">
    <w:name w:val="Body bullet - Level 3"/>
    <w:basedOn w:val="Bodybullet-Level1"/>
    <w:uiPriority w:val="1"/>
    <w:qFormat/>
    <w:rsid w:val="00617129"/>
    <w:pPr>
      <w:numPr>
        <w:ilvl w:val="2"/>
      </w:numPr>
    </w:pPr>
  </w:style>
  <w:style w:type="paragraph" w:customStyle="1" w:styleId="Tablebullet-Level2">
    <w:name w:val="Table bullet - Level 2"/>
    <w:basedOn w:val="Tablebullet-Level1"/>
    <w:uiPriority w:val="13"/>
    <w:qFormat/>
    <w:rsid w:val="00AC37E5"/>
    <w:pPr>
      <w:numPr>
        <w:ilvl w:val="1"/>
      </w:numPr>
    </w:pPr>
  </w:style>
  <w:style w:type="paragraph" w:customStyle="1" w:styleId="Figurecaption">
    <w:name w:val="Figure caption"/>
    <w:basedOn w:val="Caption"/>
    <w:next w:val="Figuredescription"/>
    <w:link w:val="FigurecaptionCharChar"/>
    <w:uiPriority w:val="10"/>
    <w:qFormat/>
    <w:rsid w:val="00FC3687"/>
    <w:pPr>
      <w:keepNext/>
    </w:pPr>
    <w:rPr>
      <w:color w:val="0072B9"/>
    </w:rPr>
  </w:style>
  <w:style w:type="character" w:styleId="PageNumber">
    <w:name w:val="page number"/>
    <w:basedOn w:val="DefaultParagraphFont"/>
    <w:uiPriority w:val="49"/>
    <w:rsid w:val="00FC3687"/>
    <w:rPr>
      <w:color w:val="FFFFFF" w:themeColor="background1"/>
      <w:sz w:val="22"/>
    </w:rPr>
  </w:style>
  <w:style w:type="paragraph" w:customStyle="1" w:styleId="Figuredescription">
    <w:name w:val="Figure description"/>
    <w:basedOn w:val="Figurecaption"/>
    <w:uiPriority w:val="10"/>
    <w:qFormat/>
    <w:rsid w:val="00593A5A"/>
    <w:pPr>
      <w:tabs>
        <w:tab w:val="clear" w:pos="1021"/>
      </w:tabs>
      <w:spacing w:before="120" w:after="240"/>
      <w:ind w:firstLine="0"/>
    </w:pPr>
    <w:rPr>
      <w:b w:val="0"/>
      <w:color w:val="auto"/>
    </w:rPr>
  </w:style>
  <w:style w:type="paragraph" w:customStyle="1" w:styleId="Bodynumbered-Level1">
    <w:name w:val="Body numbered - Level 1"/>
    <w:basedOn w:val="BodyText"/>
    <w:uiPriority w:val="1"/>
    <w:qFormat/>
    <w:rsid w:val="00FC3687"/>
    <w:pPr>
      <w:numPr>
        <w:numId w:val="86"/>
      </w:numPr>
      <w:spacing w:before="120" w:after="180"/>
    </w:pPr>
  </w:style>
  <w:style w:type="paragraph" w:customStyle="1" w:styleId="Bodynumbered-Level2">
    <w:name w:val="Body numbered - Level 2"/>
    <w:basedOn w:val="Bodynumbered-Level1"/>
    <w:uiPriority w:val="1"/>
    <w:qFormat/>
    <w:rsid w:val="00A6258B"/>
    <w:pPr>
      <w:numPr>
        <w:ilvl w:val="1"/>
      </w:numPr>
    </w:pPr>
  </w:style>
  <w:style w:type="paragraph" w:customStyle="1" w:styleId="Bodynumbered-Level3">
    <w:name w:val="Body numbered - Level 3"/>
    <w:basedOn w:val="Bodynumbered-Level1"/>
    <w:uiPriority w:val="1"/>
    <w:qFormat/>
    <w:rsid w:val="00A6258B"/>
    <w:pPr>
      <w:numPr>
        <w:ilvl w:val="2"/>
      </w:numPr>
    </w:pPr>
  </w:style>
  <w:style w:type="paragraph" w:customStyle="1" w:styleId="Preliminaries-Heading1">
    <w:name w:val="Preliminaries - Heading 1"/>
    <w:basedOn w:val="Heading1"/>
    <w:next w:val="BodyText"/>
    <w:uiPriority w:val="18"/>
    <w:qFormat/>
    <w:rsid w:val="007E77FD"/>
    <w:pPr>
      <w:numPr>
        <w:numId w:val="0"/>
      </w:numPr>
    </w:pPr>
  </w:style>
  <w:style w:type="paragraph" w:customStyle="1" w:styleId="Preliminaries-Heading2">
    <w:name w:val="Preliminaries - Heading 2"/>
    <w:basedOn w:val="Heading2"/>
    <w:next w:val="BodyText"/>
    <w:uiPriority w:val="18"/>
    <w:qFormat/>
    <w:rsid w:val="007E77FD"/>
    <w:pPr>
      <w:numPr>
        <w:ilvl w:val="0"/>
        <w:numId w:val="0"/>
      </w:numPr>
    </w:pPr>
  </w:style>
  <w:style w:type="paragraph" w:customStyle="1" w:styleId="Preliminaries-Heading3">
    <w:name w:val="Preliminaries - Heading 3"/>
    <w:basedOn w:val="Heading3"/>
    <w:next w:val="BodyText"/>
    <w:uiPriority w:val="18"/>
    <w:qFormat/>
    <w:rsid w:val="007E77FD"/>
    <w:pPr>
      <w:numPr>
        <w:ilvl w:val="0"/>
        <w:numId w:val="0"/>
      </w:numPr>
    </w:pPr>
  </w:style>
  <w:style w:type="paragraph" w:styleId="FootnoteText">
    <w:name w:val="footnote text"/>
    <w:aliases w:val="ACMA Footnote Text,Footnote Text Char Char,ACMA Footnote Text Char Char,ACMA Footnote Text Char1,ACMA Footnote Text Char,ABA Footnote Text"/>
    <w:basedOn w:val="Normal"/>
    <w:link w:val="FootnoteTextChar"/>
    <w:uiPriority w:val="99"/>
    <w:rsid w:val="008D0A94"/>
    <w:rPr>
      <w:sz w:val="20"/>
      <w:szCs w:val="20"/>
    </w:rPr>
  </w:style>
  <w:style w:type="character" w:styleId="FootnoteReference">
    <w:name w:val="footnote reference"/>
    <w:aliases w:val="Appel note de bas de p,Appel note de bas de p + 11 pt,Italic"/>
    <w:basedOn w:val="DefaultParagraphFont"/>
    <w:uiPriority w:val="99"/>
    <w:rsid w:val="008D0A94"/>
    <w:rPr>
      <w:vertAlign w:val="superscript"/>
    </w:rPr>
  </w:style>
  <w:style w:type="paragraph" w:customStyle="1" w:styleId="Bodytext-Indent">
    <w:name w:val="Body text - Indent"/>
    <w:basedOn w:val="BodyText"/>
    <w:next w:val="BodyText"/>
    <w:qFormat/>
    <w:rsid w:val="00DF7C5F"/>
    <w:pPr>
      <w:ind w:left="340"/>
    </w:pPr>
  </w:style>
  <w:style w:type="paragraph" w:customStyle="1" w:styleId="Boxtext">
    <w:name w:val="Box text"/>
    <w:basedOn w:val="BodyText"/>
    <w:uiPriority w:val="14"/>
    <w:qFormat/>
    <w:rsid w:val="00C26C27"/>
    <w:pPr>
      <w:pBdr>
        <w:top w:val="single" w:sz="4" w:space="8" w:color="0072B9"/>
        <w:left w:val="single" w:sz="4" w:space="8" w:color="0072B9"/>
        <w:bottom w:val="single" w:sz="4" w:space="8" w:color="0072B9"/>
        <w:right w:val="single" w:sz="4" w:space="0" w:color="0072B9"/>
      </w:pBdr>
      <w:shd w:val="clear" w:color="auto" w:fill="E7F5FF"/>
      <w:ind w:left="198"/>
    </w:pPr>
  </w:style>
  <w:style w:type="paragraph" w:customStyle="1" w:styleId="Boxheading">
    <w:name w:val="Box heading"/>
    <w:basedOn w:val="Boxtext"/>
    <w:next w:val="Boxtext"/>
    <w:uiPriority w:val="14"/>
    <w:qFormat/>
    <w:rsid w:val="00FC3687"/>
    <w:pPr>
      <w:spacing w:after="120"/>
    </w:pPr>
    <w:rPr>
      <w:rFonts w:asciiTheme="majorHAnsi" w:hAnsiTheme="majorHAnsi"/>
      <w:color w:val="0072B9"/>
      <w:sz w:val="28"/>
    </w:rPr>
  </w:style>
  <w:style w:type="paragraph" w:customStyle="1" w:styleId="Boxbullet">
    <w:name w:val="Box bullet"/>
    <w:basedOn w:val="Boxtext"/>
    <w:uiPriority w:val="15"/>
    <w:qFormat/>
    <w:rsid w:val="00F01429"/>
    <w:pPr>
      <w:numPr>
        <w:numId w:val="14"/>
      </w:numPr>
      <w:spacing w:before="0" w:after="180"/>
      <w:ind w:left="652" w:hanging="454"/>
    </w:pPr>
  </w:style>
  <w:style w:type="paragraph" w:customStyle="1" w:styleId="Boxsub-heading">
    <w:name w:val="Box sub-heading"/>
    <w:basedOn w:val="Boxtext"/>
    <w:next w:val="Boxtext"/>
    <w:uiPriority w:val="14"/>
    <w:qFormat/>
    <w:rsid w:val="00FC3687"/>
    <w:rPr>
      <w:b/>
      <w:color w:val="0072B9"/>
    </w:rPr>
  </w:style>
  <w:style w:type="paragraph" w:customStyle="1" w:styleId="SourceNotes">
    <w:name w:val="Source/Notes"/>
    <w:basedOn w:val="BodyText"/>
    <w:next w:val="BodyText"/>
    <w:uiPriority w:val="10"/>
    <w:qFormat/>
    <w:rsid w:val="007D6EC3"/>
    <w:pPr>
      <w:spacing w:before="0"/>
    </w:pPr>
    <w:rPr>
      <w:sz w:val="20"/>
    </w:rPr>
  </w:style>
  <w:style w:type="paragraph" w:customStyle="1" w:styleId="Boxcaption">
    <w:name w:val="Box caption"/>
    <w:basedOn w:val="Caption"/>
    <w:uiPriority w:val="14"/>
    <w:qFormat/>
    <w:rsid w:val="00CE04BC"/>
  </w:style>
  <w:style w:type="paragraph" w:customStyle="1" w:styleId="Endmatter-Heading3">
    <w:name w:val="End matter - Heading 3"/>
    <w:basedOn w:val="Heading3"/>
    <w:next w:val="BodyText"/>
    <w:uiPriority w:val="19"/>
    <w:qFormat/>
    <w:rsid w:val="00FC3687"/>
    <w:pPr>
      <w:numPr>
        <w:numId w:val="22"/>
      </w:numPr>
    </w:pPr>
  </w:style>
  <w:style w:type="paragraph" w:customStyle="1" w:styleId="Titledate">
    <w:name w:val="Title date"/>
    <w:basedOn w:val="Normal"/>
    <w:uiPriority w:val="16"/>
    <w:qFormat/>
    <w:rsid w:val="00FC368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Boxlist-Numbered">
    <w:name w:val="Box list - Numbered"/>
    <w:basedOn w:val="Boxtext"/>
    <w:uiPriority w:val="15"/>
    <w:qFormat/>
    <w:rsid w:val="00B1447A"/>
    <w:pPr>
      <w:numPr>
        <w:numId w:val="23"/>
      </w:numPr>
      <w:spacing w:before="120" w:after="180"/>
    </w:pPr>
  </w:style>
  <w:style w:type="paragraph" w:customStyle="1" w:styleId="Boxlist-Alpha">
    <w:name w:val="Box list - Alpha"/>
    <w:basedOn w:val="Boxtext"/>
    <w:uiPriority w:val="15"/>
    <w:qFormat/>
    <w:rsid w:val="004B47F1"/>
    <w:pPr>
      <w:numPr>
        <w:numId w:val="15"/>
      </w:numPr>
      <w:spacing w:before="120" w:after="0"/>
    </w:pPr>
  </w:style>
  <w:style w:type="paragraph" w:customStyle="1" w:styleId="FigureImagewithrule">
    <w:name w:val="Figure/Image with rule"/>
    <w:basedOn w:val="BodyText"/>
    <w:next w:val="SourceNotes"/>
    <w:uiPriority w:val="10"/>
    <w:qFormat/>
    <w:rsid w:val="007F1685"/>
    <w:pPr>
      <w:pBdr>
        <w:bottom w:val="single" w:sz="4" w:space="8" w:color="00728F"/>
      </w:pBdr>
      <w:spacing w:after="0"/>
    </w:pPr>
  </w:style>
  <w:style w:type="paragraph" w:customStyle="1" w:styleId="Tablelist-Numbered">
    <w:name w:val="Table list - Numbered"/>
    <w:basedOn w:val="Tabletext"/>
    <w:uiPriority w:val="13"/>
    <w:qFormat/>
    <w:rsid w:val="00EF4469"/>
    <w:pPr>
      <w:numPr>
        <w:numId w:val="16"/>
      </w:numPr>
    </w:pPr>
  </w:style>
  <w:style w:type="paragraph" w:customStyle="1" w:styleId="Tablecellsub-heading">
    <w:name w:val="Table cell sub-heading"/>
    <w:basedOn w:val="Tablecellheading"/>
    <w:uiPriority w:val="12"/>
    <w:qFormat/>
    <w:rsid w:val="00133178"/>
    <w:rPr>
      <w:color w:val="auto"/>
    </w:rPr>
  </w:style>
  <w:style w:type="character" w:styleId="Emphasis">
    <w:name w:val="Emphasis"/>
    <w:basedOn w:val="DefaultParagraphFont"/>
    <w:uiPriority w:val="20"/>
    <w:qFormat/>
    <w:rsid w:val="00D52C5A"/>
    <w:rPr>
      <w:i/>
      <w:iCs/>
    </w:rPr>
  </w:style>
  <w:style w:type="character" w:styleId="CommentReference">
    <w:name w:val="annotation reference"/>
    <w:basedOn w:val="DefaultParagraphFont"/>
    <w:uiPriority w:val="99"/>
    <w:semiHidden/>
    <w:rsid w:val="008F23A9"/>
    <w:rPr>
      <w:sz w:val="16"/>
      <w:szCs w:val="16"/>
    </w:rPr>
  </w:style>
  <w:style w:type="paragraph" w:styleId="CommentText">
    <w:name w:val="annotation text"/>
    <w:basedOn w:val="Normal"/>
    <w:link w:val="CommentTextChar"/>
    <w:uiPriority w:val="99"/>
    <w:semiHidden/>
    <w:rsid w:val="008F23A9"/>
    <w:rPr>
      <w:sz w:val="20"/>
      <w:szCs w:val="20"/>
    </w:rPr>
  </w:style>
  <w:style w:type="paragraph" w:styleId="CommentSubject">
    <w:name w:val="annotation subject"/>
    <w:basedOn w:val="CommentText"/>
    <w:next w:val="CommentText"/>
    <w:uiPriority w:val="99"/>
    <w:semiHidden/>
    <w:rsid w:val="008F23A9"/>
    <w:rPr>
      <w:b/>
      <w:bCs/>
    </w:rPr>
  </w:style>
  <w:style w:type="numbering" w:styleId="111111">
    <w:name w:val="Outline List 2"/>
    <w:basedOn w:val="NoList"/>
    <w:uiPriority w:val="99"/>
    <w:semiHidden/>
    <w:unhideWhenUsed/>
    <w:rsid w:val="00A0420F"/>
    <w:pPr>
      <w:numPr>
        <w:numId w:val="17"/>
      </w:numPr>
    </w:pPr>
  </w:style>
  <w:style w:type="numbering" w:styleId="1ai">
    <w:name w:val="Outline List 1"/>
    <w:basedOn w:val="NoList"/>
    <w:uiPriority w:val="99"/>
    <w:semiHidden/>
    <w:unhideWhenUsed/>
    <w:rsid w:val="00A0420F"/>
    <w:pPr>
      <w:numPr>
        <w:numId w:val="18"/>
      </w:numPr>
    </w:pPr>
  </w:style>
  <w:style w:type="numbering" w:styleId="ArticleSection">
    <w:name w:val="Outline List 3"/>
    <w:basedOn w:val="NoList"/>
    <w:uiPriority w:val="99"/>
    <w:semiHidden/>
    <w:unhideWhenUsed/>
    <w:rsid w:val="00A0420F"/>
    <w:pPr>
      <w:numPr>
        <w:numId w:val="19"/>
      </w:numPr>
    </w:pPr>
  </w:style>
  <w:style w:type="paragraph" w:styleId="Bibliography">
    <w:name w:val="Bibliography"/>
    <w:basedOn w:val="Normal"/>
    <w:next w:val="Normal"/>
    <w:uiPriority w:val="37"/>
    <w:semiHidden/>
    <w:unhideWhenUsed/>
    <w:rsid w:val="00A0420F"/>
  </w:style>
  <w:style w:type="paragraph" w:styleId="BlockText">
    <w:name w:val="Block Text"/>
    <w:basedOn w:val="Normal"/>
    <w:uiPriority w:val="99"/>
    <w:semiHidden/>
    <w:rsid w:val="00A0420F"/>
    <w:pPr>
      <w:pBdr>
        <w:top w:val="single" w:sz="2" w:space="10" w:color="00728F" w:themeColor="accent1" w:shadow="1" w:frame="1"/>
        <w:left w:val="single" w:sz="2" w:space="10" w:color="00728F" w:themeColor="accent1" w:shadow="1" w:frame="1"/>
        <w:bottom w:val="single" w:sz="2" w:space="10" w:color="00728F" w:themeColor="accent1" w:shadow="1" w:frame="1"/>
        <w:right w:val="single" w:sz="2" w:space="10" w:color="00728F" w:themeColor="accent1" w:shadow="1" w:frame="1"/>
      </w:pBdr>
      <w:ind w:left="1152" w:right="1152"/>
    </w:pPr>
    <w:rPr>
      <w:rFonts w:asciiTheme="minorHAnsi" w:eastAsiaTheme="minorEastAsia" w:hAnsiTheme="minorHAnsi"/>
      <w:i/>
      <w:iCs/>
      <w:color w:val="00728F" w:themeColor="accent1"/>
    </w:rPr>
  </w:style>
  <w:style w:type="paragraph" w:styleId="BodyText2">
    <w:name w:val="Body Text 2"/>
    <w:basedOn w:val="Normal"/>
    <w:uiPriority w:val="99"/>
    <w:semiHidden/>
    <w:rsid w:val="00A0420F"/>
    <w:pPr>
      <w:spacing w:after="120" w:line="480" w:lineRule="auto"/>
    </w:pPr>
  </w:style>
  <w:style w:type="paragraph" w:styleId="BodyText3">
    <w:name w:val="Body Text 3"/>
    <w:basedOn w:val="Normal"/>
    <w:uiPriority w:val="99"/>
    <w:semiHidden/>
    <w:rsid w:val="00A0420F"/>
    <w:pPr>
      <w:spacing w:after="120"/>
    </w:pPr>
    <w:rPr>
      <w:sz w:val="16"/>
      <w:szCs w:val="16"/>
    </w:rPr>
  </w:style>
  <w:style w:type="paragraph" w:styleId="BodyTextFirstIndent">
    <w:name w:val="Body Text First Indent"/>
    <w:basedOn w:val="BodyText"/>
    <w:uiPriority w:val="99"/>
    <w:semiHidden/>
    <w:rsid w:val="00A0420F"/>
    <w:pPr>
      <w:spacing w:before="0" w:after="0"/>
      <w:ind w:firstLine="360"/>
    </w:pPr>
  </w:style>
  <w:style w:type="paragraph" w:styleId="BodyTextIndent">
    <w:name w:val="Body Text Indent"/>
    <w:basedOn w:val="Normal"/>
    <w:uiPriority w:val="99"/>
    <w:semiHidden/>
    <w:rsid w:val="00A0420F"/>
    <w:pPr>
      <w:spacing w:after="120"/>
      <w:ind w:left="283"/>
    </w:pPr>
  </w:style>
  <w:style w:type="paragraph" w:styleId="BodyTextFirstIndent2">
    <w:name w:val="Body Text First Indent 2"/>
    <w:basedOn w:val="BodyTextIndent"/>
    <w:uiPriority w:val="99"/>
    <w:semiHidden/>
    <w:rsid w:val="00A0420F"/>
    <w:pPr>
      <w:spacing w:after="0"/>
      <w:ind w:left="360" w:firstLine="360"/>
    </w:pPr>
  </w:style>
  <w:style w:type="paragraph" w:styleId="BodyTextIndent2">
    <w:name w:val="Body Text Indent 2"/>
    <w:basedOn w:val="Normal"/>
    <w:uiPriority w:val="99"/>
    <w:semiHidden/>
    <w:rsid w:val="00A0420F"/>
    <w:pPr>
      <w:spacing w:after="120" w:line="480" w:lineRule="auto"/>
      <w:ind w:left="283"/>
    </w:pPr>
  </w:style>
  <w:style w:type="paragraph" w:styleId="BodyTextIndent3">
    <w:name w:val="Body Text Indent 3"/>
    <w:basedOn w:val="Normal"/>
    <w:uiPriority w:val="99"/>
    <w:semiHidden/>
    <w:rsid w:val="00A0420F"/>
    <w:pPr>
      <w:spacing w:after="120"/>
      <w:ind w:left="283"/>
    </w:pPr>
    <w:rPr>
      <w:sz w:val="16"/>
      <w:szCs w:val="16"/>
    </w:rPr>
  </w:style>
  <w:style w:type="character" w:styleId="BookTitle">
    <w:name w:val="Book Title"/>
    <w:basedOn w:val="DefaultParagraphFont"/>
    <w:uiPriority w:val="33"/>
    <w:semiHidden/>
    <w:qFormat/>
    <w:rsid w:val="00A0420F"/>
    <w:rPr>
      <w:b/>
      <w:bCs/>
      <w:smallCaps/>
      <w:spacing w:val="5"/>
    </w:rPr>
  </w:style>
  <w:style w:type="paragraph" w:styleId="Closing">
    <w:name w:val="Closing"/>
    <w:basedOn w:val="Normal"/>
    <w:link w:val="ClosingChar"/>
    <w:uiPriority w:val="99"/>
    <w:semiHidden/>
    <w:rsid w:val="00A0420F"/>
    <w:pPr>
      <w:ind w:left="4252"/>
    </w:pPr>
  </w:style>
  <w:style w:type="character" w:customStyle="1" w:styleId="ClosingChar">
    <w:name w:val="Closing Char"/>
    <w:basedOn w:val="DefaultParagraphFont"/>
    <w:link w:val="Closing"/>
    <w:uiPriority w:val="99"/>
    <w:semiHidden/>
    <w:rsid w:val="00A0420F"/>
    <w:rPr>
      <w:rFonts w:ascii="Calibri" w:hAnsi="Calibri"/>
    </w:rPr>
  </w:style>
  <w:style w:type="paragraph" w:styleId="Date">
    <w:name w:val="Date"/>
    <w:basedOn w:val="Normal"/>
    <w:next w:val="Normal"/>
    <w:link w:val="DateChar"/>
    <w:uiPriority w:val="99"/>
    <w:semiHidden/>
    <w:rsid w:val="00A0420F"/>
  </w:style>
  <w:style w:type="character" w:customStyle="1" w:styleId="DateChar">
    <w:name w:val="Date Char"/>
    <w:basedOn w:val="DefaultParagraphFont"/>
    <w:link w:val="Date"/>
    <w:uiPriority w:val="99"/>
    <w:semiHidden/>
    <w:rsid w:val="00A0420F"/>
    <w:rPr>
      <w:rFonts w:ascii="Calibri" w:hAnsi="Calibri"/>
    </w:rPr>
  </w:style>
  <w:style w:type="paragraph" w:styleId="DocumentMap">
    <w:name w:val="Document Map"/>
    <w:basedOn w:val="Normal"/>
    <w:link w:val="DocumentMapChar"/>
    <w:uiPriority w:val="99"/>
    <w:semiHidden/>
    <w:rsid w:val="00A0420F"/>
    <w:rPr>
      <w:rFonts w:ascii="Tahoma" w:hAnsi="Tahoma" w:cs="Tahoma"/>
      <w:sz w:val="16"/>
      <w:szCs w:val="16"/>
    </w:rPr>
  </w:style>
  <w:style w:type="character" w:customStyle="1" w:styleId="DocumentMapChar">
    <w:name w:val="Document Map Char"/>
    <w:basedOn w:val="DefaultParagraphFont"/>
    <w:link w:val="DocumentMap"/>
    <w:uiPriority w:val="99"/>
    <w:semiHidden/>
    <w:rsid w:val="00A0420F"/>
    <w:rPr>
      <w:rFonts w:ascii="Tahoma" w:hAnsi="Tahoma" w:cs="Tahoma"/>
      <w:sz w:val="16"/>
      <w:szCs w:val="16"/>
    </w:rPr>
  </w:style>
  <w:style w:type="paragraph" w:styleId="E-mailSignature">
    <w:name w:val="E-mail Signature"/>
    <w:basedOn w:val="Normal"/>
    <w:link w:val="E-mailSignatureChar"/>
    <w:uiPriority w:val="99"/>
    <w:semiHidden/>
    <w:rsid w:val="00A0420F"/>
  </w:style>
  <w:style w:type="character" w:customStyle="1" w:styleId="E-mailSignatureChar">
    <w:name w:val="E-mail Signature Char"/>
    <w:basedOn w:val="DefaultParagraphFont"/>
    <w:link w:val="E-mailSignature"/>
    <w:uiPriority w:val="99"/>
    <w:semiHidden/>
    <w:rsid w:val="00A0420F"/>
    <w:rPr>
      <w:rFonts w:ascii="Calibri" w:hAnsi="Calibri"/>
    </w:rPr>
  </w:style>
  <w:style w:type="character" w:styleId="EndnoteReference">
    <w:name w:val="endnote reference"/>
    <w:basedOn w:val="DefaultParagraphFont"/>
    <w:uiPriority w:val="99"/>
    <w:semiHidden/>
    <w:unhideWhenUsed/>
    <w:rsid w:val="00A0420F"/>
    <w:rPr>
      <w:vertAlign w:val="superscript"/>
    </w:rPr>
  </w:style>
  <w:style w:type="paragraph" w:styleId="EndnoteText">
    <w:name w:val="endnote text"/>
    <w:basedOn w:val="Normal"/>
    <w:link w:val="EndnoteTextChar"/>
    <w:uiPriority w:val="99"/>
    <w:semiHidden/>
    <w:unhideWhenUsed/>
    <w:rsid w:val="00A0420F"/>
    <w:rPr>
      <w:sz w:val="20"/>
      <w:szCs w:val="20"/>
    </w:rPr>
  </w:style>
  <w:style w:type="character" w:customStyle="1" w:styleId="EndnoteTextChar">
    <w:name w:val="Endnote Text Char"/>
    <w:basedOn w:val="DefaultParagraphFont"/>
    <w:link w:val="EndnoteText"/>
    <w:uiPriority w:val="99"/>
    <w:semiHidden/>
    <w:rsid w:val="00A0420F"/>
    <w:rPr>
      <w:rFonts w:ascii="Calibri" w:hAnsi="Calibri"/>
      <w:sz w:val="20"/>
      <w:szCs w:val="20"/>
    </w:rPr>
  </w:style>
  <w:style w:type="paragraph" w:styleId="EnvelopeAddress">
    <w:name w:val="envelope address"/>
    <w:basedOn w:val="Normal"/>
    <w:uiPriority w:val="99"/>
    <w:semiHidden/>
    <w:rsid w:val="00A042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0420F"/>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A0420F"/>
    <w:rPr>
      <w:color w:val="800080" w:themeColor="followedHyperlink"/>
      <w:u w:val="single"/>
    </w:rPr>
  </w:style>
  <w:style w:type="character" w:styleId="HTMLAcronym">
    <w:name w:val="HTML Acronym"/>
    <w:basedOn w:val="DefaultParagraphFont"/>
    <w:uiPriority w:val="99"/>
    <w:semiHidden/>
    <w:rsid w:val="00A0420F"/>
  </w:style>
  <w:style w:type="paragraph" w:styleId="HTMLAddress">
    <w:name w:val="HTML Address"/>
    <w:basedOn w:val="Normal"/>
    <w:link w:val="HTMLAddressChar"/>
    <w:uiPriority w:val="99"/>
    <w:semiHidden/>
    <w:rsid w:val="00A0420F"/>
    <w:rPr>
      <w:i/>
      <w:iCs/>
    </w:rPr>
  </w:style>
  <w:style w:type="character" w:customStyle="1" w:styleId="HTMLAddressChar">
    <w:name w:val="HTML Address Char"/>
    <w:basedOn w:val="DefaultParagraphFont"/>
    <w:link w:val="HTMLAddress"/>
    <w:uiPriority w:val="99"/>
    <w:semiHidden/>
    <w:rsid w:val="00A0420F"/>
    <w:rPr>
      <w:rFonts w:ascii="Calibri" w:hAnsi="Calibri"/>
      <w:i/>
      <w:iCs/>
    </w:rPr>
  </w:style>
  <w:style w:type="character" w:styleId="HTMLCite">
    <w:name w:val="HTML Cite"/>
    <w:basedOn w:val="DefaultParagraphFont"/>
    <w:uiPriority w:val="99"/>
    <w:semiHidden/>
    <w:rsid w:val="00A0420F"/>
    <w:rPr>
      <w:i/>
      <w:iCs/>
    </w:rPr>
  </w:style>
  <w:style w:type="character" w:styleId="HTMLCode">
    <w:name w:val="HTML Code"/>
    <w:basedOn w:val="DefaultParagraphFont"/>
    <w:uiPriority w:val="99"/>
    <w:semiHidden/>
    <w:rsid w:val="00A0420F"/>
    <w:rPr>
      <w:rFonts w:ascii="Consolas" w:hAnsi="Consolas" w:cs="Consolas"/>
      <w:sz w:val="20"/>
      <w:szCs w:val="20"/>
    </w:rPr>
  </w:style>
  <w:style w:type="character" w:styleId="HTMLDefinition">
    <w:name w:val="HTML Definition"/>
    <w:basedOn w:val="DefaultParagraphFont"/>
    <w:uiPriority w:val="99"/>
    <w:semiHidden/>
    <w:rsid w:val="00A0420F"/>
    <w:rPr>
      <w:i/>
      <w:iCs/>
    </w:rPr>
  </w:style>
  <w:style w:type="character" w:styleId="HTMLKeyboard">
    <w:name w:val="HTML Keyboard"/>
    <w:basedOn w:val="DefaultParagraphFont"/>
    <w:uiPriority w:val="99"/>
    <w:semiHidden/>
    <w:rsid w:val="00A0420F"/>
    <w:rPr>
      <w:rFonts w:ascii="Consolas" w:hAnsi="Consolas" w:cs="Consolas"/>
      <w:sz w:val="20"/>
      <w:szCs w:val="20"/>
    </w:rPr>
  </w:style>
  <w:style w:type="paragraph" w:styleId="HTMLPreformatted">
    <w:name w:val="HTML Preformatted"/>
    <w:basedOn w:val="Normal"/>
    <w:link w:val="HTMLPreformattedChar"/>
    <w:uiPriority w:val="99"/>
    <w:semiHidden/>
    <w:rsid w:val="00A0420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0420F"/>
    <w:rPr>
      <w:rFonts w:ascii="Consolas" w:hAnsi="Consolas" w:cs="Consolas"/>
      <w:sz w:val="20"/>
      <w:szCs w:val="20"/>
    </w:rPr>
  </w:style>
  <w:style w:type="character" w:styleId="HTMLSample">
    <w:name w:val="HTML Sample"/>
    <w:basedOn w:val="DefaultParagraphFont"/>
    <w:uiPriority w:val="99"/>
    <w:semiHidden/>
    <w:rsid w:val="00A0420F"/>
    <w:rPr>
      <w:rFonts w:ascii="Consolas" w:hAnsi="Consolas" w:cs="Consolas"/>
      <w:sz w:val="24"/>
      <w:szCs w:val="24"/>
    </w:rPr>
  </w:style>
  <w:style w:type="character" w:styleId="HTMLTypewriter">
    <w:name w:val="HTML Typewriter"/>
    <w:basedOn w:val="DefaultParagraphFont"/>
    <w:uiPriority w:val="99"/>
    <w:semiHidden/>
    <w:rsid w:val="00A0420F"/>
    <w:rPr>
      <w:rFonts w:ascii="Consolas" w:hAnsi="Consolas" w:cs="Consolas"/>
      <w:sz w:val="20"/>
      <w:szCs w:val="20"/>
    </w:rPr>
  </w:style>
  <w:style w:type="character" w:styleId="HTMLVariable">
    <w:name w:val="HTML Variable"/>
    <w:basedOn w:val="DefaultParagraphFont"/>
    <w:uiPriority w:val="99"/>
    <w:semiHidden/>
    <w:rsid w:val="00A0420F"/>
    <w:rPr>
      <w:i/>
      <w:iCs/>
    </w:rPr>
  </w:style>
  <w:style w:type="paragraph" w:styleId="Index1">
    <w:name w:val="index 1"/>
    <w:basedOn w:val="Normal"/>
    <w:next w:val="Normal"/>
    <w:autoRedefine/>
    <w:uiPriority w:val="99"/>
    <w:semiHidden/>
    <w:rsid w:val="00A0420F"/>
    <w:pPr>
      <w:ind w:left="220" w:hanging="220"/>
    </w:pPr>
  </w:style>
  <w:style w:type="paragraph" w:styleId="Index2">
    <w:name w:val="index 2"/>
    <w:basedOn w:val="Normal"/>
    <w:next w:val="Normal"/>
    <w:autoRedefine/>
    <w:uiPriority w:val="99"/>
    <w:semiHidden/>
    <w:rsid w:val="00A0420F"/>
    <w:pPr>
      <w:ind w:left="440" w:hanging="220"/>
    </w:pPr>
  </w:style>
  <w:style w:type="paragraph" w:styleId="Index3">
    <w:name w:val="index 3"/>
    <w:basedOn w:val="Normal"/>
    <w:next w:val="Normal"/>
    <w:autoRedefine/>
    <w:uiPriority w:val="99"/>
    <w:semiHidden/>
    <w:rsid w:val="00A0420F"/>
    <w:pPr>
      <w:ind w:left="660" w:hanging="220"/>
    </w:pPr>
  </w:style>
  <w:style w:type="paragraph" w:styleId="Index4">
    <w:name w:val="index 4"/>
    <w:basedOn w:val="Normal"/>
    <w:next w:val="Normal"/>
    <w:autoRedefine/>
    <w:uiPriority w:val="99"/>
    <w:semiHidden/>
    <w:rsid w:val="00A0420F"/>
    <w:pPr>
      <w:ind w:left="880" w:hanging="220"/>
    </w:pPr>
  </w:style>
  <w:style w:type="paragraph" w:styleId="Index5">
    <w:name w:val="index 5"/>
    <w:basedOn w:val="Normal"/>
    <w:next w:val="Normal"/>
    <w:autoRedefine/>
    <w:uiPriority w:val="99"/>
    <w:semiHidden/>
    <w:rsid w:val="00A0420F"/>
    <w:pPr>
      <w:ind w:left="1100" w:hanging="220"/>
    </w:pPr>
  </w:style>
  <w:style w:type="paragraph" w:styleId="Index6">
    <w:name w:val="index 6"/>
    <w:basedOn w:val="Normal"/>
    <w:next w:val="Normal"/>
    <w:autoRedefine/>
    <w:uiPriority w:val="99"/>
    <w:semiHidden/>
    <w:rsid w:val="00A0420F"/>
    <w:pPr>
      <w:ind w:left="1320" w:hanging="220"/>
    </w:pPr>
  </w:style>
  <w:style w:type="paragraph" w:styleId="Index7">
    <w:name w:val="index 7"/>
    <w:basedOn w:val="Normal"/>
    <w:next w:val="Normal"/>
    <w:autoRedefine/>
    <w:uiPriority w:val="99"/>
    <w:semiHidden/>
    <w:rsid w:val="00A0420F"/>
    <w:pPr>
      <w:ind w:left="1540" w:hanging="220"/>
    </w:pPr>
  </w:style>
  <w:style w:type="paragraph" w:styleId="Index8">
    <w:name w:val="index 8"/>
    <w:basedOn w:val="Normal"/>
    <w:next w:val="Normal"/>
    <w:autoRedefine/>
    <w:uiPriority w:val="99"/>
    <w:semiHidden/>
    <w:rsid w:val="00A0420F"/>
    <w:pPr>
      <w:ind w:left="1760" w:hanging="220"/>
    </w:pPr>
  </w:style>
  <w:style w:type="paragraph" w:styleId="Index9">
    <w:name w:val="index 9"/>
    <w:basedOn w:val="Normal"/>
    <w:next w:val="Normal"/>
    <w:autoRedefine/>
    <w:uiPriority w:val="99"/>
    <w:semiHidden/>
    <w:rsid w:val="00A0420F"/>
    <w:pPr>
      <w:ind w:left="1980" w:hanging="220"/>
    </w:pPr>
  </w:style>
  <w:style w:type="paragraph" w:styleId="IndexHeading">
    <w:name w:val="index heading"/>
    <w:basedOn w:val="Normal"/>
    <w:next w:val="Index1"/>
    <w:uiPriority w:val="99"/>
    <w:semiHidden/>
    <w:rsid w:val="00A0420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A0420F"/>
    <w:rPr>
      <w:b/>
      <w:bCs/>
      <w:i/>
      <w:iCs/>
      <w:color w:val="00728F" w:themeColor="accent1"/>
    </w:rPr>
  </w:style>
  <w:style w:type="paragraph" w:styleId="IntenseQuote">
    <w:name w:val="Intense Quote"/>
    <w:basedOn w:val="Normal"/>
    <w:next w:val="Normal"/>
    <w:link w:val="IntenseQuoteChar"/>
    <w:uiPriority w:val="30"/>
    <w:semiHidden/>
    <w:qFormat/>
    <w:rsid w:val="00A0420F"/>
    <w:pPr>
      <w:pBdr>
        <w:bottom w:val="single" w:sz="4" w:space="4" w:color="00728F" w:themeColor="accent1"/>
      </w:pBdr>
      <w:spacing w:before="200" w:after="280"/>
      <w:ind w:left="936" w:right="936"/>
    </w:pPr>
    <w:rPr>
      <w:b/>
      <w:bCs/>
      <w:i/>
      <w:iCs/>
      <w:color w:val="00728F" w:themeColor="accent1"/>
    </w:rPr>
  </w:style>
  <w:style w:type="character" w:customStyle="1" w:styleId="IntenseQuoteChar">
    <w:name w:val="Intense Quote Char"/>
    <w:basedOn w:val="DefaultParagraphFont"/>
    <w:link w:val="IntenseQuote"/>
    <w:uiPriority w:val="30"/>
    <w:semiHidden/>
    <w:rsid w:val="00A0420F"/>
    <w:rPr>
      <w:rFonts w:ascii="Calibri" w:hAnsi="Calibri"/>
      <w:b/>
      <w:bCs/>
      <w:i/>
      <w:iCs/>
      <w:color w:val="00728F" w:themeColor="accent1"/>
    </w:rPr>
  </w:style>
  <w:style w:type="character" w:styleId="IntenseReference">
    <w:name w:val="Intense Reference"/>
    <w:basedOn w:val="DefaultParagraphFont"/>
    <w:uiPriority w:val="32"/>
    <w:semiHidden/>
    <w:qFormat/>
    <w:rsid w:val="00A0420F"/>
    <w:rPr>
      <w:b/>
      <w:bCs/>
      <w:smallCaps/>
      <w:color w:val="B7DDE8" w:themeColor="accent2"/>
      <w:spacing w:val="5"/>
      <w:u w:val="single"/>
    </w:rPr>
  </w:style>
  <w:style w:type="character" w:styleId="LineNumber">
    <w:name w:val="line number"/>
    <w:basedOn w:val="DefaultParagraphFont"/>
    <w:uiPriority w:val="99"/>
    <w:semiHidden/>
    <w:rsid w:val="00A0420F"/>
  </w:style>
  <w:style w:type="paragraph" w:styleId="List">
    <w:name w:val="List"/>
    <w:basedOn w:val="Normal"/>
    <w:uiPriority w:val="99"/>
    <w:semiHidden/>
    <w:rsid w:val="00A0420F"/>
    <w:pPr>
      <w:ind w:left="283" w:hanging="283"/>
      <w:contextualSpacing/>
    </w:pPr>
  </w:style>
  <w:style w:type="paragraph" w:styleId="List2">
    <w:name w:val="List 2"/>
    <w:basedOn w:val="Normal"/>
    <w:uiPriority w:val="99"/>
    <w:semiHidden/>
    <w:rsid w:val="00A0420F"/>
    <w:pPr>
      <w:ind w:left="566" w:hanging="283"/>
      <w:contextualSpacing/>
    </w:pPr>
  </w:style>
  <w:style w:type="paragraph" w:styleId="List3">
    <w:name w:val="List 3"/>
    <w:basedOn w:val="Normal"/>
    <w:uiPriority w:val="99"/>
    <w:semiHidden/>
    <w:rsid w:val="00A0420F"/>
    <w:pPr>
      <w:ind w:left="849" w:hanging="283"/>
      <w:contextualSpacing/>
    </w:pPr>
  </w:style>
  <w:style w:type="paragraph" w:styleId="List4">
    <w:name w:val="List 4"/>
    <w:basedOn w:val="Normal"/>
    <w:uiPriority w:val="99"/>
    <w:semiHidden/>
    <w:rsid w:val="00A0420F"/>
    <w:pPr>
      <w:ind w:left="1132" w:hanging="283"/>
      <w:contextualSpacing/>
    </w:pPr>
  </w:style>
  <w:style w:type="paragraph" w:styleId="List5">
    <w:name w:val="List 5"/>
    <w:basedOn w:val="Normal"/>
    <w:uiPriority w:val="99"/>
    <w:semiHidden/>
    <w:rsid w:val="00A0420F"/>
    <w:pPr>
      <w:ind w:left="1415" w:hanging="283"/>
      <w:contextualSpacing/>
    </w:pPr>
  </w:style>
  <w:style w:type="paragraph" w:styleId="ListBullet">
    <w:name w:val="List Bullet"/>
    <w:basedOn w:val="Normal"/>
    <w:uiPriority w:val="99"/>
    <w:semiHidden/>
    <w:rsid w:val="00A0420F"/>
    <w:pPr>
      <w:numPr>
        <w:numId w:val="1"/>
      </w:numPr>
      <w:contextualSpacing/>
    </w:pPr>
  </w:style>
  <w:style w:type="paragraph" w:styleId="ListBullet2">
    <w:name w:val="List Bullet 2"/>
    <w:basedOn w:val="Normal"/>
    <w:uiPriority w:val="99"/>
    <w:semiHidden/>
    <w:rsid w:val="00A0420F"/>
    <w:pPr>
      <w:numPr>
        <w:numId w:val="2"/>
      </w:numPr>
      <w:contextualSpacing/>
    </w:pPr>
  </w:style>
  <w:style w:type="paragraph" w:styleId="ListBullet3">
    <w:name w:val="List Bullet 3"/>
    <w:basedOn w:val="Normal"/>
    <w:uiPriority w:val="99"/>
    <w:semiHidden/>
    <w:rsid w:val="00A0420F"/>
    <w:pPr>
      <w:numPr>
        <w:numId w:val="3"/>
      </w:numPr>
      <w:contextualSpacing/>
    </w:pPr>
  </w:style>
  <w:style w:type="paragraph" w:styleId="ListBullet4">
    <w:name w:val="List Bullet 4"/>
    <w:basedOn w:val="Normal"/>
    <w:uiPriority w:val="99"/>
    <w:semiHidden/>
    <w:rsid w:val="00A0420F"/>
    <w:pPr>
      <w:numPr>
        <w:numId w:val="4"/>
      </w:numPr>
      <w:contextualSpacing/>
    </w:pPr>
  </w:style>
  <w:style w:type="paragraph" w:styleId="ListBullet5">
    <w:name w:val="List Bullet 5"/>
    <w:basedOn w:val="Normal"/>
    <w:uiPriority w:val="99"/>
    <w:semiHidden/>
    <w:rsid w:val="00A0420F"/>
    <w:pPr>
      <w:numPr>
        <w:numId w:val="5"/>
      </w:numPr>
      <w:contextualSpacing/>
    </w:pPr>
  </w:style>
  <w:style w:type="paragraph" w:styleId="ListContinue">
    <w:name w:val="List Continue"/>
    <w:basedOn w:val="Normal"/>
    <w:uiPriority w:val="99"/>
    <w:semiHidden/>
    <w:rsid w:val="00A0420F"/>
    <w:pPr>
      <w:spacing w:after="120"/>
      <w:ind w:left="283"/>
      <w:contextualSpacing/>
    </w:pPr>
  </w:style>
  <w:style w:type="paragraph" w:styleId="ListContinue2">
    <w:name w:val="List Continue 2"/>
    <w:basedOn w:val="Normal"/>
    <w:uiPriority w:val="99"/>
    <w:semiHidden/>
    <w:rsid w:val="00A0420F"/>
    <w:pPr>
      <w:spacing w:after="120"/>
      <w:ind w:left="566"/>
      <w:contextualSpacing/>
    </w:pPr>
  </w:style>
  <w:style w:type="paragraph" w:styleId="ListContinue3">
    <w:name w:val="List Continue 3"/>
    <w:basedOn w:val="Normal"/>
    <w:uiPriority w:val="99"/>
    <w:semiHidden/>
    <w:rsid w:val="00A0420F"/>
    <w:pPr>
      <w:spacing w:after="120"/>
      <w:ind w:left="849"/>
      <w:contextualSpacing/>
    </w:pPr>
  </w:style>
  <w:style w:type="paragraph" w:styleId="ListContinue4">
    <w:name w:val="List Continue 4"/>
    <w:basedOn w:val="Normal"/>
    <w:uiPriority w:val="99"/>
    <w:semiHidden/>
    <w:rsid w:val="00A0420F"/>
    <w:pPr>
      <w:spacing w:after="120"/>
      <w:ind w:left="1132"/>
      <w:contextualSpacing/>
    </w:pPr>
  </w:style>
  <w:style w:type="paragraph" w:styleId="ListContinue5">
    <w:name w:val="List Continue 5"/>
    <w:basedOn w:val="Normal"/>
    <w:uiPriority w:val="99"/>
    <w:semiHidden/>
    <w:rsid w:val="00A0420F"/>
    <w:pPr>
      <w:spacing w:after="120"/>
      <w:ind w:left="1415"/>
      <w:contextualSpacing/>
    </w:pPr>
  </w:style>
  <w:style w:type="paragraph" w:styleId="ListNumber">
    <w:name w:val="List Number"/>
    <w:basedOn w:val="Normal"/>
    <w:uiPriority w:val="99"/>
    <w:semiHidden/>
    <w:rsid w:val="00A0420F"/>
    <w:pPr>
      <w:numPr>
        <w:numId w:val="6"/>
      </w:numPr>
      <w:contextualSpacing/>
    </w:pPr>
  </w:style>
  <w:style w:type="paragraph" w:styleId="ListNumber2">
    <w:name w:val="List Number 2"/>
    <w:basedOn w:val="Normal"/>
    <w:uiPriority w:val="99"/>
    <w:semiHidden/>
    <w:rsid w:val="00A0420F"/>
    <w:pPr>
      <w:numPr>
        <w:numId w:val="7"/>
      </w:numPr>
      <w:contextualSpacing/>
    </w:pPr>
  </w:style>
  <w:style w:type="paragraph" w:styleId="ListNumber3">
    <w:name w:val="List Number 3"/>
    <w:basedOn w:val="Normal"/>
    <w:uiPriority w:val="99"/>
    <w:semiHidden/>
    <w:rsid w:val="00A0420F"/>
    <w:pPr>
      <w:numPr>
        <w:numId w:val="8"/>
      </w:numPr>
      <w:contextualSpacing/>
    </w:pPr>
  </w:style>
  <w:style w:type="paragraph" w:styleId="ListNumber4">
    <w:name w:val="List Number 4"/>
    <w:basedOn w:val="Normal"/>
    <w:uiPriority w:val="99"/>
    <w:semiHidden/>
    <w:rsid w:val="00A0420F"/>
    <w:pPr>
      <w:numPr>
        <w:numId w:val="9"/>
      </w:numPr>
      <w:contextualSpacing/>
    </w:pPr>
  </w:style>
  <w:style w:type="paragraph" w:styleId="ListNumber5">
    <w:name w:val="List Number 5"/>
    <w:basedOn w:val="Normal"/>
    <w:uiPriority w:val="99"/>
    <w:semiHidden/>
    <w:rsid w:val="00A0420F"/>
    <w:pPr>
      <w:numPr>
        <w:numId w:val="10"/>
      </w:numPr>
      <w:contextualSpacing/>
    </w:pPr>
  </w:style>
  <w:style w:type="paragraph" w:styleId="ListParagraph">
    <w:name w:val="List Paragraph"/>
    <w:basedOn w:val="Normal"/>
    <w:link w:val="ListParagraphChar"/>
    <w:uiPriority w:val="34"/>
    <w:qFormat/>
    <w:rsid w:val="00A0420F"/>
    <w:pPr>
      <w:ind w:left="720"/>
      <w:contextualSpacing/>
    </w:pPr>
  </w:style>
  <w:style w:type="paragraph" w:styleId="MacroText">
    <w:name w:val="macro"/>
    <w:link w:val="MacroTextChar"/>
    <w:uiPriority w:val="99"/>
    <w:semiHidden/>
    <w:rsid w:val="00A04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A0420F"/>
    <w:rPr>
      <w:rFonts w:ascii="Consolas" w:hAnsi="Consolas" w:cs="Consolas"/>
      <w:sz w:val="20"/>
      <w:szCs w:val="20"/>
    </w:rPr>
  </w:style>
  <w:style w:type="paragraph" w:styleId="MessageHeader">
    <w:name w:val="Message Header"/>
    <w:basedOn w:val="Normal"/>
    <w:link w:val="MessageHeaderChar"/>
    <w:uiPriority w:val="99"/>
    <w:semiHidden/>
    <w:rsid w:val="00A0420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420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A0420F"/>
    <w:pPr>
      <w:spacing w:after="0"/>
    </w:pPr>
    <w:rPr>
      <w:rFonts w:ascii="Calibri" w:hAnsi="Calibri"/>
    </w:rPr>
  </w:style>
  <w:style w:type="paragraph" w:styleId="NormalWeb">
    <w:name w:val="Normal (Web)"/>
    <w:basedOn w:val="Normal"/>
    <w:uiPriority w:val="99"/>
    <w:semiHidden/>
    <w:rsid w:val="00A0420F"/>
    <w:rPr>
      <w:rFonts w:ascii="Times New Roman" w:hAnsi="Times New Roman" w:cs="Times New Roman"/>
      <w:sz w:val="24"/>
      <w:szCs w:val="24"/>
    </w:rPr>
  </w:style>
  <w:style w:type="paragraph" w:styleId="NormalIndent">
    <w:name w:val="Normal Indent"/>
    <w:basedOn w:val="Normal"/>
    <w:uiPriority w:val="99"/>
    <w:semiHidden/>
    <w:rsid w:val="00A0420F"/>
    <w:pPr>
      <w:ind w:left="720"/>
    </w:pPr>
  </w:style>
  <w:style w:type="paragraph" w:styleId="NoteHeading">
    <w:name w:val="Note Heading"/>
    <w:basedOn w:val="Normal"/>
    <w:next w:val="Normal"/>
    <w:link w:val="NoteHeadingChar"/>
    <w:uiPriority w:val="99"/>
    <w:semiHidden/>
    <w:rsid w:val="00A0420F"/>
  </w:style>
  <w:style w:type="character" w:customStyle="1" w:styleId="NoteHeadingChar">
    <w:name w:val="Note Heading Char"/>
    <w:basedOn w:val="DefaultParagraphFont"/>
    <w:link w:val="NoteHeading"/>
    <w:uiPriority w:val="99"/>
    <w:semiHidden/>
    <w:rsid w:val="00A0420F"/>
    <w:rPr>
      <w:rFonts w:ascii="Calibri" w:hAnsi="Calibri"/>
    </w:rPr>
  </w:style>
  <w:style w:type="character" w:styleId="PlaceholderText">
    <w:name w:val="Placeholder Text"/>
    <w:basedOn w:val="DefaultParagraphFont"/>
    <w:uiPriority w:val="99"/>
    <w:semiHidden/>
    <w:rsid w:val="00A0420F"/>
    <w:rPr>
      <w:color w:val="808080"/>
    </w:rPr>
  </w:style>
  <w:style w:type="paragraph" w:styleId="PlainText">
    <w:name w:val="Plain Text"/>
    <w:basedOn w:val="Normal"/>
    <w:link w:val="PlainTextChar"/>
    <w:uiPriority w:val="99"/>
    <w:semiHidden/>
    <w:rsid w:val="00A0420F"/>
    <w:rPr>
      <w:rFonts w:ascii="Consolas" w:hAnsi="Consolas" w:cs="Consolas"/>
      <w:sz w:val="21"/>
      <w:szCs w:val="21"/>
    </w:rPr>
  </w:style>
  <w:style w:type="character" w:customStyle="1" w:styleId="PlainTextChar">
    <w:name w:val="Plain Text Char"/>
    <w:basedOn w:val="DefaultParagraphFont"/>
    <w:link w:val="PlainText"/>
    <w:uiPriority w:val="99"/>
    <w:semiHidden/>
    <w:rsid w:val="00A0420F"/>
    <w:rPr>
      <w:rFonts w:ascii="Consolas" w:hAnsi="Consolas" w:cs="Consolas"/>
      <w:sz w:val="21"/>
      <w:szCs w:val="21"/>
    </w:rPr>
  </w:style>
  <w:style w:type="paragraph" w:styleId="Quote">
    <w:name w:val="Quote"/>
    <w:basedOn w:val="Normal"/>
    <w:next w:val="Normal"/>
    <w:link w:val="QuoteChar"/>
    <w:uiPriority w:val="29"/>
    <w:semiHidden/>
    <w:qFormat/>
    <w:rsid w:val="00A0420F"/>
    <w:rPr>
      <w:i/>
      <w:iCs/>
      <w:color w:val="00728F" w:themeColor="text1"/>
    </w:rPr>
  </w:style>
  <w:style w:type="character" w:customStyle="1" w:styleId="QuoteChar">
    <w:name w:val="Quote Char"/>
    <w:basedOn w:val="DefaultParagraphFont"/>
    <w:link w:val="Quote"/>
    <w:uiPriority w:val="29"/>
    <w:semiHidden/>
    <w:rsid w:val="00A0420F"/>
    <w:rPr>
      <w:rFonts w:ascii="Calibri" w:hAnsi="Calibri"/>
      <w:i/>
      <w:iCs/>
      <w:color w:val="00728F" w:themeColor="text1"/>
    </w:rPr>
  </w:style>
  <w:style w:type="paragraph" w:styleId="Salutation">
    <w:name w:val="Salutation"/>
    <w:basedOn w:val="Normal"/>
    <w:next w:val="Normal"/>
    <w:link w:val="SalutationChar"/>
    <w:uiPriority w:val="99"/>
    <w:semiHidden/>
    <w:rsid w:val="00A0420F"/>
  </w:style>
  <w:style w:type="character" w:customStyle="1" w:styleId="SalutationChar">
    <w:name w:val="Salutation Char"/>
    <w:basedOn w:val="DefaultParagraphFont"/>
    <w:link w:val="Salutation"/>
    <w:uiPriority w:val="99"/>
    <w:semiHidden/>
    <w:rsid w:val="00A0420F"/>
    <w:rPr>
      <w:rFonts w:ascii="Calibri" w:hAnsi="Calibri"/>
    </w:rPr>
  </w:style>
  <w:style w:type="paragraph" w:styleId="Signature">
    <w:name w:val="Signature"/>
    <w:basedOn w:val="Normal"/>
    <w:link w:val="SignatureChar"/>
    <w:uiPriority w:val="99"/>
    <w:semiHidden/>
    <w:rsid w:val="00A0420F"/>
    <w:pPr>
      <w:ind w:left="4252"/>
    </w:pPr>
  </w:style>
  <w:style w:type="character" w:customStyle="1" w:styleId="SignatureChar">
    <w:name w:val="Signature Char"/>
    <w:basedOn w:val="DefaultParagraphFont"/>
    <w:link w:val="Signature"/>
    <w:uiPriority w:val="99"/>
    <w:semiHidden/>
    <w:rsid w:val="00A0420F"/>
    <w:rPr>
      <w:rFonts w:ascii="Calibri" w:hAnsi="Calibri"/>
    </w:rPr>
  </w:style>
  <w:style w:type="paragraph" w:styleId="Subtitle">
    <w:name w:val="Subtitle"/>
    <w:basedOn w:val="Normal"/>
    <w:next w:val="Normal"/>
    <w:link w:val="SubtitleChar"/>
    <w:uiPriority w:val="15"/>
    <w:semiHidden/>
    <w:qFormat/>
    <w:rsid w:val="00A0420F"/>
    <w:pPr>
      <w:numPr>
        <w:ilvl w:val="1"/>
      </w:numPr>
      <w:ind w:left="1021" w:hanging="1021"/>
    </w:pPr>
    <w:rPr>
      <w:rFonts w:asciiTheme="majorHAnsi" w:eastAsiaTheme="majorEastAsia" w:hAnsiTheme="majorHAnsi" w:cstheme="majorBidi"/>
      <w:i/>
      <w:iCs/>
      <w:color w:val="00728F" w:themeColor="accent1"/>
      <w:spacing w:val="15"/>
      <w:sz w:val="24"/>
      <w:szCs w:val="24"/>
    </w:rPr>
  </w:style>
  <w:style w:type="character" w:customStyle="1" w:styleId="SubtitleChar">
    <w:name w:val="Subtitle Char"/>
    <w:basedOn w:val="DefaultParagraphFont"/>
    <w:link w:val="Subtitle"/>
    <w:uiPriority w:val="15"/>
    <w:semiHidden/>
    <w:rsid w:val="00A0420F"/>
    <w:rPr>
      <w:rFonts w:asciiTheme="majorHAnsi" w:eastAsiaTheme="majorEastAsia" w:hAnsiTheme="majorHAnsi" w:cstheme="majorBidi"/>
      <w:i/>
      <w:iCs/>
      <w:color w:val="00728F" w:themeColor="accent1"/>
      <w:spacing w:val="15"/>
      <w:sz w:val="24"/>
      <w:szCs w:val="24"/>
    </w:rPr>
  </w:style>
  <w:style w:type="character" w:styleId="SubtleEmphasis">
    <w:name w:val="Subtle Emphasis"/>
    <w:basedOn w:val="DefaultParagraphFont"/>
    <w:uiPriority w:val="19"/>
    <w:semiHidden/>
    <w:qFormat/>
    <w:rsid w:val="00A0420F"/>
    <w:rPr>
      <w:i/>
      <w:iCs/>
      <w:color w:val="48D9FF" w:themeColor="text1" w:themeTint="7F"/>
    </w:rPr>
  </w:style>
  <w:style w:type="character" w:styleId="SubtleReference">
    <w:name w:val="Subtle Reference"/>
    <w:basedOn w:val="DefaultParagraphFont"/>
    <w:uiPriority w:val="31"/>
    <w:semiHidden/>
    <w:qFormat/>
    <w:rsid w:val="00A0420F"/>
    <w:rPr>
      <w:smallCaps/>
      <w:color w:val="B7DDE8" w:themeColor="accent2"/>
      <w:u w:val="single"/>
    </w:rPr>
  </w:style>
  <w:style w:type="table" w:styleId="Table3Deffects1">
    <w:name w:val="Table 3D effects 1"/>
    <w:basedOn w:val="TableNormal"/>
    <w:uiPriority w:val="99"/>
    <w:semiHidden/>
    <w:unhideWhenUsed/>
    <w:rsid w:val="00A0420F"/>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420F"/>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420F"/>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420F"/>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420F"/>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420F"/>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420F"/>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0420F"/>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420F"/>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420F"/>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420F"/>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420F"/>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420F"/>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420F"/>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0420F"/>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420F"/>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420F"/>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420F"/>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420F"/>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420F"/>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420F"/>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420F"/>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0420F"/>
    <w:pPr>
      <w:ind w:left="220" w:hanging="220"/>
    </w:pPr>
  </w:style>
  <w:style w:type="paragraph" w:styleId="TableofFigures">
    <w:name w:val="table of figures"/>
    <w:basedOn w:val="Normal"/>
    <w:next w:val="Normal"/>
    <w:uiPriority w:val="99"/>
    <w:semiHidden/>
    <w:rsid w:val="00A0420F"/>
  </w:style>
  <w:style w:type="table" w:styleId="TableProfessional">
    <w:name w:val="Table Professional"/>
    <w:basedOn w:val="TableNormal"/>
    <w:uiPriority w:val="99"/>
    <w:semiHidden/>
    <w:unhideWhenUsed/>
    <w:rsid w:val="00A0420F"/>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420F"/>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420F"/>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420F"/>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420F"/>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420F"/>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42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0420F"/>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420F"/>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420F"/>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0420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A0420F"/>
    <w:pPr>
      <w:spacing w:after="100"/>
      <w:ind w:left="660"/>
    </w:pPr>
  </w:style>
  <w:style w:type="paragraph" w:styleId="TOC5">
    <w:name w:val="toc 5"/>
    <w:basedOn w:val="Normal"/>
    <w:next w:val="Normal"/>
    <w:autoRedefine/>
    <w:uiPriority w:val="39"/>
    <w:semiHidden/>
    <w:unhideWhenUsed/>
    <w:rsid w:val="00A0420F"/>
    <w:pPr>
      <w:spacing w:after="100"/>
      <w:ind w:left="880"/>
    </w:pPr>
  </w:style>
  <w:style w:type="paragraph" w:styleId="TOC6">
    <w:name w:val="toc 6"/>
    <w:basedOn w:val="Normal"/>
    <w:next w:val="Normal"/>
    <w:autoRedefine/>
    <w:uiPriority w:val="39"/>
    <w:semiHidden/>
    <w:unhideWhenUsed/>
    <w:rsid w:val="00A0420F"/>
    <w:pPr>
      <w:spacing w:after="100"/>
      <w:ind w:left="1100"/>
    </w:pPr>
  </w:style>
  <w:style w:type="paragraph" w:styleId="TOC7">
    <w:name w:val="toc 7"/>
    <w:basedOn w:val="Normal"/>
    <w:next w:val="Normal"/>
    <w:autoRedefine/>
    <w:uiPriority w:val="39"/>
    <w:semiHidden/>
    <w:unhideWhenUsed/>
    <w:rsid w:val="00A0420F"/>
    <w:pPr>
      <w:spacing w:after="100"/>
      <w:ind w:left="1320"/>
    </w:pPr>
  </w:style>
  <w:style w:type="paragraph" w:styleId="TOC8">
    <w:name w:val="toc 8"/>
    <w:basedOn w:val="Normal"/>
    <w:next w:val="Normal"/>
    <w:autoRedefine/>
    <w:uiPriority w:val="39"/>
    <w:semiHidden/>
    <w:unhideWhenUsed/>
    <w:rsid w:val="00A0420F"/>
    <w:pPr>
      <w:spacing w:after="100"/>
      <w:ind w:left="1540"/>
    </w:pPr>
  </w:style>
  <w:style w:type="paragraph" w:styleId="TOC9">
    <w:name w:val="toc 9"/>
    <w:basedOn w:val="Normal"/>
    <w:next w:val="Normal"/>
    <w:autoRedefine/>
    <w:uiPriority w:val="39"/>
    <w:semiHidden/>
    <w:unhideWhenUsed/>
    <w:rsid w:val="00A0420F"/>
    <w:pPr>
      <w:spacing w:after="100"/>
      <w:ind w:left="1760"/>
    </w:pPr>
  </w:style>
  <w:style w:type="paragraph" w:customStyle="1" w:styleId="Definitiontext">
    <w:name w:val="Definition text"/>
    <w:basedOn w:val="BodyText"/>
    <w:uiPriority w:val="20"/>
    <w:qFormat/>
    <w:rsid w:val="00C80837"/>
    <w:pPr>
      <w:spacing w:before="120"/>
    </w:pPr>
  </w:style>
  <w:style w:type="paragraph" w:customStyle="1" w:styleId="Definitionterm">
    <w:name w:val="Definition term"/>
    <w:basedOn w:val="Definitiontext"/>
    <w:next w:val="Definitiontext"/>
    <w:uiPriority w:val="20"/>
    <w:qFormat/>
    <w:rsid w:val="00A34761"/>
    <w:pPr>
      <w:spacing w:before="240" w:after="120"/>
    </w:pPr>
    <w:rPr>
      <w:b/>
    </w:rPr>
  </w:style>
  <w:style w:type="table" w:customStyle="1" w:styleId="ColorfulGrid1">
    <w:name w:val="Colorful Grid1"/>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B5EFFF" w:themeFill="text1" w:themeFillTint="33"/>
    </w:tcPr>
    <w:tblStylePr w:type="firstRow">
      <w:rPr>
        <w:b/>
        <w:bCs/>
      </w:rPr>
      <w:tblPr/>
      <w:tcPr>
        <w:shd w:val="clear" w:color="auto" w:fill="6CE1FF" w:themeFill="text1" w:themeFillTint="66"/>
      </w:tcPr>
    </w:tblStylePr>
    <w:tblStylePr w:type="lastRow">
      <w:rPr>
        <w:b/>
        <w:bCs/>
        <w:color w:val="00728F" w:themeColor="text1"/>
      </w:rPr>
      <w:tblPr/>
      <w:tcPr>
        <w:shd w:val="clear" w:color="auto" w:fill="6CE1FF" w:themeFill="text1" w:themeFillTint="66"/>
      </w:tcPr>
    </w:tblStylePr>
    <w:tblStylePr w:type="firstCol">
      <w:rPr>
        <w:color w:val="FFFFFF" w:themeColor="background1"/>
      </w:rPr>
      <w:tblPr/>
      <w:tcPr>
        <w:shd w:val="clear" w:color="auto" w:fill="00556B" w:themeFill="text1" w:themeFillShade="BF"/>
      </w:tcPr>
    </w:tblStylePr>
    <w:tblStylePr w:type="lastCol">
      <w:rPr>
        <w:color w:val="FFFFFF" w:themeColor="background1"/>
      </w:rPr>
      <w:tblPr/>
      <w:tcPr>
        <w:shd w:val="clear" w:color="auto" w:fill="00556B" w:themeFill="text1" w:themeFillShade="BF"/>
      </w:tc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ColorfulGrid-Accent1">
    <w:name w:val="Colorful Grid Accent 1"/>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B5EFFF" w:themeFill="accent1" w:themeFillTint="33"/>
    </w:tcPr>
    <w:tblStylePr w:type="firstRow">
      <w:rPr>
        <w:b/>
        <w:bCs/>
      </w:rPr>
      <w:tblPr/>
      <w:tcPr>
        <w:shd w:val="clear" w:color="auto" w:fill="6CE1FF" w:themeFill="accent1" w:themeFillTint="66"/>
      </w:tcPr>
    </w:tblStylePr>
    <w:tblStylePr w:type="lastRow">
      <w:rPr>
        <w:b/>
        <w:bCs/>
        <w:color w:val="00728F" w:themeColor="text1"/>
      </w:rPr>
      <w:tblPr/>
      <w:tcPr>
        <w:shd w:val="clear" w:color="auto" w:fill="6CE1FF" w:themeFill="accent1" w:themeFillTint="66"/>
      </w:tcPr>
    </w:tblStylePr>
    <w:tblStylePr w:type="firstCol">
      <w:rPr>
        <w:color w:val="FFFFFF" w:themeColor="background1"/>
      </w:rPr>
      <w:tblPr/>
      <w:tcPr>
        <w:shd w:val="clear" w:color="auto" w:fill="00556B" w:themeFill="accent1" w:themeFillShade="BF"/>
      </w:tcPr>
    </w:tblStylePr>
    <w:tblStylePr w:type="lastCol">
      <w:rPr>
        <w:color w:val="FFFFFF" w:themeColor="background1"/>
      </w:rPr>
      <w:tblPr/>
      <w:tcPr>
        <w:shd w:val="clear" w:color="auto" w:fill="00556B" w:themeFill="accent1" w:themeFillShade="BF"/>
      </w:tc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ColorfulGrid-Accent2">
    <w:name w:val="Colorful Grid Accent 2"/>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F0F8FA" w:themeFill="accent2" w:themeFillTint="33"/>
    </w:tcPr>
    <w:tblStylePr w:type="firstRow">
      <w:rPr>
        <w:b/>
        <w:bCs/>
      </w:rPr>
      <w:tblPr/>
      <w:tcPr>
        <w:shd w:val="clear" w:color="auto" w:fill="E2F1F5" w:themeFill="accent2" w:themeFillTint="66"/>
      </w:tcPr>
    </w:tblStylePr>
    <w:tblStylePr w:type="lastRow">
      <w:rPr>
        <w:b/>
        <w:bCs/>
        <w:color w:val="00728F" w:themeColor="text1"/>
      </w:rPr>
      <w:tblPr/>
      <w:tcPr>
        <w:shd w:val="clear" w:color="auto" w:fill="E2F1F5" w:themeFill="accent2" w:themeFillTint="66"/>
      </w:tcPr>
    </w:tblStylePr>
    <w:tblStylePr w:type="firstCol">
      <w:rPr>
        <w:color w:val="FFFFFF" w:themeColor="background1"/>
      </w:rPr>
      <w:tblPr/>
      <w:tcPr>
        <w:shd w:val="clear" w:color="auto" w:fill="67B7CE" w:themeFill="accent2" w:themeFillShade="BF"/>
      </w:tcPr>
    </w:tblStylePr>
    <w:tblStylePr w:type="lastCol">
      <w:rPr>
        <w:color w:val="FFFFFF" w:themeColor="background1"/>
      </w:rPr>
      <w:tblPr/>
      <w:tcPr>
        <w:shd w:val="clear" w:color="auto" w:fill="67B7CE" w:themeFill="accent2" w:themeFillShade="BF"/>
      </w:tc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ColorfulGrid-Accent3">
    <w:name w:val="Colorful Grid Accent 3"/>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F7FBFC" w:themeFill="accent3" w:themeFillTint="33"/>
    </w:tcPr>
    <w:tblStylePr w:type="firstRow">
      <w:rPr>
        <w:b/>
        <w:bCs/>
      </w:rPr>
      <w:tblPr/>
      <w:tcPr>
        <w:shd w:val="clear" w:color="auto" w:fill="F0F8FA" w:themeFill="accent3" w:themeFillTint="66"/>
      </w:tcPr>
    </w:tblStylePr>
    <w:tblStylePr w:type="lastRow">
      <w:rPr>
        <w:b/>
        <w:bCs/>
        <w:color w:val="00728F" w:themeColor="text1"/>
      </w:rPr>
      <w:tblPr/>
      <w:tcPr>
        <w:shd w:val="clear" w:color="auto" w:fill="F0F8FA" w:themeFill="accent3" w:themeFillTint="66"/>
      </w:tcPr>
    </w:tblStylePr>
    <w:tblStylePr w:type="firstCol">
      <w:rPr>
        <w:color w:val="FFFFFF" w:themeColor="background1"/>
      </w:rPr>
      <w:tblPr/>
      <w:tcPr>
        <w:shd w:val="clear" w:color="auto" w:fill="84C4D6" w:themeFill="accent3" w:themeFillShade="BF"/>
      </w:tcPr>
    </w:tblStylePr>
    <w:tblStylePr w:type="lastCol">
      <w:rPr>
        <w:color w:val="FFFFFF" w:themeColor="background1"/>
      </w:rPr>
      <w:tblPr/>
      <w:tcPr>
        <w:shd w:val="clear" w:color="auto" w:fill="84C4D6" w:themeFill="accent3" w:themeFillShade="BF"/>
      </w:tc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ColorfulGrid-Accent4">
    <w:name w:val="Colorful Grid Accent 4"/>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E9F4F8" w:themeFill="accent4" w:themeFillTint="33"/>
    </w:tcPr>
    <w:tblStylePr w:type="firstRow">
      <w:rPr>
        <w:b/>
        <w:bCs/>
      </w:rPr>
      <w:tblPr/>
      <w:tcPr>
        <w:shd w:val="clear" w:color="auto" w:fill="D3EAF1" w:themeFill="accent4" w:themeFillTint="66"/>
      </w:tcPr>
    </w:tblStylePr>
    <w:tblStylePr w:type="lastRow">
      <w:rPr>
        <w:b/>
        <w:bCs/>
        <w:color w:val="00728F" w:themeColor="text1"/>
      </w:rPr>
      <w:tblPr/>
      <w:tcPr>
        <w:shd w:val="clear" w:color="auto" w:fill="D3EAF1" w:themeFill="accent4" w:themeFillTint="66"/>
      </w:tcPr>
    </w:tblStylePr>
    <w:tblStylePr w:type="firstCol">
      <w:rPr>
        <w:color w:val="FFFFFF" w:themeColor="background1"/>
      </w:rPr>
      <w:tblPr/>
      <w:tcPr>
        <w:shd w:val="clear" w:color="auto" w:fill="4CACC5" w:themeFill="accent4" w:themeFillShade="BF"/>
      </w:tcPr>
    </w:tblStylePr>
    <w:tblStylePr w:type="lastCol">
      <w:rPr>
        <w:color w:val="FFFFFF" w:themeColor="background1"/>
      </w:rPr>
      <w:tblPr/>
      <w:tcPr>
        <w:shd w:val="clear" w:color="auto" w:fill="4CACC5" w:themeFill="accent4" w:themeFillShade="BF"/>
      </w:tc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ColorfulGrid-Accent5">
    <w:name w:val="Colorful Grid Accent 5"/>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D0E9F0" w:themeFill="accent5" w:themeFillTint="33"/>
    </w:tcPr>
    <w:tblStylePr w:type="firstRow">
      <w:rPr>
        <w:b/>
        <w:bCs/>
      </w:rPr>
      <w:tblPr/>
      <w:tcPr>
        <w:shd w:val="clear" w:color="auto" w:fill="A1D4E1" w:themeFill="accent5" w:themeFillTint="66"/>
      </w:tcPr>
    </w:tblStylePr>
    <w:tblStylePr w:type="lastRow">
      <w:rPr>
        <w:b/>
        <w:bCs/>
        <w:color w:val="00728F" w:themeColor="text1"/>
      </w:rPr>
      <w:tblPr/>
      <w:tcPr>
        <w:shd w:val="clear" w:color="auto" w:fill="A1D4E1" w:themeFill="accent5" w:themeFillTint="66"/>
      </w:tcPr>
    </w:tblStylePr>
    <w:tblStylePr w:type="firstCol">
      <w:rPr>
        <w:color w:val="FFFFFF" w:themeColor="background1"/>
      </w:rPr>
      <w:tblPr/>
      <w:tcPr>
        <w:shd w:val="clear" w:color="auto" w:fill="246373" w:themeFill="accent5" w:themeFillShade="BF"/>
      </w:tcPr>
    </w:tblStylePr>
    <w:tblStylePr w:type="lastCol">
      <w:rPr>
        <w:color w:val="FFFFFF" w:themeColor="background1"/>
      </w:rPr>
      <w:tblPr/>
      <w:tcPr>
        <w:shd w:val="clear" w:color="auto" w:fill="246373" w:themeFill="accent5" w:themeFillShade="BF"/>
      </w:tc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ColorfulGrid-Accent6">
    <w:name w:val="Colorful Grid Accent 6"/>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DFF0F5" w:themeFill="accent6" w:themeFillTint="33"/>
    </w:tcPr>
    <w:tblStylePr w:type="firstRow">
      <w:rPr>
        <w:b/>
        <w:bCs/>
      </w:rPr>
      <w:tblPr/>
      <w:tcPr>
        <w:shd w:val="clear" w:color="auto" w:fill="C0E2EB" w:themeFill="accent6" w:themeFillTint="66"/>
      </w:tcPr>
    </w:tblStylePr>
    <w:tblStylePr w:type="lastRow">
      <w:rPr>
        <w:b/>
        <w:bCs/>
        <w:color w:val="00728F" w:themeColor="text1"/>
      </w:rPr>
      <w:tblPr/>
      <w:tcPr>
        <w:shd w:val="clear" w:color="auto" w:fill="C0E2EB" w:themeFill="accent6" w:themeFillTint="66"/>
      </w:tcPr>
    </w:tblStylePr>
    <w:tblStylePr w:type="firstCol">
      <w:rPr>
        <w:color w:val="FFFFFF" w:themeColor="background1"/>
      </w:rPr>
      <w:tblPr/>
      <w:tcPr>
        <w:shd w:val="clear" w:color="auto" w:fill="3795AD" w:themeFill="accent6" w:themeFillShade="BF"/>
      </w:tcPr>
    </w:tblStylePr>
    <w:tblStylePr w:type="lastCol">
      <w:rPr>
        <w:color w:val="FFFFFF" w:themeColor="background1"/>
      </w:rPr>
      <w:tblPr/>
      <w:tcPr>
        <w:shd w:val="clear" w:color="auto" w:fill="3795AD" w:themeFill="accent6" w:themeFillShade="BF"/>
      </w:tc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ColorfulList1">
    <w:name w:val="Colorful List1"/>
    <w:basedOn w:val="TableNormal"/>
    <w:uiPriority w:val="99"/>
    <w:semiHidden/>
    <w:rsid w:val="00361DEB"/>
    <w:pPr>
      <w:spacing w:after="0"/>
    </w:pPr>
    <w:rPr>
      <w:color w:val="00728F" w:themeColor="text1"/>
    </w:rPr>
    <w:tblPr>
      <w:tblStyleRowBandSize w:val="1"/>
      <w:tblStyleColBandSize w:val="1"/>
    </w:tblPr>
    <w:tcPr>
      <w:shd w:val="clear" w:color="auto" w:fill="DBF7FF" w:themeFill="tex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text1" w:themeFillTint="3F"/>
      </w:tcPr>
    </w:tblStylePr>
    <w:tblStylePr w:type="band1Horz">
      <w:tblPr/>
      <w:tcPr>
        <w:shd w:val="clear" w:color="auto" w:fill="B5EFFF" w:themeFill="text1" w:themeFillTint="33"/>
      </w:tcPr>
    </w:tblStylePr>
  </w:style>
  <w:style w:type="table" w:styleId="ColorfulList-Accent1">
    <w:name w:val="Colorful List Accent 1"/>
    <w:basedOn w:val="TableNormal"/>
    <w:uiPriority w:val="99"/>
    <w:semiHidden/>
    <w:rsid w:val="00361DEB"/>
    <w:pPr>
      <w:spacing w:after="0"/>
    </w:pPr>
    <w:rPr>
      <w:color w:val="00728F" w:themeColor="text1"/>
    </w:rPr>
    <w:tblPr>
      <w:tblStyleRowBandSize w:val="1"/>
      <w:tblStyleColBandSize w:val="1"/>
    </w:tblPr>
    <w:tcPr>
      <w:shd w:val="clear" w:color="auto" w:fill="DBF7FF" w:themeFill="accen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accent1" w:themeFillTint="3F"/>
      </w:tcPr>
    </w:tblStylePr>
    <w:tblStylePr w:type="band1Horz">
      <w:tblPr/>
      <w:tcPr>
        <w:shd w:val="clear" w:color="auto" w:fill="B5EFFF" w:themeFill="accent1" w:themeFillTint="33"/>
      </w:tcPr>
    </w:tblStylePr>
  </w:style>
  <w:style w:type="table" w:styleId="ColorfulList-Accent2">
    <w:name w:val="Colorful List Accent 2"/>
    <w:basedOn w:val="TableNormal"/>
    <w:uiPriority w:val="99"/>
    <w:semiHidden/>
    <w:rsid w:val="00361DEB"/>
    <w:pPr>
      <w:spacing w:after="0"/>
    </w:pPr>
    <w:rPr>
      <w:color w:val="00728F" w:themeColor="text1"/>
    </w:rPr>
    <w:tblPr>
      <w:tblStyleRowBandSize w:val="1"/>
      <w:tblStyleColBandSize w:val="1"/>
    </w:tblPr>
    <w:tcPr>
      <w:shd w:val="clear" w:color="auto" w:fill="F7FBFC" w:themeFill="accent2"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F9" w:themeFill="accent2" w:themeFillTint="3F"/>
      </w:tcPr>
    </w:tblStylePr>
    <w:tblStylePr w:type="band1Horz">
      <w:tblPr/>
      <w:tcPr>
        <w:shd w:val="clear" w:color="auto" w:fill="F0F8FA" w:themeFill="accent2" w:themeFillTint="33"/>
      </w:tcPr>
    </w:tblStylePr>
  </w:style>
  <w:style w:type="table" w:styleId="ColorfulList-Accent3">
    <w:name w:val="Colorful List Accent 3"/>
    <w:basedOn w:val="TableNormal"/>
    <w:uiPriority w:val="99"/>
    <w:semiHidden/>
    <w:rsid w:val="00361DEB"/>
    <w:pPr>
      <w:spacing w:after="0"/>
    </w:pPr>
    <w:rPr>
      <w:color w:val="00728F" w:themeColor="text1"/>
    </w:rPr>
    <w:tblPr>
      <w:tblStyleRowBandSize w:val="1"/>
      <w:tblStyleColBandSize w:val="1"/>
    </w:tblPr>
    <w:tcPr>
      <w:shd w:val="clear" w:color="auto" w:fill="FBFDFD" w:themeFill="accent3" w:themeFillTint="19"/>
    </w:tcPr>
    <w:tblStylePr w:type="firstRow">
      <w:rPr>
        <w:b/>
        <w:bCs/>
        <w:color w:val="FFFFFF" w:themeColor="background1"/>
      </w:rPr>
      <w:tblPr/>
      <w:tcPr>
        <w:tcBorders>
          <w:bottom w:val="single" w:sz="12" w:space="0" w:color="FFFFFF" w:themeColor="background1"/>
        </w:tcBorders>
        <w:shd w:val="clear" w:color="auto" w:fill="5AB3CA" w:themeFill="accent4" w:themeFillShade="CC"/>
      </w:tcPr>
    </w:tblStylePr>
    <w:tblStylePr w:type="lastRow">
      <w:rPr>
        <w:b/>
        <w:bCs/>
        <w:color w:val="5AB3CA" w:themeColor="accent4"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AFC" w:themeFill="accent3" w:themeFillTint="3F"/>
      </w:tcPr>
    </w:tblStylePr>
    <w:tblStylePr w:type="band1Horz">
      <w:tblPr/>
      <w:tcPr>
        <w:shd w:val="clear" w:color="auto" w:fill="F7FBFC" w:themeFill="accent3" w:themeFillTint="33"/>
      </w:tcPr>
    </w:tblStylePr>
  </w:style>
  <w:style w:type="table" w:styleId="ColorfulList-Accent4">
    <w:name w:val="Colorful List Accent 4"/>
    <w:basedOn w:val="TableNormal"/>
    <w:uiPriority w:val="99"/>
    <w:semiHidden/>
    <w:rsid w:val="00361DEB"/>
    <w:pPr>
      <w:spacing w:after="0"/>
    </w:pPr>
    <w:rPr>
      <w:color w:val="00728F" w:themeColor="text1"/>
    </w:rPr>
    <w:tblPr>
      <w:tblStyleRowBandSize w:val="1"/>
      <w:tblStyleColBandSize w:val="1"/>
    </w:tblPr>
    <w:tcPr>
      <w:shd w:val="clear" w:color="auto" w:fill="F4FAFB" w:themeFill="accent4" w:themeFillTint="19"/>
    </w:tcPr>
    <w:tblStylePr w:type="firstRow">
      <w:rPr>
        <w:b/>
        <w:bCs/>
        <w:color w:val="FFFFFF" w:themeColor="background1"/>
      </w:rPr>
      <w:tblPr/>
      <w:tcPr>
        <w:tcBorders>
          <w:bottom w:val="single" w:sz="12" w:space="0" w:color="FFFFFF" w:themeColor="background1"/>
        </w:tcBorders>
        <w:shd w:val="clear" w:color="auto" w:fill="95CCDB" w:themeFill="accent3" w:themeFillShade="CC"/>
      </w:tcPr>
    </w:tblStylePr>
    <w:tblStylePr w:type="lastRow">
      <w:rPr>
        <w:b/>
        <w:bCs/>
        <w:color w:val="95CCDB" w:themeColor="accent3"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2F6" w:themeFill="accent4" w:themeFillTint="3F"/>
      </w:tcPr>
    </w:tblStylePr>
    <w:tblStylePr w:type="band1Horz">
      <w:tblPr/>
      <w:tcPr>
        <w:shd w:val="clear" w:color="auto" w:fill="E9F4F8" w:themeFill="accent4" w:themeFillTint="33"/>
      </w:tcPr>
    </w:tblStylePr>
  </w:style>
  <w:style w:type="table" w:styleId="ColorfulList-Accent5">
    <w:name w:val="Colorful List Accent 5"/>
    <w:basedOn w:val="TableNormal"/>
    <w:uiPriority w:val="99"/>
    <w:semiHidden/>
    <w:rsid w:val="00361DEB"/>
    <w:pPr>
      <w:spacing w:after="0"/>
    </w:pPr>
    <w:rPr>
      <w:color w:val="00728F" w:themeColor="text1"/>
    </w:rPr>
    <w:tblPr>
      <w:tblStyleRowBandSize w:val="1"/>
      <w:tblStyleColBandSize w:val="1"/>
    </w:tblPr>
    <w:tcPr>
      <w:shd w:val="clear" w:color="auto" w:fill="E8F4F7" w:themeFill="accent5" w:themeFillTint="19"/>
    </w:tcPr>
    <w:tblStylePr w:type="firstRow">
      <w:rPr>
        <w:b/>
        <w:bCs/>
        <w:color w:val="FFFFFF" w:themeColor="background1"/>
      </w:rPr>
      <w:tblPr/>
      <w:tcPr>
        <w:tcBorders>
          <w:bottom w:val="single" w:sz="12" w:space="0" w:color="FFFFFF" w:themeColor="background1"/>
        </w:tcBorders>
        <w:shd w:val="clear" w:color="auto" w:fill="3A9FB9" w:themeFill="accent6" w:themeFillShade="CC"/>
      </w:tcPr>
    </w:tblStylePr>
    <w:tblStylePr w:type="lastRow">
      <w:rPr>
        <w:b/>
        <w:bCs/>
        <w:color w:val="3A9FB9" w:themeColor="accent6"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C" w:themeFill="accent5" w:themeFillTint="3F"/>
      </w:tcPr>
    </w:tblStylePr>
    <w:tblStylePr w:type="band1Horz">
      <w:tblPr/>
      <w:tcPr>
        <w:shd w:val="clear" w:color="auto" w:fill="D0E9F0" w:themeFill="accent5" w:themeFillTint="33"/>
      </w:tcPr>
    </w:tblStylePr>
  </w:style>
  <w:style w:type="table" w:styleId="ColorfulList-Accent6">
    <w:name w:val="Colorful List Accent 6"/>
    <w:basedOn w:val="TableNormal"/>
    <w:uiPriority w:val="99"/>
    <w:semiHidden/>
    <w:rsid w:val="00361DEB"/>
    <w:pPr>
      <w:spacing w:after="0"/>
    </w:pPr>
    <w:rPr>
      <w:color w:val="00728F" w:themeColor="text1"/>
    </w:rPr>
    <w:tblPr>
      <w:tblStyleRowBandSize w:val="1"/>
      <w:tblStyleColBandSize w:val="1"/>
    </w:tblPr>
    <w:tcPr>
      <w:shd w:val="clear" w:color="auto" w:fill="EFF8FA" w:themeFill="accent6" w:themeFillTint="19"/>
    </w:tcPr>
    <w:tblStylePr w:type="firstRow">
      <w:rPr>
        <w:b/>
        <w:bCs/>
        <w:color w:val="FFFFFF" w:themeColor="background1"/>
      </w:rPr>
      <w:tblPr/>
      <w:tcPr>
        <w:tcBorders>
          <w:bottom w:val="single" w:sz="12" w:space="0" w:color="FFFFFF" w:themeColor="background1"/>
        </w:tcBorders>
        <w:shd w:val="clear" w:color="auto" w:fill="276A7B" w:themeFill="accent5" w:themeFillShade="CC"/>
      </w:tcPr>
    </w:tblStylePr>
    <w:tblStylePr w:type="lastRow">
      <w:rPr>
        <w:b/>
        <w:bCs/>
        <w:color w:val="276A7B" w:themeColor="accent5"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DF2" w:themeFill="accent6" w:themeFillTint="3F"/>
      </w:tcPr>
    </w:tblStylePr>
    <w:tblStylePr w:type="band1Horz">
      <w:tblPr/>
      <w:tcPr>
        <w:shd w:val="clear" w:color="auto" w:fill="DFF0F5" w:themeFill="accent6" w:themeFillTint="33"/>
      </w:tcPr>
    </w:tblStylePr>
  </w:style>
  <w:style w:type="table" w:customStyle="1" w:styleId="ColorfulShading1">
    <w:name w:val="Colorful Shading1"/>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00728F" w:themeColor="text1"/>
        <w:bottom w:val="single" w:sz="4" w:space="0" w:color="00728F" w:themeColor="text1"/>
        <w:right w:val="single" w:sz="4" w:space="0" w:color="00728F" w:themeColor="text1"/>
        <w:insideH w:val="single" w:sz="4" w:space="0" w:color="FFFFFF" w:themeColor="background1"/>
        <w:insideV w:val="single" w:sz="4" w:space="0" w:color="FFFFFF" w:themeColor="background1"/>
      </w:tblBorders>
    </w:tblPr>
    <w:tcPr>
      <w:shd w:val="clear" w:color="auto" w:fill="DBF7FF" w:themeFill="tex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text1" w:themeFillShade="99"/>
      </w:tcPr>
    </w:tblStylePr>
    <w:tblStylePr w:type="firstCol">
      <w:rPr>
        <w:color w:val="FFFFFF" w:themeColor="background1"/>
      </w:rPr>
      <w:tblPr/>
      <w:tcPr>
        <w:tcBorders>
          <w:top w:val="nil"/>
          <w:left w:val="nil"/>
          <w:bottom w:val="nil"/>
          <w:right w:val="nil"/>
          <w:insideH w:val="single" w:sz="4" w:space="0" w:color="004455" w:themeColor="text1" w:themeShade="99"/>
          <w:insideV w:val="nil"/>
        </w:tcBorders>
        <w:shd w:val="clear" w:color="auto" w:fill="00445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556B" w:themeFill="text1" w:themeFillShade="BF"/>
      </w:tcPr>
    </w:tblStylePr>
    <w:tblStylePr w:type="band1Vert">
      <w:tblPr/>
      <w:tcPr>
        <w:shd w:val="clear" w:color="auto" w:fill="6CE1FF" w:themeFill="text1" w:themeFillTint="66"/>
      </w:tcPr>
    </w:tblStylePr>
    <w:tblStylePr w:type="band1Horz">
      <w:tblPr/>
      <w:tcPr>
        <w:shd w:val="clear" w:color="auto" w:fill="48D9FF" w:themeFill="text1" w:themeFillTint="7F"/>
      </w:tcPr>
    </w:tblStylePr>
    <w:tblStylePr w:type="neCell">
      <w:rPr>
        <w:color w:val="00728F" w:themeColor="text1"/>
      </w:rPr>
    </w:tblStylePr>
    <w:tblStylePr w:type="nwCell">
      <w:rPr>
        <w:color w:val="00728F" w:themeColor="text1"/>
      </w:rPr>
    </w:tblStylePr>
  </w:style>
  <w:style w:type="table" w:styleId="ColorfulShading-Accent1">
    <w:name w:val="Colorful Shading Accent 1"/>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00728F" w:themeColor="accent1"/>
        <w:bottom w:val="single" w:sz="4" w:space="0" w:color="00728F" w:themeColor="accent1"/>
        <w:right w:val="single" w:sz="4" w:space="0" w:color="00728F" w:themeColor="accent1"/>
        <w:insideH w:val="single" w:sz="4" w:space="0" w:color="FFFFFF" w:themeColor="background1"/>
        <w:insideV w:val="single" w:sz="4" w:space="0" w:color="FFFFFF" w:themeColor="background1"/>
      </w:tblBorders>
    </w:tblPr>
    <w:tcPr>
      <w:shd w:val="clear" w:color="auto" w:fill="DBF7FF" w:themeFill="accen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accent1" w:themeFillShade="99"/>
      </w:tcPr>
    </w:tblStylePr>
    <w:tblStylePr w:type="firstCol">
      <w:rPr>
        <w:color w:val="FFFFFF" w:themeColor="background1"/>
      </w:rPr>
      <w:tblPr/>
      <w:tcPr>
        <w:tcBorders>
          <w:top w:val="nil"/>
          <w:left w:val="nil"/>
          <w:bottom w:val="nil"/>
          <w:right w:val="nil"/>
          <w:insideH w:val="single" w:sz="4" w:space="0" w:color="004455" w:themeColor="accent1" w:themeShade="99"/>
          <w:insideV w:val="nil"/>
        </w:tcBorders>
        <w:shd w:val="clear" w:color="auto" w:fill="0044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55" w:themeFill="accent1" w:themeFillShade="99"/>
      </w:tcPr>
    </w:tblStylePr>
    <w:tblStylePr w:type="band1Vert">
      <w:tblPr/>
      <w:tcPr>
        <w:shd w:val="clear" w:color="auto" w:fill="6CE1FF" w:themeFill="accent1" w:themeFillTint="66"/>
      </w:tcPr>
    </w:tblStylePr>
    <w:tblStylePr w:type="band1Horz">
      <w:tblPr/>
      <w:tcPr>
        <w:shd w:val="clear" w:color="auto" w:fill="48D9FF" w:themeFill="accent1" w:themeFillTint="7F"/>
      </w:tcPr>
    </w:tblStylePr>
    <w:tblStylePr w:type="neCell">
      <w:rPr>
        <w:color w:val="00728F" w:themeColor="text1"/>
      </w:rPr>
    </w:tblStylePr>
    <w:tblStylePr w:type="nwCell">
      <w:rPr>
        <w:color w:val="00728F" w:themeColor="text1"/>
      </w:rPr>
    </w:tblStylePr>
  </w:style>
  <w:style w:type="table" w:styleId="ColorfulShading-Accent2">
    <w:name w:val="Colorful Shading Accent 2"/>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B7DDE8" w:themeColor="accent2"/>
        <w:bottom w:val="single" w:sz="4" w:space="0" w:color="B7DDE8" w:themeColor="accent2"/>
        <w:right w:val="single" w:sz="4" w:space="0" w:color="B7DDE8" w:themeColor="accent2"/>
        <w:insideH w:val="single" w:sz="4" w:space="0" w:color="FFFFFF" w:themeColor="background1"/>
        <w:insideV w:val="single" w:sz="4" w:space="0" w:color="FFFFFF" w:themeColor="background1"/>
      </w:tblBorders>
    </w:tblPr>
    <w:tcPr>
      <w:shd w:val="clear" w:color="auto" w:fill="F7FBFC" w:themeFill="accent2"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9FBC" w:themeFill="accent2" w:themeFillShade="99"/>
      </w:tcPr>
    </w:tblStylePr>
    <w:tblStylePr w:type="firstCol">
      <w:rPr>
        <w:color w:val="FFFFFF" w:themeColor="background1"/>
      </w:rPr>
      <w:tblPr/>
      <w:tcPr>
        <w:tcBorders>
          <w:top w:val="nil"/>
          <w:left w:val="nil"/>
          <w:bottom w:val="nil"/>
          <w:right w:val="nil"/>
          <w:insideH w:val="single" w:sz="4" w:space="0" w:color="3C9FBC" w:themeColor="accent2" w:themeShade="99"/>
          <w:insideV w:val="nil"/>
        </w:tcBorders>
        <w:shd w:val="clear" w:color="auto" w:fill="3C9FB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9FBC" w:themeFill="accent2" w:themeFillShade="99"/>
      </w:tcPr>
    </w:tblStylePr>
    <w:tblStylePr w:type="band1Vert">
      <w:tblPr/>
      <w:tcPr>
        <w:shd w:val="clear" w:color="auto" w:fill="E2F1F5" w:themeFill="accent2" w:themeFillTint="66"/>
      </w:tcPr>
    </w:tblStylePr>
    <w:tblStylePr w:type="band1Horz">
      <w:tblPr/>
      <w:tcPr>
        <w:shd w:val="clear" w:color="auto" w:fill="DBEEF3" w:themeFill="accent2" w:themeFillTint="7F"/>
      </w:tcPr>
    </w:tblStylePr>
    <w:tblStylePr w:type="neCell">
      <w:rPr>
        <w:color w:val="00728F" w:themeColor="text1"/>
      </w:rPr>
    </w:tblStylePr>
    <w:tblStylePr w:type="nwCell">
      <w:rPr>
        <w:color w:val="00728F" w:themeColor="text1"/>
      </w:rPr>
    </w:tblStylePr>
  </w:style>
  <w:style w:type="table" w:styleId="ColorfulShading-Accent3">
    <w:name w:val="Colorful Shading Accent 3"/>
    <w:basedOn w:val="TableNormal"/>
    <w:uiPriority w:val="99"/>
    <w:semiHidden/>
    <w:rsid w:val="00361DEB"/>
    <w:pPr>
      <w:spacing w:after="0"/>
    </w:pPr>
    <w:rPr>
      <w:color w:val="00728F" w:themeColor="text1"/>
    </w:rPr>
    <w:tblPr>
      <w:tblStyleRowBandSize w:val="1"/>
      <w:tblStyleColBandSize w:val="1"/>
      <w:tblBorders>
        <w:top w:val="single" w:sz="24" w:space="0" w:color="92CDDC" w:themeColor="accent4"/>
        <w:left w:val="single" w:sz="4" w:space="0" w:color="DBEEF3" w:themeColor="accent3"/>
        <w:bottom w:val="single" w:sz="4" w:space="0" w:color="DBEEF3" w:themeColor="accent3"/>
        <w:right w:val="single" w:sz="4" w:space="0" w:color="DBEEF3" w:themeColor="accent3"/>
        <w:insideH w:val="single" w:sz="4" w:space="0" w:color="FFFFFF" w:themeColor="background1"/>
        <w:insideV w:val="single" w:sz="4" w:space="0" w:color="FFFFFF" w:themeColor="background1"/>
      </w:tblBorders>
    </w:tblPr>
    <w:tcPr>
      <w:shd w:val="clear" w:color="auto" w:fill="FBFDFD" w:themeFill="accent3" w:themeFillTint="19"/>
    </w:tcPr>
    <w:tblStylePr w:type="firstRow">
      <w:rPr>
        <w:b/>
        <w:bCs/>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ACC4" w:themeFill="accent3" w:themeFillShade="99"/>
      </w:tcPr>
    </w:tblStylePr>
    <w:tblStylePr w:type="firstCol">
      <w:rPr>
        <w:color w:val="FFFFFF" w:themeColor="background1"/>
      </w:rPr>
      <w:tblPr/>
      <w:tcPr>
        <w:tcBorders>
          <w:top w:val="nil"/>
          <w:left w:val="nil"/>
          <w:bottom w:val="nil"/>
          <w:right w:val="nil"/>
          <w:insideH w:val="single" w:sz="4" w:space="0" w:color="50ACC4" w:themeColor="accent3" w:themeShade="99"/>
          <w:insideV w:val="nil"/>
        </w:tcBorders>
        <w:shd w:val="clear" w:color="auto" w:fill="50ACC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ACC4" w:themeFill="accent3" w:themeFillShade="99"/>
      </w:tcPr>
    </w:tblStylePr>
    <w:tblStylePr w:type="band1Vert">
      <w:tblPr/>
      <w:tcPr>
        <w:shd w:val="clear" w:color="auto" w:fill="F0F8FA" w:themeFill="accent3" w:themeFillTint="66"/>
      </w:tcPr>
    </w:tblStylePr>
    <w:tblStylePr w:type="band1Horz">
      <w:tblPr/>
      <w:tcPr>
        <w:shd w:val="clear" w:color="auto" w:fill="EDF6F9" w:themeFill="accent3" w:themeFillTint="7F"/>
      </w:tcPr>
    </w:tblStylePr>
  </w:style>
  <w:style w:type="table" w:styleId="ColorfulShading-Accent4">
    <w:name w:val="Colorful Shading Accent 4"/>
    <w:basedOn w:val="TableNormal"/>
    <w:uiPriority w:val="99"/>
    <w:semiHidden/>
    <w:rsid w:val="00361DEB"/>
    <w:pPr>
      <w:spacing w:after="0"/>
    </w:pPr>
    <w:rPr>
      <w:color w:val="00728F" w:themeColor="text1"/>
    </w:rPr>
    <w:tblPr>
      <w:tblStyleRowBandSize w:val="1"/>
      <w:tblStyleColBandSize w:val="1"/>
      <w:tblBorders>
        <w:top w:val="single" w:sz="24" w:space="0" w:color="DBEEF3" w:themeColor="accent3"/>
        <w:left w:val="single" w:sz="4" w:space="0" w:color="92CDDC" w:themeColor="accent4"/>
        <w:bottom w:val="single" w:sz="4" w:space="0" w:color="92CDDC" w:themeColor="accent4"/>
        <w:right w:val="single" w:sz="4" w:space="0" w:color="92CDDC" w:themeColor="accent4"/>
        <w:insideH w:val="single" w:sz="4" w:space="0" w:color="FFFFFF" w:themeColor="background1"/>
        <w:insideV w:val="single" w:sz="4" w:space="0" w:color="FFFFFF" w:themeColor="background1"/>
      </w:tblBorders>
    </w:tblPr>
    <w:tcPr>
      <w:shd w:val="clear" w:color="auto" w:fill="F4FAFB" w:themeFill="accent4" w:themeFillTint="19"/>
    </w:tcPr>
    <w:tblStylePr w:type="firstRow">
      <w:rPr>
        <w:b/>
        <w:bCs/>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8FA6" w:themeFill="accent4" w:themeFillShade="99"/>
      </w:tcPr>
    </w:tblStylePr>
    <w:tblStylePr w:type="firstCol">
      <w:rPr>
        <w:color w:val="FFFFFF" w:themeColor="background1"/>
      </w:rPr>
      <w:tblPr/>
      <w:tcPr>
        <w:tcBorders>
          <w:top w:val="nil"/>
          <w:left w:val="nil"/>
          <w:bottom w:val="nil"/>
          <w:right w:val="nil"/>
          <w:insideH w:val="single" w:sz="4" w:space="0" w:color="358FA6" w:themeColor="accent4" w:themeShade="99"/>
          <w:insideV w:val="nil"/>
        </w:tcBorders>
        <w:shd w:val="clear" w:color="auto" w:fill="358FA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58FA6" w:themeFill="accent4" w:themeFillShade="99"/>
      </w:tcPr>
    </w:tblStylePr>
    <w:tblStylePr w:type="band1Vert">
      <w:tblPr/>
      <w:tcPr>
        <w:shd w:val="clear" w:color="auto" w:fill="D3EAF1" w:themeFill="accent4" w:themeFillTint="66"/>
      </w:tcPr>
    </w:tblStylePr>
    <w:tblStylePr w:type="band1Horz">
      <w:tblPr/>
      <w:tcPr>
        <w:shd w:val="clear" w:color="auto" w:fill="C8E5ED" w:themeFill="accent4" w:themeFillTint="7F"/>
      </w:tcPr>
    </w:tblStylePr>
    <w:tblStylePr w:type="neCell">
      <w:rPr>
        <w:color w:val="00728F" w:themeColor="text1"/>
      </w:rPr>
    </w:tblStylePr>
    <w:tblStylePr w:type="nwCell">
      <w:rPr>
        <w:color w:val="00728F" w:themeColor="text1"/>
      </w:rPr>
    </w:tblStylePr>
  </w:style>
  <w:style w:type="table" w:styleId="ColorfulShading-Accent5">
    <w:name w:val="Colorful Shading Accent 5"/>
    <w:basedOn w:val="TableNormal"/>
    <w:uiPriority w:val="99"/>
    <w:semiHidden/>
    <w:rsid w:val="00361DEB"/>
    <w:pPr>
      <w:spacing w:after="0"/>
    </w:pPr>
    <w:rPr>
      <w:color w:val="00728F" w:themeColor="text1"/>
    </w:rPr>
    <w:tblPr>
      <w:tblStyleRowBandSize w:val="1"/>
      <w:tblStyleColBandSize w:val="1"/>
      <w:tblBorders>
        <w:top w:val="single" w:sz="24" w:space="0" w:color="64B8CE" w:themeColor="accent6"/>
        <w:left w:val="single" w:sz="4" w:space="0" w:color="31859B" w:themeColor="accent5"/>
        <w:bottom w:val="single" w:sz="4" w:space="0" w:color="31859B" w:themeColor="accent5"/>
        <w:right w:val="single" w:sz="4" w:space="0" w:color="31859B" w:themeColor="accent5"/>
        <w:insideH w:val="single" w:sz="4" w:space="0" w:color="FFFFFF" w:themeColor="background1"/>
        <w:insideV w:val="single" w:sz="4" w:space="0" w:color="FFFFFF" w:themeColor="background1"/>
      </w:tblBorders>
    </w:tblPr>
    <w:tcPr>
      <w:shd w:val="clear" w:color="auto" w:fill="E8F4F7" w:themeFill="accent5" w:themeFillTint="19"/>
    </w:tcPr>
    <w:tblStylePr w:type="firstRow">
      <w:rPr>
        <w:b/>
        <w:bCs/>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F5C" w:themeFill="accent5" w:themeFillShade="99"/>
      </w:tcPr>
    </w:tblStylePr>
    <w:tblStylePr w:type="firstCol">
      <w:rPr>
        <w:color w:val="FFFFFF" w:themeColor="background1"/>
      </w:rPr>
      <w:tblPr/>
      <w:tcPr>
        <w:tcBorders>
          <w:top w:val="nil"/>
          <w:left w:val="nil"/>
          <w:bottom w:val="nil"/>
          <w:right w:val="nil"/>
          <w:insideH w:val="single" w:sz="4" w:space="0" w:color="1D4F5C" w:themeColor="accent5" w:themeShade="99"/>
          <w:insideV w:val="nil"/>
        </w:tcBorders>
        <w:shd w:val="clear" w:color="auto" w:fill="1D4F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D4F5C" w:themeFill="accent5" w:themeFillShade="99"/>
      </w:tcPr>
    </w:tblStylePr>
    <w:tblStylePr w:type="band1Vert">
      <w:tblPr/>
      <w:tcPr>
        <w:shd w:val="clear" w:color="auto" w:fill="A1D4E1" w:themeFill="accent5" w:themeFillTint="66"/>
      </w:tcPr>
    </w:tblStylePr>
    <w:tblStylePr w:type="band1Horz">
      <w:tblPr/>
      <w:tcPr>
        <w:shd w:val="clear" w:color="auto" w:fill="8BC9DA" w:themeFill="accent5" w:themeFillTint="7F"/>
      </w:tcPr>
    </w:tblStylePr>
    <w:tblStylePr w:type="neCell">
      <w:rPr>
        <w:color w:val="00728F" w:themeColor="text1"/>
      </w:rPr>
    </w:tblStylePr>
    <w:tblStylePr w:type="nwCell">
      <w:rPr>
        <w:color w:val="00728F" w:themeColor="text1"/>
      </w:rPr>
    </w:tblStylePr>
  </w:style>
  <w:style w:type="table" w:styleId="ColorfulShading-Accent6">
    <w:name w:val="Colorful Shading Accent 6"/>
    <w:basedOn w:val="TableNormal"/>
    <w:uiPriority w:val="99"/>
    <w:semiHidden/>
    <w:rsid w:val="00361DEB"/>
    <w:pPr>
      <w:spacing w:after="0"/>
    </w:pPr>
    <w:rPr>
      <w:color w:val="00728F" w:themeColor="text1"/>
    </w:rPr>
    <w:tblPr>
      <w:tblStyleRowBandSize w:val="1"/>
      <w:tblStyleColBandSize w:val="1"/>
      <w:tblBorders>
        <w:top w:val="single" w:sz="24" w:space="0" w:color="31859B" w:themeColor="accent5"/>
        <w:left w:val="single" w:sz="4" w:space="0" w:color="64B8CE" w:themeColor="accent6"/>
        <w:bottom w:val="single" w:sz="4" w:space="0" w:color="64B8CE" w:themeColor="accent6"/>
        <w:right w:val="single" w:sz="4" w:space="0" w:color="64B8CE" w:themeColor="accent6"/>
        <w:insideH w:val="single" w:sz="4" w:space="0" w:color="FFFFFF" w:themeColor="background1"/>
        <w:insideV w:val="single" w:sz="4" w:space="0" w:color="FFFFFF" w:themeColor="background1"/>
      </w:tblBorders>
    </w:tblPr>
    <w:tcPr>
      <w:shd w:val="clear" w:color="auto" w:fill="EFF8FA" w:themeFill="accent6" w:themeFillTint="19"/>
    </w:tcPr>
    <w:tblStylePr w:type="firstRow">
      <w:rPr>
        <w:b/>
        <w:bCs/>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78B" w:themeFill="accent6" w:themeFillShade="99"/>
      </w:tcPr>
    </w:tblStylePr>
    <w:tblStylePr w:type="firstCol">
      <w:rPr>
        <w:color w:val="FFFFFF" w:themeColor="background1"/>
      </w:rPr>
      <w:tblPr/>
      <w:tcPr>
        <w:tcBorders>
          <w:top w:val="nil"/>
          <w:left w:val="nil"/>
          <w:bottom w:val="nil"/>
          <w:right w:val="nil"/>
          <w:insideH w:val="single" w:sz="4" w:space="0" w:color="2C778B" w:themeColor="accent6" w:themeShade="99"/>
          <w:insideV w:val="nil"/>
        </w:tcBorders>
        <w:shd w:val="clear" w:color="auto" w:fill="2C778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C778B" w:themeFill="accent6" w:themeFillShade="99"/>
      </w:tcPr>
    </w:tblStylePr>
    <w:tblStylePr w:type="band1Vert">
      <w:tblPr/>
      <w:tcPr>
        <w:shd w:val="clear" w:color="auto" w:fill="C0E2EB" w:themeFill="accent6" w:themeFillTint="66"/>
      </w:tcPr>
    </w:tblStylePr>
    <w:tblStylePr w:type="band1Horz">
      <w:tblPr/>
      <w:tcPr>
        <w:shd w:val="clear" w:color="auto" w:fill="B1DBE6" w:themeFill="accent6" w:themeFillTint="7F"/>
      </w:tcPr>
    </w:tblStylePr>
    <w:tblStylePr w:type="neCell">
      <w:rPr>
        <w:color w:val="00728F" w:themeColor="text1"/>
      </w:rPr>
    </w:tblStylePr>
    <w:tblStylePr w:type="nwCell">
      <w:rPr>
        <w:color w:val="00728F" w:themeColor="text1"/>
      </w:rPr>
    </w:tblStylePr>
  </w:style>
  <w:style w:type="table" w:customStyle="1" w:styleId="DarkList1">
    <w:name w:val="Dark List1"/>
    <w:basedOn w:val="TableNormal"/>
    <w:uiPriority w:val="99"/>
    <w:semiHidden/>
    <w:rsid w:val="00361DEB"/>
    <w:pPr>
      <w:spacing w:after="0"/>
    </w:pPr>
    <w:rPr>
      <w:color w:val="FFFFFF" w:themeColor="background1"/>
    </w:rPr>
    <w:tblPr>
      <w:tblStyleRowBandSize w:val="1"/>
      <w:tblStyleColBandSize w:val="1"/>
    </w:tblPr>
    <w:tcPr>
      <w:shd w:val="clear" w:color="auto" w:fill="00728F"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text1" w:themeFillShade="BF"/>
      </w:tcPr>
    </w:tblStylePr>
    <w:tblStylePr w:type="band1Vert">
      <w:tblPr/>
      <w:tcPr>
        <w:tcBorders>
          <w:top w:val="nil"/>
          <w:left w:val="nil"/>
          <w:bottom w:val="nil"/>
          <w:right w:val="nil"/>
          <w:insideH w:val="nil"/>
          <w:insideV w:val="nil"/>
        </w:tcBorders>
        <w:shd w:val="clear" w:color="auto" w:fill="00556B" w:themeFill="text1" w:themeFillShade="BF"/>
      </w:tcPr>
    </w:tblStylePr>
    <w:tblStylePr w:type="band1Horz">
      <w:tblPr/>
      <w:tcPr>
        <w:tcBorders>
          <w:top w:val="nil"/>
          <w:left w:val="nil"/>
          <w:bottom w:val="nil"/>
          <w:right w:val="nil"/>
          <w:insideH w:val="nil"/>
          <w:insideV w:val="nil"/>
        </w:tcBorders>
        <w:shd w:val="clear" w:color="auto" w:fill="00556B" w:themeFill="text1" w:themeFillShade="BF"/>
      </w:tcPr>
    </w:tblStylePr>
  </w:style>
  <w:style w:type="table" w:styleId="DarkList-Accent1">
    <w:name w:val="Dark List Accent 1"/>
    <w:basedOn w:val="TableNormal"/>
    <w:uiPriority w:val="99"/>
    <w:semiHidden/>
    <w:rsid w:val="00361DEB"/>
    <w:pPr>
      <w:spacing w:after="0"/>
    </w:pPr>
    <w:rPr>
      <w:color w:val="FFFFFF" w:themeColor="background1"/>
    </w:rPr>
    <w:tblPr>
      <w:tblStyleRowBandSize w:val="1"/>
      <w:tblStyleColBandSize w:val="1"/>
    </w:tblPr>
    <w:tcPr>
      <w:shd w:val="clear" w:color="auto" w:fill="0072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accent1" w:themeFillShade="BF"/>
      </w:tcPr>
    </w:tblStylePr>
    <w:tblStylePr w:type="band1Vert">
      <w:tblPr/>
      <w:tcPr>
        <w:tcBorders>
          <w:top w:val="nil"/>
          <w:left w:val="nil"/>
          <w:bottom w:val="nil"/>
          <w:right w:val="nil"/>
          <w:insideH w:val="nil"/>
          <w:insideV w:val="nil"/>
        </w:tcBorders>
        <w:shd w:val="clear" w:color="auto" w:fill="00556B" w:themeFill="accent1" w:themeFillShade="BF"/>
      </w:tcPr>
    </w:tblStylePr>
    <w:tblStylePr w:type="band1Horz">
      <w:tblPr/>
      <w:tcPr>
        <w:tcBorders>
          <w:top w:val="nil"/>
          <w:left w:val="nil"/>
          <w:bottom w:val="nil"/>
          <w:right w:val="nil"/>
          <w:insideH w:val="nil"/>
          <w:insideV w:val="nil"/>
        </w:tcBorders>
        <w:shd w:val="clear" w:color="auto" w:fill="00556B" w:themeFill="accent1" w:themeFillShade="BF"/>
      </w:tcPr>
    </w:tblStylePr>
  </w:style>
  <w:style w:type="table" w:styleId="DarkList-Accent2">
    <w:name w:val="Dark List Accent 2"/>
    <w:basedOn w:val="TableNormal"/>
    <w:uiPriority w:val="99"/>
    <w:semiHidden/>
    <w:rsid w:val="00361DEB"/>
    <w:pPr>
      <w:spacing w:after="0"/>
    </w:pPr>
    <w:rPr>
      <w:color w:val="FFFFFF" w:themeColor="background1"/>
    </w:rPr>
    <w:tblPr>
      <w:tblStyleRowBandSize w:val="1"/>
      <w:tblStyleColBandSize w:val="1"/>
    </w:tblPr>
    <w:tcPr>
      <w:shd w:val="clear" w:color="auto" w:fill="B7DDE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2849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B7C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B7CE" w:themeFill="accent2" w:themeFillShade="BF"/>
      </w:tcPr>
    </w:tblStylePr>
    <w:tblStylePr w:type="band1Vert">
      <w:tblPr/>
      <w:tcPr>
        <w:tcBorders>
          <w:top w:val="nil"/>
          <w:left w:val="nil"/>
          <w:bottom w:val="nil"/>
          <w:right w:val="nil"/>
          <w:insideH w:val="nil"/>
          <w:insideV w:val="nil"/>
        </w:tcBorders>
        <w:shd w:val="clear" w:color="auto" w:fill="67B7CE" w:themeFill="accent2" w:themeFillShade="BF"/>
      </w:tcPr>
    </w:tblStylePr>
    <w:tblStylePr w:type="band1Horz">
      <w:tblPr/>
      <w:tcPr>
        <w:tcBorders>
          <w:top w:val="nil"/>
          <w:left w:val="nil"/>
          <w:bottom w:val="nil"/>
          <w:right w:val="nil"/>
          <w:insideH w:val="nil"/>
          <w:insideV w:val="nil"/>
        </w:tcBorders>
        <w:shd w:val="clear" w:color="auto" w:fill="67B7CE" w:themeFill="accent2" w:themeFillShade="BF"/>
      </w:tcPr>
    </w:tblStylePr>
  </w:style>
  <w:style w:type="table" w:styleId="DarkList-Accent3">
    <w:name w:val="Dark List Accent 3"/>
    <w:basedOn w:val="TableNormal"/>
    <w:uiPriority w:val="99"/>
    <w:semiHidden/>
    <w:rsid w:val="00361DEB"/>
    <w:pPr>
      <w:spacing w:after="0"/>
    </w:pPr>
    <w:rPr>
      <w:color w:val="FFFFFF" w:themeColor="background1"/>
    </w:rPr>
    <w:tblPr>
      <w:tblStyleRowBandSize w:val="1"/>
      <w:tblStyleColBandSize w:val="1"/>
    </w:tblPr>
    <w:tcPr>
      <w:shd w:val="clear" w:color="auto" w:fill="DBEEF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994A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C4D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C4D6" w:themeFill="accent3" w:themeFillShade="BF"/>
      </w:tcPr>
    </w:tblStylePr>
    <w:tblStylePr w:type="band1Vert">
      <w:tblPr/>
      <w:tcPr>
        <w:tcBorders>
          <w:top w:val="nil"/>
          <w:left w:val="nil"/>
          <w:bottom w:val="nil"/>
          <w:right w:val="nil"/>
          <w:insideH w:val="nil"/>
          <w:insideV w:val="nil"/>
        </w:tcBorders>
        <w:shd w:val="clear" w:color="auto" w:fill="84C4D6" w:themeFill="accent3" w:themeFillShade="BF"/>
      </w:tcPr>
    </w:tblStylePr>
    <w:tblStylePr w:type="band1Horz">
      <w:tblPr/>
      <w:tcPr>
        <w:tcBorders>
          <w:top w:val="nil"/>
          <w:left w:val="nil"/>
          <w:bottom w:val="nil"/>
          <w:right w:val="nil"/>
          <w:insideH w:val="nil"/>
          <w:insideV w:val="nil"/>
        </w:tcBorders>
        <w:shd w:val="clear" w:color="auto" w:fill="84C4D6" w:themeFill="accent3" w:themeFillShade="BF"/>
      </w:tcPr>
    </w:tblStylePr>
  </w:style>
  <w:style w:type="table" w:styleId="DarkList-Accent4">
    <w:name w:val="Dark List Accent 4"/>
    <w:basedOn w:val="TableNormal"/>
    <w:uiPriority w:val="99"/>
    <w:semiHidden/>
    <w:rsid w:val="00361DEB"/>
    <w:pPr>
      <w:spacing w:after="0"/>
    </w:pPr>
    <w:rPr>
      <w:color w:val="FFFFFF" w:themeColor="background1"/>
    </w:rPr>
    <w:tblPr>
      <w:tblStyleRowBandSize w:val="1"/>
      <w:tblStyleColBandSize w:val="1"/>
    </w:tblPr>
    <w:tcPr>
      <w:shd w:val="clear" w:color="auto" w:fill="92C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C768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ACC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ACC5" w:themeFill="accent4" w:themeFillShade="BF"/>
      </w:tcPr>
    </w:tblStylePr>
    <w:tblStylePr w:type="band1Vert">
      <w:tblPr/>
      <w:tcPr>
        <w:tcBorders>
          <w:top w:val="nil"/>
          <w:left w:val="nil"/>
          <w:bottom w:val="nil"/>
          <w:right w:val="nil"/>
          <w:insideH w:val="nil"/>
          <w:insideV w:val="nil"/>
        </w:tcBorders>
        <w:shd w:val="clear" w:color="auto" w:fill="4CACC5" w:themeFill="accent4" w:themeFillShade="BF"/>
      </w:tcPr>
    </w:tblStylePr>
    <w:tblStylePr w:type="band1Horz">
      <w:tblPr/>
      <w:tcPr>
        <w:tcBorders>
          <w:top w:val="nil"/>
          <w:left w:val="nil"/>
          <w:bottom w:val="nil"/>
          <w:right w:val="nil"/>
          <w:insideH w:val="nil"/>
          <w:insideV w:val="nil"/>
        </w:tcBorders>
        <w:shd w:val="clear" w:color="auto" w:fill="4CACC5" w:themeFill="accent4" w:themeFillShade="BF"/>
      </w:tcPr>
    </w:tblStylePr>
  </w:style>
  <w:style w:type="table" w:styleId="DarkList-Accent5">
    <w:name w:val="Dark List Accent 5"/>
    <w:basedOn w:val="TableNormal"/>
    <w:uiPriority w:val="99"/>
    <w:semiHidden/>
    <w:rsid w:val="00361DEB"/>
    <w:pPr>
      <w:spacing w:after="0"/>
    </w:pPr>
    <w:rPr>
      <w:color w:val="FFFFFF" w:themeColor="background1"/>
    </w:rPr>
    <w:tblPr>
      <w:tblStyleRowBandSize w:val="1"/>
      <w:tblStyleColBandSize w:val="1"/>
    </w:tblPr>
    <w:tcPr>
      <w:shd w:val="clear" w:color="auto" w:fill="31859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18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463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46373" w:themeFill="accent5" w:themeFillShade="BF"/>
      </w:tcPr>
    </w:tblStylePr>
    <w:tblStylePr w:type="band1Vert">
      <w:tblPr/>
      <w:tcPr>
        <w:tcBorders>
          <w:top w:val="nil"/>
          <w:left w:val="nil"/>
          <w:bottom w:val="nil"/>
          <w:right w:val="nil"/>
          <w:insideH w:val="nil"/>
          <w:insideV w:val="nil"/>
        </w:tcBorders>
        <w:shd w:val="clear" w:color="auto" w:fill="246373" w:themeFill="accent5" w:themeFillShade="BF"/>
      </w:tcPr>
    </w:tblStylePr>
    <w:tblStylePr w:type="band1Horz">
      <w:tblPr/>
      <w:tcPr>
        <w:tcBorders>
          <w:top w:val="nil"/>
          <w:left w:val="nil"/>
          <w:bottom w:val="nil"/>
          <w:right w:val="nil"/>
          <w:insideH w:val="nil"/>
          <w:insideV w:val="nil"/>
        </w:tcBorders>
        <w:shd w:val="clear" w:color="auto" w:fill="246373" w:themeFill="accent5" w:themeFillShade="BF"/>
      </w:tcPr>
    </w:tblStylePr>
  </w:style>
  <w:style w:type="table" w:styleId="DarkList-Accent6">
    <w:name w:val="Dark List Accent 6"/>
    <w:basedOn w:val="TableNormal"/>
    <w:uiPriority w:val="99"/>
    <w:semiHidden/>
    <w:rsid w:val="00361DEB"/>
    <w:pPr>
      <w:spacing w:after="0"/>
    </w:pPr>
    <w:rPr>
      <w:color w:val="FFFFFF" w:themeColor="background1"/>
    </w:rPr>
    <w:tblPr>
      <w:tblStyleRowBandSize w:val="1"/>
      <w:tblStyleColBandSize w:val="1"/>
    </w:tblPr>
    <w:tcPr>
      <w:shd w:val="clear" w:color="auto" w:fill="64B8C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4637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795A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795AD" w:themeFill="accent6" w:themeFillShade="BF"/>
      </w:tcPr>
    </w:tblStylePr>
    <w:tblStylePr w:type="band1Vert">
      <w:tblPr/>
      <w:tcPr>
        <w:tcBorders>
          <w:top w:val="nil"/>
          <w:left w:val="nil"/>
          <w:bottom w:val="nil"/>
          <w:right w:val="nil"/>
          <w:insideH w:val="nil"/>
          <w:insideV w:val="nil"/>
        </w:tcBorders>
        <w:shd w:val="clear" w:color="auto" w:fill="3795AD" w:themeFill="accent6" w:themeFillShade="BF"/>
      </w:tcPr>
    </w:tblStylePr>
    <w:tblStylePr w:type="band1Horz">
      <w:tblPr/>
      <w:tcPr>
        <w:tcBorders>
          <w:top w:val="nil"/>
          <w:left w:val="nil"/>
          <w:bottom w:val="nil"/>
          <w:right w:val="nil"/>
          <w:insideH w:val="nil"/>
          <w:insideV w:val="nil"/>
        </w:tcBorders>
        <w:shd w:val="clear" w:color="auto" w:fill="3795AD" w:themeFill="accent6" w:themeFillShade="BF"/>
      </w:tcPr>
    </w:tblStylePr>
  </w:style>
  <w:style w:type="table" w:customStyle="1" w:styleId="LightGrid1">
    <w:name w:val="Light Grid1"/>
    <w:basedOn w:val="TableNormal"/>
    <w:uiPriority w:val="99"/>
    <w:semiHidden/>
    <w:rsid w:val="00361DEB"/>
    <w:pPr>
      <w:spacing w:after="0"/>
    </w:p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18" w:space="0" w:color="00728F" w:themeColor="text1"/>
          <w:right w:val="single" w:sz="8" w:space="0" w:color="00728F" w:themeColor="text1"/>
          <w:insideH w:val="nil"/>
          <w:insideV w:val="single" w:sz="8" w:space="0" w:color="00728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insideH w:val="nil"/>
          <w:insideV w:val="single" w:sz="8" w:space="0" w:color="00728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shd w:val="clear" w:color="auto" w:fill="A4ECFF" w:themeFill="text1" w:themeFillTint="3F"/>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shd w:val="clear" w:color="auto" w:fill="A4ECFF" w:themeFill="text1" w:themeFillTint="3F"/>
      </w:tcPr>
    </w:tblStylePr>
    <w:tblStylePr w:type="band2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tcPr>
    </w:tblStylePr>
  </w:style>
  <w:style w:type="table" w:customStyle="1" w:styleId="LightGrid-Accent11">
    <w:name w:val="Light Grid - Accent 11"/>
    <w:basedOn w:val="TableNormal"/>
    <w:uiPriority w:val="99"/>
    <w:semiHidden/>
    <w:rsid w:val="00361DEB"/>
    <w:pPr>
      <w:spacing w:after="0"/>
    </w:p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18" w:space="0" w:color="00728F" w:themeColor="accent1"/>
          <w:right w:val="single" w:sz="8" w:space="0" w:color="00728F" w:themeColor="accent1"/>
          <w:insideH w:val="nil"/>
          <w:insideV w:val="single" w:sz="8" w:space="0" w:color="0072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insideH w:val="nil"/>
          <w:insideV w:val="single" w:sz="8" w:space="0" w:color="0072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shd w:val="clear" w:color="auto" w:fill="A4ECFF" w:themeFill="accent1" w:themeFillTint="3F"/>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shd w:val="clear" w:color="auto" w:fill="A4ECFF" w:themeFill="accent1" w:themeFillTint="3F"/>
      </w:tcPr>
    </w:tblStylePr>
    <w:tblStylePr w:type="band2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tcPr>
    </w:tblStylePr>
  </w:style>
  <w:style w:type="table" w:styleId="LightGrid-Accent2">
    <w:name w:val="Light Grid Accent 2"/>
    <w:basedOn w:val="TableNormal"/>
    <w:uiPriority w:val="99"/>
    <w:semiHidden/>
    <w:rsid w:val="00361DEB"/>
    <w:pPr>
      <w:spacing w:after="0"/>
    </w:p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18" w:space="0" w:color="B7DDE8" w:themeColor="accent2"/>
          <w:right w:val="single" w:sz="8" w:space="0" w:color="B7DDE8" w:themeColor="accent2"/>
          <w:insideH w:val="nil"/>
          <w:insideV w:val="single" w:sz="8" w:space="0" w:color="B7DD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insideH w:val="nil"/>
          <w:insideV w:val="single" w:sz="8" w:space="0" w:color="B7DD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shd w:val="clear" w:color="auto" w:fill="EDF6F9" w:themeFill="accent2" w:themeFillTint="3F"/>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shd w:val="clear" w:color="auto" w:fill="EDF6F9" w:themeFill="accent2" w:themeFillTint="3F"/>
      </w:tcPr>
    </w:tblStylePr>
    <w:tblStylePr w:type="band2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tcPr>
    </w:tblStylePr>
  </w:style>
  <w:style w:type="table" w:styleId="LightGrid-Accent3">
    <w:name w:val="Light Grid Accent 3"/>
    <w:basedOn w:val="TableNormal"/>
    <w:uiPriority w:val="99"/>
    <w:semiHidden/>
    <w:rsid w:val="00361DEB"/>
    <w:pPr>
      <w:spacing w:after="0"/>
    </w:p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18" w:space="0" w:color="DBEEF3" w:themeColor="accent3"/>
          <w:right w:val="single" w:sz="8" w:space="0" w:color="DBEEF3" w:themeColor="accent3"/>
          <w:insideH w:val="nil"/>
          <w:insideV w:val="single" w:sz="8" w:space="0" w:color="DBEEF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insideH w:val="nil"/>
          <w:insideV w:val="single" w:sz="8" w:space="0" w:color="DBEEF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shd w:val="clear" w:color="auto" w:fill="F6FAFC" w:themeFill="accent3" w:themeFillTint="3F"/>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shd w:val="clear" w:color="auto" w:fill="F6FAFC" w:themeFill="accent3" w:themeFillTint="3F"/>
      </w:tcPr>
    </w:tblStylePr>
    <w:tblStylePr w:type="band2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tcPr>
    </w:tblStylePr>
  </w:style>
  <w:style w:type="table" w:styleId="LightGrid-Accent4">
    <w:name w:val="Light Grid Accent 4"/>
    <w:basedOn w:val="TableNormal"/>
    <w:uiPriority w:val="99"/>
    <w:semiHidden/>
    <w:rsid w:val="00361DEB"/>
    <w:pPr>
      <w:spacing w:after="0"/>
    </w:p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18" w:space="0" w:color="92CDDC" w:themeColor="accent4"/>
          <w:right w:val="single" w:sz="8" w:space="0" w:color="92CDDC" w:themeColor="accent4"/>
          <w:insideH w:val="nil"/>
          <w:insideV w:val="single" w:sz="8" w:space="0" w:color="92CD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insideH w:val="nil"/>
          <w:insideV w:val="single" w:sz="8" w:space="0" w:color="92CD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shd w:val="clear" w:color="auto" w:fill="E4F2F6" w:themeFill="accent4" w:themeFillTint="3F"/>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shd w:val="clear" w:color="auto" w:fill="E4F2F6" w:themeFill="accent4" w:themeFillTint="3F"/>
      </w:tcPr>
    </w:tblStylePr>
    <w:tblStylePr w:type="band2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tcPr>
    </w:tblStylePr>
  </w:style>
  <w:style w:type="table" w:styleId="LightGrid-Accent5">
    <w:name w:val="Light Grid Accent 5"/>
    <w:basedOn w:val="TableNormal"/>
    <w:uiPriority w:val="99"/>
    <w:semiHidden/>
    <w:rsid w:val="00361DEB"/>
    <w:pPr>
      <w:spacing w:after="0"/>
    </w:p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18" w:space="0" w:color="31859B" w:themeColor="accent5"/>
          <w:right w:val="single" w:sz="8" w:space="0" w:color="31859B" w:themeColor="accent5"/>
          <w:insideH w:val="nil"/>
          <w:insideV w:val="single" w:sz="8" w:space="0" w:color="31859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insideH w:val="nil"/>
          <w:insideV w:val="single" w:sz="8" w:space="0" w:color="31859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shd w:val="clear" w:color="auto" w:fill="C5E4EC" w:themeFill="accent5" w:themeFillTint="3F"/>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shd w:val="clear" w:color="auto" w:fill="C5E4EC" w:themeFill="accent5" w:themeFillTint="3F"/>
      </w:tcPr>
    </w:tblStylePr>
    <w:tblStylePr w:type="band2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tcPr>
    </w:tblStylePr>
  </w:style>
  <w:style w:type="table" w:styleId="LightGrid-Accent6">
    <w:name w:val="Light Grid Accent 6"/>
    <w:basedOn w:val="TableNormal"/>
    <w:uiPriority w:val="99"/>
    <w:semiHidden/>
    <w:rsid w:val="00361DEB"/>
    <w:pPr>
      <w:spacing w:after="0"/>
    </w:p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18" w:space="0" w:color="64B8CE" w:themeColor="accent6"/>
          <w:right w:val="single" w:sz="8" w:space="0" w:color="64B8CE" w:themeColor="accent6"/>
          <w:insideH w:val="nil"/>
          <w:insideV w:val="single" w:sz="8" w:space="0" w:color="64B8C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insideH w:val="nil"/>
          <w:insideV w:val="single" w:sz="8" w:space="0" w:color="64B8C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shd w:val="clear" w:color="auto" w:fill="D8EDF2" w:themeFill="accent6" w:themeFillTint="3F"/>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shd w:val="clear" w:color="auto" w:fill="D8EDF2" w:themeFill="accent6" w:themeFillTint="3F"/>
      </w:tcPr>
    </w:tblStylePr>
    <w:tblStylePr w:type="band2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tcPr>
    </w:tblStylePr>
  </w:style>
  <w:style w:type="table" w:customStyle="1" w:styleId="LightList1">
    <w:name w:val="Light List1"/>
    <w:basedOn w:val="TableNormal"/>
    <w:uiPriority w:val="99"/>
    <w:semiHidden/>
    <w:rsid w:val="00361DEB"/>
    <w:pPr>
      <w:spacing w:after="0"/>
    </w:p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tblBorders>
    </w:tblPr>
    <w:tblStylePr w:type="firstRow">
      <w:pPr>
        <w:spacing w:before="0" w:after="0" w:line="240" w:lineRule="auto"/>
      </w:pPr>
      <w:rPr>
        <w:b/>
        <w:bCs/>
        <w:color w:val="FFFFFF" w:themeColor="background1"/>
      </w:rPr>
      <w:tblPr/>
      <w:tcPr>
        <w:shd w:val="clear" w:color="auto" w:fill="00728F" w:themeFill="text1"/>
      </w:tcPr>
    </w:tblStylePr>
    <w:tblStylePr w:type="lastRow">
      <w:pPr>
        <w:spacing w:before="0" w:after="0" w:line="240" w:lineRule="auto"/>
      </w:pPr>
      <w:rPr>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tcBorders>
      </w:tcPr>
    </w:tblStylePr>
    <w:tblStylePr w:type="firstCol">
      <w:rPr>
        <w:b/>
        <w:bCs/>
      </w:rPr>
    </w:tblStylePr>
    <w:tblStylePr w:type="lastCol">
      <w:rPr>
        <w:b/>
        <w:bCs/>
      </w:r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style>
  <w:style w:type="table" w:customStyle="1" w:styleId="LightList-Accent11">
    <w:name w:val="Light List - Accent 11"/>
    <w:basedOn w:val="TableNormal"/>
    <w:uiPriority w:val="99"/>
    <w:semiHidden/>
    <w:rsid w:val="00361DEB"/>
    <w:pPr>
      <w:spacing w:after="0"/>
    </w:p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tblBorders>
    </w:tblPr>
    <w:tblStylePr w:type="firstRow">
      <w:pPr>
        <w:spacing w:before="0" w:after="0" w:line="240" w:lineRule="auto"/>
      </w:pPr>
      <w:rPr>
        <w:b/>
        <w:bCs/>
        <w:color w:val="FFFFFF" w:themeColor="background1"/>
      </w:rPr>
      <w:tblPr/>
      <w:tcPr>
        <w:shd w:val="clear" w:color="auto" w:fill="00728F" w:themeFill="accent1"/>
      </w:tcPr>
    </w:tblStylePr>
    <w:tblStylePr w:type="lastRow">
      <w:pPr>
        <w:spacing w:before="0" w:after="0" w:line="240" w:lineRule="auto"/>
      </w:pPr>
      <w:rPr>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tcBorders>
      </w:tcPr>
    </w:tblStylePr>
    <w:tblStylePr w:type="firstCol">
      <w:rPr>
        <w:b/>
        <w:bCs/>
      </w:rPr>
    </w:tblStylePr>
    <w:tblStylePr w:type="lastCol">
      <w:rPr>
        <w:b/>
        <w:bCs/>
      </w:r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style>
  <w:style w:type="table" w:styleId="LightList-Accent2">
    <w:name w:val="Light List Accent 2"/>
    <w:basedOn w:val="TableNormal"/>
    <w:uiPriority w:val="99"/>
    <w:semiHidden/>
    <w:rsid w:val="00361DEB"/>
    <w:pPr>
      <w:spacing w:after="0"/>
    </w:p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tblBorders>
    </w:tblPr>
    <w:tblStylePr w:type="firstRow">
      <w:pPr>
        <w:spacing w:before="0" w:after="0" w:line="240" w:lineRule="auto"/>
      </w:pPr>
      <w:rPr>
        <w:b/>
        <w:bCs/>
        <w:color w:val="FFFFFF" w:themeColor="background1"/>
      </w:rPr>
      <w:tblPr/>
      <w:tcPr>
        <w:shd w:val="clear" w:color="auto" w:fill="B7DDE8" w:themeFill="accent2"/>
      </w:tcPr>
    </w:tblStylePr>
    <w:tblStylePr w:type="lastRow">
      <w:pPr>
        <w:spacing w:before="0" w:after="0" w:line="240" w:lineRule="auto"/>
      </w:pPr>
      <w:rPr>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tcBorders>
      </w:tcPr>
    </w:tblStylePr>
    <w:tblStylePr w:type="firstCol">
      <w:rPr>
        <w:b/>
        <w:bCs/>
      </w:rPr>
    </w:tblStylePr>
    <w:tblStylePr w:type="lastCol">
      <w:rPr>
        <w:b/>
        <w:bCs/>
      </w:r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style>
  <w:style w:type="table" w:styleId="LightList-Accent3">
    <w:name w:val="Light List Accent 3"/>
    <w:basedOn w:val="TableNormal"/>
    <w:uiPriority w:val="99"/>
    <w:semiHidden/>
    <w:rsid w:val="00361DEB"/>
    <w:pPr>
      <w:spacing w:after="0"/>
    </w:p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tblBorders>
    </w:tblPr>
    <w:tblStylePr w:type="firstRow">
      <w:pPr>
        <w:spacing w:before="0" w:after="0" w:line="240" w:lineRule="auto"/>
      </w:pPr>
      <w:rPr>
        <w:b/>
        <w:bCs/>
        <w:color w:val="FFFFFF" w:themeColor="background1"/>
      </w:rPr>
      <w:tblPr/>
      <w:tcPr>
        <w:shd w:val="clear" w:color="auto" w:fill="DBEEF3" w:themeFill="accent3"/>
      </w:tcPr>
    </w:tblStylePr>
    <w:tblStylePr w:type="lastRow">
      <w:pPr>
        <w:spacing w:before="0" w:after="0" w:line="240" w:lineRule="auto"/>
      </w:pPr>
      <w:rPr>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tcBorders>
      </w:tcPr>
    </w:tblStylePr>
    <w:tblStylePr w:type="firstCol">
      <w:rPr>
        <w:b/>
        <w:bCs/>
      </w:rPr>
    </w:tblStylePr>
    <w:tblStylePr w:type="lastCol">
      <w:rPr>
        <w:b/>
        <w:bCs/>
      </w:r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style>
  <w:style w:type="table" w:styleId="LightList-Accent4">
    <w:name w:val="Light List Accent 4"/>
    <w:basedOn w:val="TableNormal"/>
    <w:uiPriority w:val="99"/>
    <w:semiHidden/>
    <w:rsid w:val="00361DEB"/>
    <w:pPr>
      <w:spacing w:after="0"/>
    </w:p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tblBorders>
    </w:tblPr>
    <w:tblStylePr w:type="firstRow">
      <w:pPr>
        <w:spacing w:before="0" w:after="0" w:line="240" w:lineRule="auto"/>
      </w:pPr>
      <w:rPr>
        <w:b/>
        <w:bCs/>
        <w:color w:val="FFFFFF" w:themeColor="background1"/>
      </w:rPr>
      <w:tblPr/>
      <w:tcPr>
        <w:shd w:val="clear" w:color="auto" w:fill="92CDDC" w:themeFill="accent4"/>
      </w:tcPr>
    </w:tblStylePr>
    <w:tblStylePr w:type="lastRow">
      <w:pPr>
        <w:spacing w:before="0" w:after="0" w:line="240" w:lineRule="auto"/>
      </w:pPr>
      <w:rPr>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tcBorders>
      </w:tcPr>
    </w:tblStylePr>
    <w:tblStylePr w:type="firstCol">
      <w:rPr>
        <w:b/>
        <w:bCs/>
      </w:rPr>
    </w:tblStylePr>
    <w:tblStylePr w:type="lastCol">
      <w:rPr>
        <w:b/>
        <w:bCs/>
      </w:r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style>
  <w:style w:type="table" w:styleId="LightList-Accent5">
    <w:name w:val="Light List Accent 5"/>
    <w:basedOn w:val="TableNormal"/>
    <w:uiPriority w:val="99"/>
    <w:semiHidden/>
    <w:rsid w:val="00361DEB"/>
    <w:pPr>
      <w:spacing w:after="0"/>
    </w:p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tblBorders>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table" w:styleId="LightList-Accent6">
    <w:name w:val="Light List Accent 6"/>
    <w:basedOn w:val="TableNormal"/>
    <w:uiPriority w:val="99"/>
    <w:semiHidden/>
    <w:rsid w:val="00361DEB"/>
    <w:pPr>
      <w:spacing w:after="0"/>
    </w:p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tblBorders>
    </w:tblPr>
    <w:tblStylePr w:type="firstRow">
      <w:pPr>
        <w:spacing w:before="0" w:after="0" w:line="240" w:lineRule="auto"/>
      </w:pPr>
      <w:rPr>
        <w:b/>
        <w:bCs/>
        <w:color w:val="FFFFFF" w:themeColor="background1"/>
      </w:rPr>
      <w:tblPr/>
      <w:tcPr>
        <w:shd w:val="clear" w:color="auto" w:fill="64B8CE" w:themeFill="accent6"/>
      </w:tcPr>
    </w:tblStylePr>
    <w:tblStylePr w:type="lastRow">
      <w:pPr>
        <w:spacing w:before="0" w:after="0" w:line="240" w:lineRule="auto"/>
      </w:pPr>
      <w:rPr>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tcBorders>
      </w:tcPr>
    </w:tblStylePr>
    <w:tblStylePr w:type="firstCol">
      <w:rPr>
        <w:b/>
        <w:bCs/>
      </w:rPr>
    </w:tblStylePr>
    <w:tblStylePr w:type="lastCol">
      <w:rPr>
        <w:b/>
        <w:bCs/>
      </w:r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style>
  <w:style w:type="table" w:customStyle="1" w:styleId="LightShading1">
    <w:name w:val="Light Shading1"/>
    <w:basedOn w:val="TableNormal"/>
    <w:uiPriority w:val="99"/>
    <w:semiHidden/>
    <w:rsid w:val="00361DEB"/>
    <w:pPr>
      <w:spacing w:after="0"/>
    </w:pPr>
    <w:rPr>
      <w:color w:val="00556B" w:themeColor="text1" w:themeShade="BF"/>
    </w:rPr>
    <w:tblPr>
      <w:tblStyleRowBandSize w:val="1"/>
      <w:tblStyleColBandSize w:val="1"/>
      <w:tblBorders>
        <w:top w:val="single" w:sz="8" w:space="0" w:color="00728F" w:themeColor="text1"/>
        <w:bottom w:val="single" w:sz="8" w:space="0" w:color="00728F" w:themeColor="text1"/>
      </w:tblBorders>
    </w:tblPr>
    <w:tblStylePr w:type="fir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la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left w:val="nil"/>
          <w:right w:val="nil"/>
          <w:insideH w:val="nil"/>
          <w:insideV w:val="nil"/>
        </w:tcBorders>
        <w:shd w:val="clear" w:color="auto" w:fill="A4ECFF" w:themeFill="text1" w:themeFillTint="3F"/>
      </w:tcPr>
    </w:tblStylePr>
  </w:style>
  <w:style w:type="table" w:customStyle="1" w:styleId="LightShading-Accent11">
    <w:name w:val="Light Shading - Accent 11"/>
    <w:basedOn w:val="TableNormal"/>
    <w:uiPriority w:val="99"/>
    <w:semiHidden/>
    <w:rsid w:val="00361DEB"/>
    <w:pPr>
      <w:spacing w:after="0"/>
    </w:pPr>
    <w:rPr>
      <w:color w:val="00556B" w:themeColor="accent1" w:themeShade="BF"/>
    </w:rPr>
    <w:tblPr>
      <w:tblStyleRowBandSize w:val="1"/>
      <w:tblStyleColBandSize w:val="1"/>
      <w:tblBorders>
        <w:top w:val="single" w:sz="8" w:space="0" w:color="00728F" w:themeColor="accent1"/>
        <w:bottom w:val="single" w:sz="8" w:space="0" w:color="00728F" w:themeColor="accent1"/>
      </w:tblBorders>
    </w:tblPr>
    <w:tblStylePr w:type="fir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la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left w:val="nil"/>
          <w:right w:val="nil"/>
          <w:insideH w:val="nil"/>
          <w:insideV w:val="nil"/>
        </w:tcBorders>
        <w:shd w:val="clear" w:color="auto" w:fill="A4ECFF" w:themeFill="accent1" w:themeFillTint="3F"/>
      </w:tcPr>
    </w:tblStylePr>
  </w:style>
  <w:style w:type="table" w:styleId="LightShading-Accent2">
    <w:name w:val="Light Shading Accent 2"/>
    <w:basedOn w:val="TableNormal"/>
    <w:uiPriority w:val="99"/>
    <w:semiHidden/>
    <w:rsid w:val="00361DEB"/>
    <w:pPr>
      <w:spacing w:after="0"/>
    </w:pPr>
    <w:rPr>
      <w:color w:val="67B7CE" w:themeColor="accent2" w:themeShade="BF"/>
    </w:rPr>
    <w:tblPr>
      <w:tblStyleRowBandSize w:val="1"/>
      <w:tblStyleColBandSize w:val="1"/>
      <w:tblBorders>
        <w:top w:val="single" w:sz="8" w:space="0" w:color="B7DDE8" w:themeColor="accent2"/>
        <w:bottom w:val="single" w:sz="8" w:space="0" w:color="B7DDE8" w:themeColor="accent2"/>
      </w:tblBorders>
    </w:tblPr>
    <w:tblStylePr w:type="fir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la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left w:val="nil"/>
          <w:right w:val="nil"/>
          <w:insideH w:val="nil"/>
          <w:insideV w:val="nil"/>
        </w:tcBorders>
        <w:shd w:val="clear" w:color="auto" w:fill="EDF6F9" w:themeFill="accent2" w:themeFillTint="3F"/>
      </w:tcPr>
    </w:tblStylePr>
  </w:style>
  <w:style w:type="table" w:styleId="LightShading-Accent3">
    <w:name w:val="Light Shading Accent 3"/>
    <w:basedOn w:val="TableNormal"/>
    <w:uiPriority w:val="99"/>
    <w:semiHidden/>
    <w:rsid w:val="00361DEB"/>
    <w:pPr>
      <w:spacing w:after="0"/>
    </w:pPr>
    <w:rPr>
      <w:color w:val="84C4D6" w:themeColor="accent3" w:themeShade="BF"/>
    </w:rPr>
    <w:tblPr>
      <w:tblStyleRowBandSize w:val="1"/>
      <w:tblStyleColBandSize w:val="1"/>
      <w:tblBorders>
        <w:top w:val="single" w:sz="8" w:space="0" w:color="DBEEF3" w:themeColor="accent3"/>
        <w:bottom w:val="single" w:sz="8" w:space="0" w:color="DBEEF3" w:themeColor="accent3"/>
      </w:tblBorders>
    </w:tblPr>
    <w:tblStylePr w:type="fir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la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left w:val="nil"/>
          <w:right w:val="nil"/>
          <w:insideH w:val="nil"/>
          <w:insideV w:val="nil"/>
        </w:tcBorders>
        <w:shd w:val="clear" w:color="auto" w:fill="F6FAFC" w:themeFill="accent3" w:themeFillTint="3F"/>
      </w:tcPr>
    </w:tblStylePr>
  </w:style>
  <w:style w:type="table" w:styleId="LightShading-Accent4">
    <w:name w:val="Light Shading Accent 4"/>
    <w:basedOn w:val="TableNormal"/>
    <w:uiPriority w:val="99"/>
    <w:semiHidden/>
    <w:rsid w:val="00361DEB"/>
    <w:pPr>
      <w:spacing w:after="0"/>
    </w:pPr>
    <w:rPr>
      <w:color w:val="4CACC5" w:themeColor="accent4" w:themeShade="BF"/>
    </w:rPr>
    <w:tblPr>
      <w:tblStyleRowBandSize w:val="1"/>
      <w:tblStyleColBandSize w:val="1"/>
      <w:tblBorders>
        <w:top w:val="single" w:sz="8" w:space="0" w:color="92CDDC" w:themeColor="accent4"/>
        <w:bottom w:val="single" w:sz="8" w:space="0" w:color="92CDDC" w:themeColor="accent4"/>
      </w:tblBorders>
    </w:tblPr>
    <w:tblStylePr w:type="fir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la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left w:val="nil"/>
          <w:right w:val="nil"/>
          <w:insideH w:val="nil"/>
          <w:insideV w:val="nil"/>
        </w:tcBorders>
        <w:shd w:val="clear" w:color="auto" w:fill="E4F2F6" w:themeFill="accent4" w:themeFillTint="3F"/>
      </w:tcPr>
    </w:tblStylePr>
  </w:style>
  <w:style w:type="table" w:styleId="LightShading-Accent5">
    <w:name w:val="Light Shading Accent 5"/>
    <w:basedOn w:val="TableNormal"/>
    <w:uiPriority w:val="99"/>
    <w:semiHidden/>
    <w:rsid w:val="00361DEB"/>
    <w:pPr>
      <w:spacing w:after="0"/>
    </w:pPr>
    <w:rPr>
      <w:color w:val="246373" w:themeColor="accent5" w:themeShade="BF"/>
    </w:rPr>
    <w:tblPr>
      <w:tblStyleRowBandSize w:val="1"/>
      <w:tblStyleColBandSize w:val="1"/>
      <w:tblBorders>
        <w:top w:val="single" w:sz="8" w:space="0" w:color="31859B" w:themeColor="accent5"/>
        <w:bottom w:val="single" w:sz="8" w:space="0" w:color="31859B" w:themeColor="accent5"/>
      </w:tblBorders>
    </w:tblPr>
    <w:tblStylePr w:type="fir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la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left w:val="nil"/>
          <w:right w:val="nil"/>
          <w:insideH w:val="nil"/>
          <w:insideV w:val="nil"/>
        </w:tcBorders>
        <w:shd w:val="clear" w:color="auto" w:fill="C5E4EC" w:themeFill="accent5" w:themeFillTint="3F"/>
      </w:tcPr>
    </w:tblStylePr>
  </w:style>
  <w:style w:type="table" w:styleId="LightShading-Accent6">
    <w:name w:val="Light Shading Accent 6"/>
    <w:basedOn w:val="TableNormal"/>
    <w:uiPriority w:val="99"/>
    <w:semiHidden/>
    <w:rsid w:val="00361DEB"/>
    <w:pPr>
      <w:spacing w:after="0"/>
    </w:pPr>
    <w:rPr>
      <w:color w:val="3795AD" w:themeColor="accent6" w:themeShade="BF"/>
    </w:rPr>
    <w:tblPr>
      <w:tblStyleRowBandSize w:val="1"/>
      <w:tblStyleColBandSize w:val="1"/>
      <w:tblBorders>
        <w:top w:val="single" w:sz="8" w:space="0" w:color="64B8CE" w:themeColor="accent6"/>
        <w:bottom w:val="single" w:sz="8" w:space="0" w:color="64B8CE" w:themeColor="accent6"/>
      </w:tblBorders>
    </w:tblPr>
    <w:tblStylePr w:type="fir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la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left w:val="nil"/>
          <w:right w:val="nil"/>
          <w:insideH w:val="nil"/>
          <w:insideV w:val="nil"/>
        </w:tcBorders>
        <w:shd w:val="clear" w:color="auto" w:fill="D8EDF2" w:themeFill="accent6" w:themeFillTint="3F"/>
      </w:tcPr>
    </w:tblStylePr>
  </w:style>
  <w:style w:type="table" w:customStyle="1" w:styleId="MediumGrid11">
    <w:name w:val="Medium Grid 11"/>
    <w:basedOn w:val="TableNormal"/>
    <w:uiPriority w:val="99"/>
    <w:semiHidden/>
    <w:rsid w:val="00361DEB"/>
    <w:pPr>
      <w:spacing w:after="0"/>
    </w:pPr>
    <w:tblPr>
      <w:tblStyleRowBandSize w:val="1"/>
      <w:tblStyleColBandSize w:val="1"/>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insideV w:val="single" w:sz="8" w:space="0" w:color="00BBEB" w:themeColor="text1" w:themeTint="BF"/>
      </w:tblBorders>
    </w:tblPr>
    <w:tcPr>
      <w:shd w:val="clear" w:color="auto" w:fill="A4ECFF" w:themeFill="text1" w:themeFillTint="3F"/>
    </w:tcPr>
    <w:tblStylePr w:type="firstRow">
      <w:rPr>
        <w:b/>
        <w:bCs/>
      </w:rPr>
    </w:tblStylePr>
    <w:tblStylePr w:type="lastRow">
      <w:rPr>
        <w:b/>
        <w:bCs/>
      </w:rPr>
      <w:tblPr/>
      <w:tcPr>
        <w:tcBorders>
          <w:top w:val="single" w:sz="18" w:space="0" w:color="00BBEB" w:themeColor="text1" w:themeTint="BF"/>
        </w:tcBorders>
      </w:tcPr>
    </w:tblStylePr>
    <w:tblStylePr w:type="firstCol">
      <w:rPr>
        <w:b/>
        <w:bCs/>
      </w:rPr>
    </w:tblStylePr>
    <w:tblStylePr w:type="lastCol">
      <w:rPr>
        <w:b/>
        <w:bCs/>
      </w:r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MediumGrid1-Accent1">
    <w:name w:val="Medium Grid 1 Accent 1"/>
    <w:basedOn w:val="TableNormal"/>
    <w:uiPriority w:val="99"/>
    <w:semiHidden/>
    <w:rsid w:val="00361DEB"/>
    <w:pPr>
      <w:spacing w:after="0"/>
    </w:pPr>
    <w:tblPr>
      <w:tblStyleRowBandSize w:val="1"/>
      <w:tblStyleColBandSize w:val="1"/>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insideV w:val="single" w:sz="8" w:space="0" w:color="00BBEB" w:themeColor="accent1" w:themeTint="BF"/>
      </w:tblBorders>
    </w:tblPr>
    <w:tcPr>
      <w:shd w:val="clear" w:color="auto" w:fill="A4ECFF" w:themeFill="accent1" w:themeFillTint="3F"/>
    </w:tcPr>
    <w:tblStylePr w:type="firstRow">
      <w:rPr>
        <w:b/>
        <w:bCs/>
      </w:rPr>
    </w:tblStylePr>
    <w:tblStylePr w:type="lastRow">
      <w:rPr>
        <w:b/>
        <w:bCs/>
      </w:rPr>
      <w:tblPr/>
      <w:tcPr>
        <w:tcBorders>
          <w:top w:val="single" w:sz="18" w:space="0" w:color="00BBEB" w:themeColor="accent1" w:themeTint="BF"/>
        </w:tcBorders>
      </w:tcPr>
    </w:tblStylePr>
    <w:tblStylePr w:type="firstCol">
      <w:rPr>
        <w:b/>
        <w:bCs/>
      </w:rPr>
    </w:tblStylePr>
    <w:tblStylePr w:type="lastCol">
      <w:rPr>
        <w:b/>
        <w:bCs/>
      </w:r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MediumGrid1-Accent2">
    <w:name w:val="Medium Grid 1 Accent 2"/>
    <w:basedOn w:val="TableNormal"/>
    <w:uiPriority w:val="99"/>
    <w:semiHidden/>
    <w:rsid w:val="00361DEB"/>
    <w:pPr>
      <w:spacing w:after="0"/>
    </w:pPr>
    <w:tblPr>
      <w:tblStyleRowBandSize w:val="1"/>
      <w:tblStyleColBandSize w:val="1"/>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insideV w:val="single" w:sz="8" w:space="0" w:color="C8E5ED" w:themeColor="accent2" w:themeTint="BF"/>
      </w:tblBorders>
    </w:tblPr>
    <w:tcPr>
      <w:shd w:val="clear" w:color="auto" w:fill="EDF6F9" w:themeFill="accent2" w:themeFillTint="3F"/>
    </w:tcPr>
    <w:tblStylePr w:type="firstRow">
      <w:rPr>
        <w:b/>
        <w:bCs/>
      </w:rPr>
    </w:tblStylePr>
    <w:tblStylePr w:type="lastRow">
      <w:rPr>
        <w:b/>
        <w:bCs/>
      </w:rPr>
      <w:tblPr/>
      <w:tcPr>
        <w:tcBorders>
          <w:top w:val="single" w:sz="18" w:space="0" w:color="C8E5ED" w:themeColor="accent2" w:themeTint="BF"/>
        </w:tcBorders>
      </w:tcPr>
    </w:tblStylePr>
    <w:tblStylePr w:type="firstCol">
      <w:rPr>
        <w:b/>
        <w:bCs/>
      </w:rPr>
    </w:tblStylePr>
    <w:tblStylePr w:type="lastCol">
      <w:rPr>
        <w:b/>
        <w:bCs/>
      </w:r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MediumGrid1-Accent3">
    <w:name w:val="Medium Grid 1 Accent 3"/>
    <w:basedOn w:val="TableNormal"/>
    <w:uiPriority w:val="99"/>
    <w:semiHidden/>
    <w:rsid w:val="00361DEB"/>
    <w:pPr>
      <w:spacing w:after="0"/>
    </w:pPr>
    <w:tblPr>
      <w:tblStyleRowBandSize w:val="1"/>
      <w:tblStyleColBandSize w:val="1"/>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insideV w:val="single" w:sz="8" w:space="0" w:color="E4F2F6" w:themeColor="accent3" w:themeTint="BF"/>
      </w:tblBorders>
    </w:tblPr>
    <w:tcPr>
      <w:shd w:val="clear" w:color="auto" w:fill="F6FAFC" w:themeFill="accent3" w:themeFillTint="3F"/>
    </w:tcPr>
    <w:tblStylePr w:type="firstRow">
      <w:rPr>
        <w:b/>
        <w:bCs/>
      </w:rPr>
    </w:tblStylePr>
    <w:tblStylePr w:type="lastRow">
      <w:rPr>
        <w:b/>
        <w:bCs/>
      </w:rPr>
      <w:tblPr/>
      <w:tcPr>
        <w:tcBorders>
          <w:top w:val="single" w:sz="18" w:space="0" w:color="E4F2F6" w:themeColor="accent3" w:themeTint="BF"/>
        </w:tcBorders>
      </w:tcPr>
    </w:tblStylePr>
    <w:tblStylePr w:type="firstCol">
      <w:rPr>
        <w:b/>
        <w:bCs/>
      </w:rPr>
    </w:tblStylePr>
    <w:tblStylePr w:type="lastCol">
      <w:rPr>
        <w:b/>
        <w:bCs/>
      </w:r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MediumGrid1-Accent4">
    <w:name w:val="Medium Grid 1 Accent 4"/>
    <w:basedOn w:val="TableNormal"/>
    <w:uiPriority w:val="99"/>
    <w:semiHidden/>
    <w:rsid w:val="00361DEB"/>
    <w:pPr>
      <w:spacing w:after="0"/>
    </w:pPr>
    <w:tblPr>
      <w:tblStyleRowBandSize w:val="1"/>
      <w:tblStyleColBandSize w:val="1"/>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insideV w:val="single" w:sz="8" w:space="0" w:color="ADD9E4" w:themeColor="accent4" w:themeTint="BF"/>
      </w:tblBorders>
    </w:tblPr>
    <w:tcPr>
      <w:shd w:val="clear" w:color="auto" w:fill="E4F2F6" w:themeFill="accent4" w:themeFillTint="3F"/>
    </w:tcPr>
    <w:tblStylePr w:type="firstRow">
      <w:rPr>
        <w:b/>
        <w:bCs/>
      </w:rPr>
    </w:tblStylePr>
    <w:tblStylePr w:type="lastRow">
      <w:rPr>
        <w:b/>
        <w:bCs/>
      </w:rPr>
      <w:tblPr/>
      <w:tcPr>
        <w:tcBorders>
          <w:top w:val="single" w:sz="18" w:space="0" w:color="ADD9E4" w:themeColor="accent4" w:themeTint="BF"/>
        </w:tcBorders>
      </w:tcPr>
    </w:tblStylePr>
    <w:tblStylePr w:type="firstCol">
      <w:rPr>
        <w:b/>
        <w:bCs/>
      </w:rPr>
    </w:tblStylePr>
    <w:tblStylePr w:type="lastCol">
      <w:rPr>
        <w:b/>
        <w:bCs/>
      </w:r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MediumGrid1-Accent5">
    <w:name w:val="Medium Grid 1 Accent 5"/>
    <w:basedOn w:val="TableNormal"/>
    <w:uiPriority w:val="99"/>
    <w:semiHidden/>
    <w:rsid w:val="00361DEB"/>
    <w:pPr>
      <w:spacing w:after="0"/>
    </w:pPr>
    <w:tblPr>
      <w:tblStyleRowBandSize w:val="1"/>
      <w:tblStyleColBandSize w:val="1"/>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insideV w:val="single" w:sz="8" w:space="0" w:color="50AFC8" w:themeColor="accent5" w:themeTint="BF"/>
      </w:tblBorders>
    </w:tblPr>
    <w:tcPr>
      <w:shd w:val="clear" w:color="auto" w:fill="C5E4EC" w:themeFill="accent5" w:themeFillTint="3F"/>
    </w:tcPr>
    <w:tblStylePr w:type="firstRow">
      <w:rPr>
        <w:b/>
        <w:bCs/>
      </w:rPr>
    </w:tblStylePr>
    <w:tblStylePr w:type="lastRow">
      <w:rPr>
        <w:b/>
        <w:bCs/>
      </w:rPr>
      <w:tblPr/>
      <w:tcPr>
        <w:tcBorders>
          <w:top w:val="single" w:sz="18" w:space="0" w:color="50AFC8" w:themeColor="accent5" w:themeTint="BF"/>
        </w:tcBorders>
      </w:tcPr>
    </w:tblStylePr>
    <w:tblStylePr w:type="firstCol">
      <w:rPr>
        <w:b/>
        <w:bCs/>
      </w:rPr>
    </w:tblStylePr>
    <w:tblStylePr w:type="lastCol">
      <w:rPr>
        <w:b/>
        <w:bCs/>
      </w:r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MediumGrid1-Accent6">
    <w:name w:val="Medium Grid 1 Accent 6"/>
    <w:basedOn w:val="TableNormal"/>
    <w:uiPriority w:val="99"/>
    <w:semiHidden/>
    <w:rsid w:val="00361DEB"/>
    <w:pPr>
      <w:spacing w:after="0"/>
    </w:pPr>
    <w:tblPr>
      <w:tblStyleRowBandSize w:val="1"/>
      <w:tblStyleColBandSize w:val="1"/>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insideV w:val="single" w:sz="8" w:space="0" w:color="8AC9DA" w:themeColor="accent6" w:themeTint="BF"/>
      </w:tblBorders>
    </w:tblPr>
    <w:tcPr>
      <w:shd w:val="clear" w:color="auto" w:fill="D8EDF2" w:themeFill="accent6" w:themeFillTint="3F"/>
    </w:tcPr>
    <w:tblStylePr w:type="firstRow">
      <w:rPr>
        <w:b/>
        <w:bCs/>
      </w:rPr>
    </w:tblStylePr>
    <w:tblStylePr w:type="lastRow">
      <w:rPr>
        <w:b/>
        <w:bCs/>
      </w:rPr>
      <w:tblPr/>
      <w:tcPr>
        <w:tcBorders>
          <w:top w:val="single" w:sz="18" w:space="0" w:color="8AC9DA" w:themeColor="accent6" w:themeTint="BF"/>
        </w:tcBorders>
      </w:tcPr>
    </w:tblStylePr>
    <w:tblStylePr w:type="firstCol">
      <w:rPr>
        <w:b/>
        <w:bCs/>
      </w:rPr>
    </w:tblStylePr>
    <w:tblStylePr w:type="lastCol">
      <w:rPr>
        <w:b/>
        <w:bCs/>
      </w:r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MediumGrid21">
    <w:name w:val="Medium Grid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Pr>
    <w:tcPr>
      <w:shd w:val="clear" w:color="auto" w:fill="A4ECFF" w:themeFill="text1" w:themeFillTint="3F"/>
    </w:tcPr>
    <w:tblStylePr w:type="firstRow">
      <w:rPr>
        <w:b/>
        <w:bCs/>
        <w:color w:val="00728F" w:themeColor="text1"/>
      </w:rPr>
      <w:tblPr/>
      <w:tcPr>
        <w:shd w:val="clear" w:color="auto" w:fill="DBF7FF" w:themeFill="tex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text1" w:themeFillTint="33"/>
      </w:tcPr>
    </w:tblStylePr>
    <w:tblStylePr w:type="band1Vert">
      <w:tblPr/>
      <w:tcPr>
        <w:shd w:val="clear" w:color="auto" w:fill="48D9FF" w:themeFill="text1" w:themeFillTint="7F"/>
      </w:tcPr>
    </w:tblStylePr>
    <w:tblStylePr w:type="band1Horz">
      <w:tblPr/>
      <w:tcPr>
        <w:tcBorders>
          <w:insideH w:val="single" w:sz="6" w:space="0" w:color="00728F" w:themeColor="text1"/>
          <w:insideV w:val="single" w:sz="6" w:space="0" w:color="00728F" w:themeColor="text1"/>
        </w:tcBorders>
        <w:shd w:val="clear" w:color="auto" w:fill="48D9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Pr>
    <w:tcPr>
      <w:shd w:val="clear" w:color="auto" w:fill="A4ECFF" w:themeFill="accent1" w:themeFillTint="3F"/>
    </w:tcPr>
    <w:tblStylePr w:type="firstRow">
      <w:rPr>
        <w:b/>
        <w:bCs/>
        <w:color w:val="00728F" w:themeColor="text1"/>
      </w:rPr>
      <w:tblPr/>
      <w:tcPr>
        <w:shd w:val="clear" w:color="auto" w:fill="DBF7FF" w:themeFill="accen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accent1" w:themeFillTint="33"/>
      </w:tcPr>
    </w:tblStylePr>
    <w:tblStylePr w:type="band1Vert">
      <w:tblPr/>
      <w:tcPr>
        <w:shd w:val="clear" w:color="auto" w:fill="48D9FF" w:themeFill="accent1" w:themeFillTint="7F"/>
      </w:tcPr>
    </w:tblStylePr>
    <w:tblStylePr w:type="band1Horz">
      <w:tblPr/>
      <w:tcPr>
        <w:tcBorders>
          <w:insideH w:val="single" w:sz="6" w:space="0" w:color="00728F" w:themeColor="accent1"/>
          <w:insideV w:val="single" w:sz="6" w:space="0" w:color="00728F" w:themeColor="accent1"/>
        </w:tcBorders>
        <w:shd w:val="clear" w:color="auto" w:fill="48D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Pr>
    <w:tcPr>
      <w:shd w:val="clear" w:color="auto" w:fill="EDF6F9" w:themeFill="accent2" w:themeFillTint="3F"/>
    </w:tcPr>
    <w:tblStylePr w:type="firstRow">
      <w:rPr>
        <w:b/>
        <w:bCs/>
        <w:color w:val="00728F" w:themeColor="text1"/>
      </w:rPr>
      <w:tblPr/>
      <w:tcPr>
        <w:shd w:val="clear" w:color="auto" w:fill="F7FBFC" w:themeFill="accent2"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0F8FA" w:themeFill="accent2" w:themeFillTint="33"/>
      </w:tcPr>
    </w:tblStylePr>
    <w:tblStylePr w:type="band1Vert">
      <w:tblPr/>
      <w:tcPr>
        <w:shd w:val="clear" w:color="auto" w:fill="DBEEF3" w:themeFill="accent2" w:themeFillTint="7F"/>
      </w:tcPr>
    </w:tblStylePr>
    <w:tblStylePr w:type="band1Horz">
      <w:tblPr/>
      <w:tcPr>
        <w:tcBorders>
          <w:insideH w:val="single" w:sz="6" w:space="0" w:color="B7DDE8" w:themeColor="accent2"/>
          <w:insideV w:val="single" w:sz="6" w:space="0" w:color="B7DDE8" w:themeColor="accent2"/>
        </w:tcBorders>
        <w:shd w:val="clear" w:color="auto" w:fill="DBEEF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Pr>
    <w:tcPr>
      <w:shd w:val="clear" w:color="auto" w:fill="F6FAFC" w:themeFill="accent3" w:themeFillTint="3F"/>
    </w:tcPr>
    <w:tblStylePr w:type="firstRow">
      <w:rPr>
        <w:b/>
        <w:bCs/>
        <w:color w:val="00728F" w:themeColor="text1"/>
      </w:rPr>
      <w:tblPr/>
      <w:tcPr>
        <w:shd w:val="clear" w:color="auto" w:fill="FBFDFD" w:themeFill="accent3"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7FBFC" w:themeFill="accent3" w:themeFillTint="33"/>
      </w:tcPr>
    </w:tblStylePr>
    <w:tblStylePr w:type="band1Vert">
      <w:tblPr/>
      <w:tcPr>
        <w:shd w:val="clear" w:color="auto" w:fill="EDF6F9" w:themeFill="accent3" w:themeFillTint="7F"/>
      </w:tcPr>
    </w:tblStylePr>
    <w:tblStylePr w:type="band1Horz">
      <w:tblPr/>
      <w:tcPr>
        <w:tcBorders>
          <w:insideH w:val="single" w:sz="6" w:space="0" w:color="DBEEF3" w:themeColor="accent3"/>
          <w:insideV w:val="single" w:sz="6" w:space="0" w:color="DBEEF3" w:themeColor="accent3"/>
        </w:tcBorders>
        <w:shd w:val="clear" w:color="auto" w:fill="EDF6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Pr>
    <w:tcPr>
      <w:shd w:val="clear" w:color="auto" w:fill="E4F2F6" w:themeFill="accent4" w:themeFillTint="3F"/>
    </w:tcPr>
    <w:tblStylePr w:type="firstRow">
      <w:rPr>
        <w:b/>
        <w:bCs/>
        <w:color w:val="00728F" w:themeColor="text1"/>
      </w:rPr>
      <w:tblPr/>
      <w:tcPr>
        <w:shd w:val="clear" w:color="auto" w:fill="F4FAFB" w:themeFill="accent4"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E9F4F8" w:themeFill="accent4" w:themeFillTint="33"/>
      </w:tcPr>
    </w:tblStylePr>
    <w:tblStylePr w:type="band1Vert">
      <w:tblPr/>
      <w:tcPr>
        <w:shd w:val="clear" w:color="auto" w:fill="C8E5ED" w:themeFill="accent4" w:themeFillTint="7F"/>
      </w:tcPr>
    </w:tblStylePr>
    <w:tblStylePr w:type="band1Horz">
      <w:tblPr/>
      <w:tcPr>
        <w:tcBorders>
          <w:insideH w:val="single" w:sz="6" w:space="0" w:color="92CDDC" w:themeColor="accent4"/>
          <w:insideV w:val="single" w:sz="6" w:space="0" w:color="92CDDC" w:themeColor="accent4"/>
        </w:tcBorders>
        <w:shd w:val="clear" w:color="auto" w:fill="C8E5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Pr>
    <w:tcPr>
      <w:shd w:val="clear" w:color="auto" w:fill="C5E4EC" w:themeFill="accent5" w:themeFillTint="3F"/>
    </w:tcPr>
    <w:tblStylePr w:type="firstRow">
      <w:rPr>
        <w:b/>
        <w:bCs/>
        <w:color w:val="00728F" w:themeColor="text1"/>
      </w:rPr>
      <w:tblPr/>
      <w:tcPr>
        <w:shd w:val="clear" w:color="auto" w:fill="E8F4F7" w:themeFill="accent5"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0E9F0" w:themeFill="accent5" w:themeFillTint="33"/>
      </w:tcPr>
    </w:tblStylePr>
    <w:tblStylePr w:type="band1Vert">
      <w:tblPr/>
      <w:tcPr>
        <w:shd w:val="clear" w:color="auto" w:fill="8BC9DA" w:themeFill="accent5" w:themeFillTint="7F"/>
      </w:tcPr>
    </w:tblStylePr>
    <w:tblStylePr w:type="band1Horz">
      <w:tblPr/>
      <w:tcPr>
        <w:tcBorders>
          <w:insideH w:val="single" w:sz="6" w:space="0" w:color="31859B" w:themeColor="accent5"/>
          <w:insideV w:val="single" w:sz="6" w:space="0" w:color="31859B" w:themeColor="accent5"/>
        </w:tcBorders>
        <w:shd w:val="clear" w:color="auto" w:fill="8BC9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Pr>
    <w:tcPr>
      <w:shd w:val="clear" w:color="auto" w:fill="D8EDF2" w:themeFill="accent6" w:themeFillTint="3F"/>
    </w:tcPr>
    <w:tblStylePr w:type="firstRow">
      <w:rPr>
        <w:b/>
        <w:bCs/>
        <w:color w:val="00728F" w:themeColor="text1"/>
      </w:rPr>
      <w:tblPr/>
      <w:tcPr>
        <w:shd w:val="clear" w:color="auto" w:fill="EFF8FA" w:themeFill="accent6"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FF0F5" w:themeFill="accent6" w:themeFillTint="33"/>
      </w:tcPr>
    </w:tblStylePr>
    <w:tblStylePr w:type="band1Vert">
      <w:tblPr/>
      <w:tcPr>
        <w:shd w:val="clear" w:color="auto" w:fill="B1DBE6" w:themeFill="accent6" w:themeFillTint="7F"/>
      </w:tcPr>
    </w:tblStylePr>
    <w:tblStylePr w:type="band1Horz">
      <w:tblPr/>
      <w:tcPr>
        <w:tcBorders>
          <w:insideH w:val="single" w:sz="6" w:space="0" w:color="64B8CE" w:themeColor="accent6"/>
          <w:insideV w:val="single" w:sz="6" w:space="0" w:color="64B8CE" w:themeColor="accent6"/>
        </w:tcBorders>
        <w:shd w:val="clear" w:color="auto" w:fill="B1DBE6"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C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text1" w:themeFillTint="7F"/>
      </w:tcPr>
    </w:tblStylePr>
  </w:style>
  <w:style w:type="table" w:styleId="MediumGrid3-Accent1">
    <w:name w:val="Medium Grid 3 Accent 1"/>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accent1" w:themeFillTint="7F"/>
      </w:tcPr>
    </w:tblStylePr>
  </w:style>
  <w:style w:type="table" w:styleId="MediumGrid3-Accent2">
    <w:name w:val="Medium Grid 3 Accent 2"/>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6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DDE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DDE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EF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EF3" w:themeFill="accent2" w:themeFillTint="7F"/>
      </w:tcPr>
    </w:tblStylePr>
  </w:style>
  <w:style w:type="table" w:styleId="MediumGrid3-Accent3">
    <w:name w:val="Medium Grid 3 Accent 3"/>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A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EEF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EEF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F6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F6F9" w:themeFill="accent3" w:themeFillTint="7F"/>
      </w:tcPr>
    </w:tblStylePr>
  </w:style>
  <w:style w:type="table" w:styleId="MediumGrid3-Accent4">
    <w:name w:val="Medium Grid 3 Accent 4"/>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2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CDD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CDD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5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5ED" w:themeFill="accent4" w:themeFillTint="7F"/>
      </w:tcPr>
    </w:tblStylePr>
  </w:style>
  <w:style w:type="table" w:styleId="MediumGrid3-Accent5">
    <w:name w:val="Medium Grid 3 Accent 5"/>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4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859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859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C9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C9DA" w:themeFill="accent5" w:themeFillTint="7F"/>
      </w:tcPr>
    </w:tblStylePr>
  </w:style>
  <w:style w:type="table" w:styleId="MediumGrid3-Accent6">
    <w:name w:val="Medium Grid 3 Accent 6"/>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D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B8C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B8C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BE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BE6" w:themeFill="accent6" w:themeFillTint="7F"/>
      </w:tcPr>
    </w:tblStylePr>
  </w:style>
  <w:style w:type="table" w:customStyle="1" w:styleId="MediumList11">
    <w:name w:val="Medium List 11"/>
    <w:basedOn w:val="TableNormal"/>
    <w:uiPriority w:val="99"/>
    <w:semiHidden/>
    <w:rsid w:val="00361DEB"/>
    <w:pPr>
      <w:spacing w:after="0"/>
    </w:pPr>
    <w:rPr>
      <w:color w:val="00728F" w:themeColor="text1"/>
    </w:rPr>
    <w:tblPr>
      <w:tblStyleRowBandSize w:val="1"/>
      <w:tblStyleColBandSize w:val="1"/>
      <w:tblBorders>
        <w:top w:val="single" w:sz="8" w:space="0" w:color="00728F" w:themeColor="text1"/>
        <w:bottom w:val="single" w:sz="8" w:space="0" w:color="00728F" w:themeColor="text1"/>
      </w:tblBorders>
    </w:tblPr>
    <w:tblStylePr w:type="firstRow">
      <w:rPr>
        <w:rFonts w:asciiTheme="majorHAnsi" w:eastAsiaTheme="majorEastAsia" w:hAnsiTheme="majorHAnsi" w:cstheme="majorBidi"/>
      </w:rPr>
      <w:tblPr/>
      <w:tcPr>
        <w:tcBorders>
          <w:top w:val="nil"/>
          <w:bottom w:val="single" w:sz="8" w:space="0" w:color="00728F" w:themeColor="text1"/>
        </w:tcBorders>
      </w:tcPr>
    </w:tblStylePr>
    <w:tblStylePr w:type="lastRow">
      <w:rPr>
        <w:b/>
        <w:bCs/>
        <w:color w:val="B7DDE8" w:themeColor="text2"/>
      </w:rPr>
      <w:tblPr/>
      <w:tcPr>
        <w:tcBorders>
          <w:top w:val="single" w:sz="8" w:space="0" w:color="00728F" w:themeColor="text1"/>
          <w:bottom w:val="single" w:sz="8" w:space="0" w:color="00728F" w:themeColor="text1"/>
        </w:tcBorders>
      </w:tcPr>
    </w:tblStylePr>
    <w:tblStylePr w:type="firstCol">
      <w:rPr>
        <w:b/>
        <w:bCs/>
      </w:rPr>
    </w:tblStylePr>
    <w:tblStylePr w:type="lastCol">
      <w:rPr>
        <w:b/>
        <w:bCs/>
      </w:rPr>
      <w:tblPr/>
      <w:tcPr>
        <w:tcBorders>
          <w:top w:val="single" w:sz="8" w:space="0" w:color="00728F" w:themeColor="text1"/>
          <w:bottom w:val="single" w:sz="8" w:space="0" w:color="00728F" w:themeColor="text1"/>
        </w:tcBorders>
      </w:tcPr>
    </w:tblStylePr>
    <w:tblStylePr w:type="band1Vert">
      <w:tblPr/>
      <w:tcPr>
        <w:shd w:val="clear" w:color="auto" w:fill="A4ECFF" w:themeFill="text1" w:themeFillTint="3F"/>
      </w:tcPr>
    </w:tblStylePr>
    <w:tblStylePr w:type="band1Horz">
      <w:tblPr/>
      <w:tcPr>
        <w:shd w:val="clear" w:color="auto" w:fill="A4ECFF" w:themeFill="text1" w:themeFillTint="3F"/>
      </w:tcPr>
    </w:tblStylePr>
  </w:style>
  <w:style w:type="table" w:customStyle="1" w:styleId="MediumList1-Accent11">
    <w:name w:val="Medium List 1 - Accent 11"/>
    <w:basedOn w:val="TableNormal"/>
    <w:uiPriority w:val="99"/>
    <w:semiHidden/>
    <w:rsid w:val="00361DEB"/>
    <w:pPr>
      <w:spacing w:after="0"/>
    </w:pPr>
    <w:rPr>
      <w:color w:val="00728F" w:themeColor="text1"/>
    </w:rPr>
    <w:tblPr>
      <w:tblStyleRowBandSize w:val="1"/>
      <w:tblStyleColBandSize w:val="1"/>
      <w:tblBorders>
        <w:top w:val="single" w:sz="8" w:space="0" w:color="00728F" w:themeColor="accent1"/>
        <w:bottom w:val="single" w:sz="8" w:space="0" w:color="00728F" w:themeColor="accent1"/>
      </w:tblBorders>
    </w:tblPr>
    <w:tblStylePr w:type="firstRow">
      <w:rPr>
        <w:rFonts w:asciiTheme="majorHAnsi" w:eastAsiaTheme="majorEastAsia" w:hAnsiTheme="majorHAnsi" w:cstheme="majorBidi"/>
      </w:rPr>
      <w:tblPr/>
      <w:tcPr>
        <w:tcBorders>
          <w:top w:val="nil"/>
          <w:bottom w:val="single" w:sz="8" w:space="0" w:color="00728F" w:themeColor="accent1"/>
        </w:tcBorders>
      </w:tcPr>
    </w:tblStylePr>
    <w:tblStylePr w:type="lastRow">
      <w:rPr>
        <w:b/>
        <w:bCs/>
        <w:color w:val="B7DDE8" w:themeColor="text2"/>
      </w:rPr>
      <w:tblPr/>
      <w:tcPr>
        <w:tcBorders>
          <w:top w:val="single" w:sz="8" w:space="0" w:color="00728F" w:themeColor="accent1"/>
          <w:bottom w:val="single" w:sz="8" w:space="0" w:color="00728F" w:themeColor="accent1"/>
        </w:tcBorders>
      </w:tcPr>
    </w:tblStylePr>
    <w:tblStylePr w:type="firstCol">
      <w:rPr>
        <w:b/>
        <w:bCs/>
      </w:rPr>
    </w:tblStylePr>
    <w:tblStylePr w:type="lastCol">
      <w:rPr>
        <w:b/>
        <w:bCs/>
      </w:rPr>
      <w:tblPr/>
      <w:tcPr>
        <w:tcBorders>
          <w:top w:val="single" w:sz="8" w:space="0" w:color="00728F" w:themeColor="accent1"/>
          <w:bottom w:val="single" w:sz="8" w:space="0" w:color="00728F" w:themeColor="accent1"/>
        </w:tcBorders>
      </w:tcPr>
    </w:tblStylePr>
    <w:tblStylePr w:type="band1Vert">
      <w:tblPr/>
      <w:tcPr>
        <w:shd w:val="clear" w:color="auto" w:fill="A4ECFF" w:themeFill="accent1" w:themeFillTint="3F"/>
      </w:tcPr>
    </w:tblStylePr>
    <w:tblStylePr w:type="band1Horz">
      <w:tblPr/>
      <w:tcPr>
        <w:shd w:val="clear" w:color="auto" w:fill="A4ECFF" w:themeFill="accent1" w:themeFillTint="3F"/>
      </w:tcPr>
    </w:tblStylePr>
  </w:style>
  <w:style w:type="table" w:styleId="MediumList1-Accent2">
    <w:name w:val="Medium List 1 Accent 2"/>
    <w:basedOn w:val="TableNormal"/>
    <w:uiPriority w:val="99"/>
    <w:semiHidden/>
    <w:rsid w:val="00361DEB"/>
    <w:pPr>
      <w:spacing w:after="0"/>
    </w:pPr>
    <w:rPr>
      <w:color w:val="00728F" w:themeColor="text1"/>
    </w:rPr>
    <w:tblPr>
      <w:tblStyleRowBandSize w:val="1"/>
      <w:tblStyleColBandSize w:val="1"/>
      <w:tblBorders>
        <w:top w:val="single" w:sz="8" w:space="0" w:color="B7DDE8" w:themeColor="accent2"/>
        <w:bottom w:val="single" w:sz="8" w:space="0" w:color="B7DDE8" w:themeColor="accent2"/>
      </w:tblBorders>
    </w:tblPr>
    <w:tblStylePr w:type="firstRow">
      <w:rPr>
        <w:rFonts w:asciiTheme="majorHAnsi" w:eastAsiaTheme="majorEastAsia" w:hAnsiTheme="majorHAnsi" w:cstheme="majorBidi"/>
      </w:rPr>
      <w:tblPr/>
      <w:tcPr>
        <w:tcBorders>
          <w:top w:val="nil"/>
          <w:bottom w:val="single" w:sz="8" w:space="0" w:color="B7DDE8" w:themeColor="accent2"/>
        </w:tcBorders>
      </w:tcPr>
    </w:tblStylePr>
    <w:tblStylePr w:type="lastRow">
      <w:rPr>
        <w:b/>
        <w:bCs/>
        <w:color w:val="B7DDE8" w:themeColor="text2"/>
      </w:rPr>
      <w:tblPr/>
      <w:tcPr>
        <w:tcBorders>
          <w:top w:val="single" w:sz="8" w:space="0" w:color="B7DDE8" w:themeColor="accent2"/>
          <w:bottom w:val="single" w:sz="8" w:space="0" w:color="B7DDE8" w:themeColor="accent2"/>
        </w:tcBorders>
      </w:tcPr>
    </w:tblStylePr>
    <w:tblStylePr w:type="firstCol">
      <w:rPr>
        <w:b/>
        <w:bCs/>
      </w:rPr>
    </w:tblStylePr>
    <w:tblStylePr w:type="lastCol">
      <w:rPr>
        <w:b/>
        <w:bCs/>
      </w:rPr>
      <w:tblPr/>
      <w:tcPr>
        <w:tcBorders>
          <w:top w:val="single" w:sz="8" w:space="0" w:color="B7DDE8" w:themeColor="accent2"/>
          <w:bottom w:val="single" w:sz="8" w:space="0" w:color="B7DDE8" w:themeColor="accent2"/>
        </w:tcBorders>
      </w:tcPr>
    </w:tblStylePr>
    <w:tblStylePr w:type="band1Vert">
      <w:tblPr/>
      <w:tcPr>
        <w:shd w:val="clear" w:color="auto" w:fill="EDF6F9" w:themeFill="accent2" w:themeFillTint="3F"/>
      </w:tcPr>
    </w:tblStylePr>
    <w:tblStylePr w:type="band1Horz">
      <w:tblPr/>
      <w:tcPr>
        <w:shd w:val="clear" w:color="auto" w:fill="EDF6F9" w:themeFill="accent2" w:themeFillTint="3F"/>
      </w:tcPr>
    </w:tblStylePr>
  </w:style>
  <w:style w:type="table" w:styleId="MediumList1-Accent3">
    <w:name w:val="Medium List 1 Accent 3"/>
    <w:basedOn w:val="TableNormal"/>
    <w:uiPriority w:val="99"/>
    <w:semiHidden/>
    <w:rsid w:val="00361DEB"/>
    <w:pPr>
      <w:spacing w:after="0"/>
    </w:pPr>
    <w:rPr>
      <w:color w:val="00728F" w:themeColor="text1"/>
    </w:rPr>
    <w:tblPr>
      <w:tblStyleRowBandSize w:val="1"/>
      <w:tblStyleColBandSize w:val="1"/>
      <w:tblBorders>
        <w:top w:val="single" w:sz="8" w:space="0" w:color="DBEEF3" w:themeColor="accent3"/>
        <w:bottom w:val="single" w:sz="8" w:space="0" w:color="DBEEF3" w:themeColor="accent3"/>
      </w:tblBorders>
    </w:tblPr>
    <w:tblStylePr w:type="firstRow">
      <w:rPr>
        <w:rFonts w:asciiTheme="majorHAnsi" w:eastAsiaTheme="majorEastAsia" w:hAnsiTheme="majorHAnsi" w:cstheme="majorBidi"/>
      </w:rPr>
      <w:tblPr/>
      <w:tcPr>
        <w:tcBorders>
          <w:top w:val="nil"/>
          <w:bottom w:val="single" w:sz="8" w:space="0" w:color="DBEEF3" w:themeColor="accent3"/>
        </w:tcBorders>
      </w:tcPr>
    </w:tblStylePr>
    <w:tblStylePr w:type="lastRow">
      <w:rPr>
        <w:b/>
        <w:bCs/>
        <w:color w:val="B7DDE8" w:themeColor="text2"/>
      </w:rPr>
      <w:tblPr/>
      <w:tcPr>
        <w:tcBorders>
          <w:top w:val="single" w:sz="8" w:space="0" w:color="DBEEF3" w:themeColor="accent3"/>
          <w:bottom w:val="single" w:sz="8" w:space="0" w:color="DBEEF3" w:themeColor="accent3"/>
        </w:tcBorders>
      </w:tcPr>
    </w:tblStylePr>
    <w:tblStylePr w:type="firstCol">
      <w:rPr>
        <w:b/>
        <w:bCs/>
      </w:rPr>
    </w:tblStylePr>
    <w:tblStylePr w:type="lastCol">
      <w:rPr>
        <w:b/>
        <w:bCs/>
      </w:rPr>
      <w:tblPr/>
      <w:tcPr>
        <w:tcBorders>
          <w:top w:val="single" w:sz="8" w:space="0" w:color="DBEEF3" w:themeColor="accent3"/>
          <w:bottom w:val="single" w:sz="8" w:space="0" w:color="DBEEF3" w:themeColor="accent3"/>
        </w:tcBorders>
      </w:tcPr>
    </w:tblStylePr>
    <w:tblStylePr w:type="band1Vert">
      <w:tblPr/>
      <w:tcPr>
        <w:shd w:val="clear" w:color="auto" w:fill="F6FAFC" w:themeFill="accent3" w:themeFillTint="3F"/>
      </w:tcPr>
    </w:tblStylePr>
    <w:tblStylePr w:type="band1Horz">
      <w:tblPr/>
      <w:tcPr>
        <w:shd w:val="clear" w:color="auto" w:fill="F6FAFC" w:themeFill="accent3" w:themeFillTint="3F"/>
      </w:tcPr>
    </w:tblStylePr>
  </w:style>
  <w:style w:type="table" w:styleId="MediumList1-Accent4">
    <w:name w:val="Medium List 1 Accent 4"/>
    <w:basedOn w:val="TableNormal"/>
    <w:uiPriority w:val="99"/>
    <w:semiHidden/>
    <w:rsid w:val="00361DEB"/>
    <w:pPr>
      <w:spacing w:after="0"/>
    </w:pPr>
    <w:rPr>
      <w:color w:val="00728F" w:themeColor="text1"/>
    </w:rPr>
    <w:tblPr>
      <w:tblStyleRowBandSize w:val="1"/>
      <w:tblStyleColBandSize w:val="1"/>
      <w:tblBorders>
        <w:top w:val="single" w:sz="8" w:space="0" w:color="92CDDC" w:themeColor="accent4"/>
        <w:bottom w:val="single" w:sz="8" w:space="0" w:color="92CDDC" w:themeColor="accent4"/>
      </w:tblBorders>
    </w:tblPr>
    <w:tblStylePr w:type="firstRow">
      <w:rPr>
        <w:rFonts w:asciiTheme="majorHAnsi" w:eastAsiaTheme="majorEastAsia" w:hAnsiTheme="majorHAnsi" w:cstheme="majorBidi"/>
      </w:rPr>
      <w:tblPr/>
      <w:tcPr>
        <w:tcBorders>
          <w:top w:val="nil"/>
          <w:bottom w:val="single" w:sz="8" w:space="0" w:color="92CDDC" w:themeColor="accent4"/>
        </w:tcBorders>
      </w:tcPr>
    </w:tblStylePr>
    <w:tblStylePr w:type="lastRow">
      <w:rPr>
        <w:b/>
        <w:bCs/>
        <w:color w:val="B7DDE8" w:themeColor="text2"/>
      </w:rPr>
      <w:tblPr/>
      <w:tcPr>
        <w:tcBorders>
          <w:top w:val="single" w:sz="8" w:space="0" w:color="92CDDC" w:themeColor="accent4"/>
          <w:bottom w:val="single" w:sz="8" w:space="0" w:color="92CDDC" w:themeColor="accent4"/>
        </w:tcBorders>
      </w:tcPr>
    </w:tblStylePr>
    <w:tblStylePr w:type="firstCol">
      <w:rPr>
        <w:b/>
        <w:bCs/>
      </w:rPr>
    </w:tblStylePr>
    <w:tblStylePr w:type="lastCol">
      <w:rPr>
        <w:b/>
        <w:bCs/>
      </w:rPr>
      <w:tblPr/>
      <w:tcPr>
        <w:tcBorders>
          <w:top w:val="single" w:sz="8" w:space="0" w:color="92CDDC" w:themeColor="accent4"/>
          <w:bottom w:val="single" w:sz="8" w:space="0" w:color="92CDDC" w:themeColor="accent4"/>
        </w:tcBorders>
      </w:tcPr>
    </w:tblStylePr>
    <w:tblStylePr w:type="band1Vert">
      <w:tblPr/>
      <w:tcPr>
        <w:shd w:val="clear" w:color="auto" w:fill="E4F2F6" w:themeFill="accent4" w:themeFillTint="3F"/>
      </w:tcPr>
    </w:tblStylePr>
    <w:tblStylePr w:type="band1Horz">
      <w:tblPr/>
      <w:tcPr>
        <w:shd w:val="clear" w:color="auto" w:fill="E4F2F6" w:themeFill="accent4" w:themeFillTint="3F"/>
      </w:tcPr>
    </w:tblStylePr>
  </w:style>
  <w:style w:type="table" w:styleId="MediumList1-Accent5">
    <w:name w:val="Medium List 1 Accent 5"/>
    <w:basedOn w:val="TableNormal"/>
    <w:uiPriority w:val="99"/>
    <w:semiHidden/>
    <w:rsid w:val="00361DEB"/>
    <w:pPr>
      <w:spacing w:after="0"/>
    </w:pPr>
    <w:rPr>
      <w:color w:val="00728F" w:themeColor="text1"/>
    </w:rPr>
    <w:tblPr>
      <w:tblStyleRowBandSize w:val="1"/>
      <w:tblStyleColBandSize w:val="1"/>
      <w:tblBorders>
        <w:top w:val="single" w:sz="8" w:space="0" w:color="31859B" w:themeColor="accent5"/>
        <w:bottom w:val="single" w:sz="8" w:space="0" w:color="31859B" w:themeColor="accent5"/>
      </w:tblBorders>
    </w:tblPr>
    <w:tblStylePr w:type="firstRow">
      <w:rPr>
        <w:rFonts w:asciiTheme="majorHAnsi" w:eastAsiaTheme="majorEastAsia" w:hAnsiTheme="majorHAnsi" w:cstheme="majorBidi"/>
      </w:rPr>
      <w:tblPr/>
      <w:tcPr>
        <w:tcBorders>
          <w:top w:val="nil"/>
          <w:bottom w:val="single" w:sz="8" w:space="0" w:color="31859B" w:themeColor="accent5"/>
        </w:tcBorders>
      </w:tcPr>
    </w:tblStylePr>
    <w:tblStylePr w:type="lastRow">
      <w:rPr>
        <w:b/>
        <w:bCs/>
        <w:color w:val="B7DDE8" w:themeColor="text2"/>
      </w:rPr>
      <w:tblPr/>
      <w:tcPr>
        <w:tcBorders>
          <w:top w:val="single" w:sz="8" w:space="0" w:color="31859B" w:themeColor="accent5"/>
          <w:bottom w:val="single" w:sz="8" w:space="0" w:color="31859B" w:themeColor="accent5"/>
        </w:tcBorders>
      </w:tcPr>
    </w:tblStylePr>
    <w:tblStylePr w:type="firstCol">
      <w:rPr>
        <w:b/>
        <w:bCs/>
      </w:rPr>
    </w:tblStylePr>
    <w:tblStylePr w:type="lastCol">
      <w:rPr>
        <w:b/>
        <w:bCs/>
      </w:rPr>
      <w:tblPr/>
      <w:tcPr>
        <w:tcBorders>
          <w:top w:val="single" w:sz="8" w:space="0" w:color="31859B" w:themeColor="accent5"/>
          <w:bottom w:val="single" w:sz="8" w:space="0" w:color="31859B" w:themeColor="accent5"/>
        </w:tcBorders>
      </w:tcPr>
    </w:tblStylePr>
    <w:tblStylePr w:type="band1Vert">
      <w:tblPr/>
      <w:tcPr>
        <w:shd w:val="clear" w:color="auto" w:fill="C5E4EC" w:themeFill="accent5" w:themeFillTint="3F"/>
      </w:tcPr>
    </w:tblStylePr>
    <w:tblStylePr w:type="band1Horz">
      <w:tblPr/>
      <w:tcPr>
        <w:shd w:val="clear" w:color="auto" w:fill="C5E4EC" w:themeFill="accent5" w:themeFillTint="3F"/>
      </w:tcPr>
    </w:tblStylePr>
  </w:style>
  <w:style w:type="table" w:styleId="MediumList1-Accent6">
    <w:name w:val="Medium List 1 Accent 6"/>
    <w:basedOn w:val="TableNormal"/>
    <w:uiPriority w:val="99"/>
    <w:semiHidden/>
    <w:rsid w:val="00361DEB"/>
    <w:pPr>
      <w:spacing w:after="0"/>
    </w:pPr>
    <w:rPr>
      <w:color w:val="00728F" w:themeColor="text1"/>
    </w:rPr>
    <w:tblPr>
      <w:tblStyleRowBandSize w:val="1"/>
      <w:tblStyleColBandSize w:val="1"/>
      <w:tblBorders>
        <w:top w:val="single" w:sz="8" w:space="0" w:color="64B8CE" w:themeColor="accent6"/>
        <w:bottom w:val="single" w:sz="8" w:space="0" w:color="64B8CE" w:themeColor="accent6"/>
      </w:tblBorders>
    </w:tblPr>
    <w:tblStylePr w:type="firstRow">
      <w:rPr>
        <w:rFonts w:asciiTheme="majorHAnsi" w:eastAsiaTheme="majorEastAsia" w:hAnsiTheme="majorHAnsi" w:cstheme="majorBidi"/>
      </w:rPr>
      <w:tblPr/>
      <w:tcPr>
        <w:tcBorders>
          <w:top w:val="nil"/>
          <w:bottom w:val="single" w:sz="8" w:space="0" w:color="64B8CE" w:themeColor="accent6"/>
        </w:tcBorders>
      </w:tcPr>
    </w:tblStylePr>
    <w:tblStylePr w:type="lastRow">
      <w:rPr>
        <w:b/>
        <w:bCs/>
        <w:color w:val="B7DDE8" w:themeColor="text2"/>
      </w:rPr>
      <w:tblPr/>
      <w:tcPr>
        <w:tcBorders>
          <w:top w:val="single" w:sz="8" w:space="0" w:color="64B8CE" w:themeColor="accent6"/>
          <w:bottom w:val="single" w:sz="8" w:space="0" w:color="64B8CE" w:themeColor="accent6"/>
        </w:tcBorders>
      </w:tcPr>
    </w:tblStylePr>
    <w:tblStylePr w:type="firstCol">
      <w:rPr>
        <w:b/>
        <w:bCs/>
      </w:rPr>
    </w:tblStylePr>
    <w:tblStylePr w:type="lastCol">
      <w:rPr>
        <w:b/>
        <w:bCs/>
      </w:rPr>
      <w:tblPr/>
      <w:tcPr>
        <w:tcBorders>
          <w:top w:val="single" w:sz="8" w:space="0" w:color="64B8CE" w:themeColor="accent6"/>
          <w:bottom w:val="single" w:sz="8" w:space="0" w:color="64B8CE" w:themeColor="accent6"/>
        </w:tcBorders>
      </w:tcPr>
    </w:tblStylePr>
    <w:tblStylePr w:type="band1Vert">
      <w:tblPr/>
      <w:tcPr>
        <w:shd w:val="clear" w:color="auto" w:fill="D8EDF2" w:themeFill="accent6" w:themeFillTint="3F"/>
      </w:tcPr>
    </w:tblStylePr>
    <w:tblStylePr w:type="band1Horz">
      <w:tblPr/>
      <w:tcPr>
        <w:shd w:val="clear" w:color="auto" w:fill="D8EDF2" w:themeFill="accent6" w:themeFillTint="3F"/>
      </w:tcPr>
    </w:tblStylePr>
  </w:style>
  <w:style w:type="table" w:customStyle="1" w:styleId="MediumList21">
    <w:name w:val="Medium List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tblBorders>
    </w:tblPr>
    <w:tblStylePr w:type="firstRow">
      <w:rPr>
        <w:sz w:val="24"/>
        <w:szCs w:val="24"/>
      </w:rPr>
      <w:tblPr/>
      <w:tcPr>
        <w:tcBorders>
          <w:top w:val="nil"/>
          <w:left w:val="nil"/>
          <w:bottom w:val="single" w:sz="24" w:space="0" w:color="00728F" w:themeColor="text1"/>
          <w:right w:val="nil"/>
          <w:insideH w:val="nil"/>
          <w:insideV w:val="nil"/>
        </w:tcBorders>
        <w:shd w:val="clear" w:color="auto" w:fill="FFFFFF" w:themeFill="background1"/>
      </w:tcPr>
    </w:tblStylePr>
    <w:tblStylePr w:type="lastRow">
      <w:tblPr/>
      <w:tcPr>
        <w:tcBorders>
          <w:top w:val="single" w:sz="8" w:space="0" w:color="00728F"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text1"/>
          <w:insideH w:val="nil"/>
          <w:insideV w:val="nil"/>
        </w:tcBorders>
        <w:shd w:val="clear" w:color="auto" w:fill="FFFFFF" w:themeFill="background1"/>
      </w:tcPr>
    </w:tblStylePr>
    <w:tblStylePr w:type="lastCol">
      <w:tblPr/>
      <w:tcPr>
        <w:tcBorders>
          <w:top w:val="nil"/>
          <w:left w:val="single" w:sz="8" w:space="0" w:color="00728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top w:val="nil"/>
          <w:bottom w:val="nil"/>
          <w:insideH w:val="nil"/>
          <w:insideV w:val="nil"/>
        </w:tcBorders>
        <w:shd w:val="clear" w:color="auto" w:fill="A4EC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tblBorders>
    </w:tblPr>
    <w:tblStylePr w:type="firstRow">
      <w:rPr>
        <w:sz w:val="24"/>
        <w:szCs w:val="24"/>
      </w:rPr>
      <w:tblPr/>
      <w:tcPr>
        <w:tcBorders>
          <w:top w:val="nil"/>
          <w:left w:val="nil"/>
          <w:bottom w:val="single" w:sz="24" w:space="0" w:color="00728F" w:themeColor="accent1"/>
          <w:right w:val="nil"/>
          <w:insideH w:val="nil"/>
          <w:insideV w:val="nil"/>
        </w:tcBorders>
        <w:shd w:val="clear" w:color="auto" w:fill="FFFFFF" w:themeFill="background1"/>
      </w:tcPr>
    </w:tblStylePr>
    <w:tblStylePr w:type="lastRow">
      <w:tblPr/>
      <w:tcPr>
        <w:tcBorders>
          <w:top w:val="single" w:sz="8" w:space="0" w:color="0072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accent1"/>
          <w:insideH w:val="nil"/>
          <w:insideV w:val="nil"/>
        </w:tcBorders>
        <w:shd w:val="clear" w:color="auto" w:fill="FFFFFF" w:themeFill="background1"/>
      </w:tcPr>
    </w:tblStylePr>
    <w:tblStylePr w:type="lastCol">
      <w:tblPr/>
      <w:tcPr>
        <w:tcBorders>
          <w:top w:val="nil"/>
          <w:left w:val="single" w:sz="8" w:space="0" w:color="0072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top w:val="nil"/>
          <w:bottom w:val="nil"/>
          <w:insideH w:val="nil"/>
          <w:insideV w:val="nil"/>
        </w:tcBorders>
        <w:shd w:val="clear" w:color="auto" w:fill="A4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tblBorders>
    </w:tblPr>
    <w:tblStylePr w:type="firstRow">
      <w:rPr>
        <w:sz w:val="24"/>
        <w:szCs w:val="24"/>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tblPr/>
      <w:tcPr>
        <w:tcBorders>
          <w:top w:val="single" w:sz="8" w:space="0" w:color="B7DDE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DDE8" w:themeColor="accent2"/>
          <w:insideH w:val="nil"/>
          <w:insideV w:val="nil"/>
        </w:tcBorders>
        <w:shd w:val="clear" w:color="auto" w:fill="FFFFFF" w:themeFill="background1"/>
      </w:tcPr>
    </w:tblStylePr>
    <w:tblStylePr w:type="lastCol">
      <w:tblPr/>
      <w:tcPr>
        <w:tcBorders>
          <w:top w:val="nil"/>
          <w:left w:val="single" w:sz="8" w:space="0" w:color="B7DDE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top w:val="nil"/>
          <w:bottom w:val="nil"/>
          <w:insideH w:val="nil"/>
          <w:insideV w:val="nil"/>
        </w:tcBorders>
        <w:shd w:val="clear" w:color="auto" w:fill="EDF6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tblBorders>
    </w:tblPr>
    <w:tblStylePr w:type="firstRow">
      <w:rPr>
        <w:sz w:val="24"/>
        <w:szCs w:val="24"/>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tblPr/>
      <w:tcPr>
        <w:tcBorders>
          <w:top w:val="single" w:sz="8" w:space="0" w:color="DBEEF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EEF3" w:themeColor="accent3"/>
          <w:insideH w:val="nil"/>
          <w:insideV w:val="nil"/>
        </w:tcBorders>
        <w:shd w:val="clear" w:color="auto" w:fill="FFFFFF" w:themeFill="background1"/>
      </w:tcPr>
    </w:tblStylePr>
    <w:tblStylePr w:type="lastCol">
      <w:tblPr/>
      <w:tcPr>
        <w:tcBorders>
          <w:top w:val="nil"/>
          <w:left w:val="single" w:sz="8" w:space="0" w:color="DBEEF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top w:val="nil"/>
          <w:bottom w:val="nil"/>
          <w:insideH w:val="nil"/>
          <w:insideV w:val="nil"/>
        </w:tcBorders>
        <w:shd w:val="clear" w:color="auto" w:fill="F6FA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tblBorders>
    </w:tblPr>
    <w:tblStylePr w:type="firstRow">
      <w:rPr>
        <w:sz w:val="24"/>
        <w:szCs w:val="24"/>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tblPr/>
      <w:tcPr>
        <w:tcBorders>
          <w:top w:val="single" w:sz="8" w:space="0" w:color="92CDD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CDDC" w:themeColor="accent4"/>
          <w:insideH w:val="nil"/>
          <w:insideV w:val="nil"/>
        </w:tcBorders>
        <w:shd w:val="clear" w:color="auto" w:fill="FFFFFF" w:themeFill="background1"/>
      </w:tcPr>
    </w:tblStylePr>
    <w:tblStylePr w:type="lastCol">
      <w:tblPr/>
      <w:tcPr>
        <w:tcBorders>
          <w:top w:val="nil"/>
          <w:left w:val="single" w:sz="8" w:space="0" w:color="92CDD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top w:val="nil"/>
          <w:bottom w:val="nil"/>
          <w:insideH w:val="nil"/>
          <w:insideV w:val="nil"/>
        </w:tcBorders>
        <w:shd w:val="clear" w:color="auto" w:fill="E4F2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tblBorders>
    </w:tblPr>
    <w:tblStylePr w:type="firstRow">
      <w:rPr>
        <w:sz w:val="24"/>
        <w:szCs w:val="24"/>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tblPr/>
      <w:tcPr>
        <w:tcBorders>
          <w:top w:val="single" w:sz="8" w:space="0" w:color="31859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859B" w:themeColor="accent5"/>
          <w:insideH w:val="nil"/>
          <w:insideV w:val="nil"/>
        </w:tcBorders>
        <w:shd w:val="clear" w:color="auto" w:fill="FFFFFF" w:themeFill="background1"/>
      </w:tcPr>
    </w:tblStylePr>
    <w:tblStylePr w:type="lastCol">
      <w:tblPr/>
      <w:tcPr>
        <w:tcBorders>
          <w:top w:val="nil"/>
          <w:left w:val="single" w:sz="8" w:space="0" w:color="31859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top w:val="nil"/>
          <w:bottom w:val="nil"/>
          <w:insideH w:val="nil"/>
          <w:insideV w:val="nil"/>
        </w:tcBorders>
        <w:shd w:val="clear" w:color="auto" w:fill="C5E4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tblBorders>
    </w:tblPr>
    <w:tblStylePr w:type="firstRow">
      <w:rPr>
        <w:sz w:val="24"/>
        <w:szCs w:val="24"/>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tblPr/>
      <w:tcPr>
        <w:tcBorders>
          <w:top w:val="single" w:sz="8" w:space="0" w:color="64B8C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8CE" w:themeColor="accent6"/>
          <w:insideH w:val="nil"/>
          <w:insideV w:val="nil"/>
        </w:tcBorders>
        <w:shd w:val="clear" w:color="auto" w:fill="FFFFFF" w:themeFill="background1"/>
      </w:tcPr>
    </w:tblStylePr>
    <w:tblStylePr w:type="lastCol">
      <w:tblPr/>
      <w:tcPr>
        <w:tcBorders>
          <w:top w:val="nil"/>
          <w:left w:val="single" w:sz="8" w:space="0" w:color="64B8C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top w:val="nil"/>
          <w:bottom w:val="nil"/>
          <w:insideH w:val="nil"/>
          <w:insideV w:val="nil"/>
        </w:tcBorders>
        <w:shd w:val="clear" w:color="auto" w:fill="D8ED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361DEB"/>
    <w:pPr>
      <w:spacing w:after="0"/>
    </w:pPr>
    <w:tblPr>
      <w:tblStyleRowBandSize w:val="1"/>
      <w:tblStyleColBandSize w:val="1"/>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tblBorders>
    </w:tblPr>
    <w:tblStylePr w:type="firstRow">
      <w:pPr>
        <w:spacing w:before="0" w:after="0" w:line="240" w:lineRule="auto"/>
      </w:pPr>
      <w:rPr>
        <w:b/>
        <w:bCs/>
        <w:color w:val="FFFFFF" w:themeColor="background1"/>
      </w:rPr>
      <w:tblPr/>
      <w:tcPr>
        <w:tc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shd w:val="clear" w:color="auto" w:fill="00728F" w:themeFill="text1"/>
      </w:tcPr>
    </w:tblStylePr>
    <w:tblStylePr w:type="lastRow">
      <w:pPr>
        <w:spacing w:before="0" w:after="0" w:line="240" w:lineRule="auto"/>
      </w:pPr>
      <w:rPr>
        <w:b/>
        <w:bCs/>
      </w:rPr>
      <w:tblPr/>
      <w:tcPr>
        <w:tcBorders>
          <w:top w:val="double" w:sz="6"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tcPr>
    </w:tblStylePr>
    <w:tblStylePr w:type="firstCol">
      <w:rPr>
        <w:b/>
        <w:bCs/>
      </w:rPr>
    </w:tblStylePr>
    <w:tblStylePr w:type="lastCol">
      <w:rPr>
        <w:b/>
        <w:bCs/>
      </w:rPr>
    </w:tblStylePr>
    <w:tblStylePr w:type="band1Vert">
      <w:tblPr/>
      <w:tcPr>
        <w:shd w:val="clear" w:color="auto" w:fill="A4ECFF" w:themeFill="text1" w:themeFillTint="3F"/>
      </w:tcPr>
    </w:tblStylePr>
    <w:tblStylePr w:type="band1Horz">
      <w:tblPr/>
      <w:tcPr>
        <w:tcBorders>
          <w:insideH w:val="nil"/>
          <w:insideV w:val="nil"/>
        </w:tcBorders>
        <w:shd w:val="clear" w:color="auto" w:fill="A4ECF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361DEB"/>
    <w:pPr>
      <w:spacing w:after="0"/>
    </w:pPr>
    <w:tblPr>
      <w:tblStyleRowBandSize w:val="1"/>
      <w:tblStyleColBandSize w:val="1"/>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tblBorders>
    </w:tblPr>
    <w:tblStylePr w:type="firstRow">
      <w:pPr>
        <w:spacing w:before="0" w:after="0" w:line="240" w:lineRule="auto"/>
      </w:pPr>
      <w:rPr>
        <w:b/>
        <w:bCs/>
        <w:color w:val="FFFFFF" w:themeColor="background1"/>
      </w:rPr>
      <w:tblPr/>
      <w:tcPr>
        <w:tc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shd w:val="clear" w:color="auto" w:fill="00728F" w:themeFill="accent1"/>
      </w:tcPr>
    </w:tblStylePr>
    <w:tblStylePr w:type="lastRow">
      <w:pPr>
        <w:spacing w:before="0" w:after="0" w:line="240" w:lineRule="auto"/>
      </w:pPr>
      <w:rPr>
        <w:b/>
        <w:bCs/>
      </w:rPr>
      <w:tblPr/>
      <w:tcPr>
        <w:tcBorders>
          <w:top w:val="double" w:sz="6"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ECFF" w:themeFill="accent1" w:themeFillTint="3F"/>
      </w:tcPr>
    </w:tblStylePr>
    <w:tblStylePr w:type="band1Horz">
      <w:tblPr/>
      <w:tcPr>
        <w:tcBorders>
          <w:insideH w:val="nil"/>
          <w:insideV w:val="nil"/>
        </w:tcBorders>
        <w:shd w:val="clear" w:color="auto" w:fill="A4E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361DEB"/>
    <w:pPr>
      <w:spacing w:after="0"/>
    </w:pPr>
    <w:tblPr>
      <w:tblStyleRowBandSize w:val="1"/>
      <w:tblStyleColBandSize w:val="1"/>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tblBorders>
    </w:tblPr>
    <w:tblStylePr w:type="firstRow">
      <w:pPr>
        <w:spacing w:before="0" w:after="0" w:line="240" w:lineRule="auto"/>
      </w:pPr>
      <w:rPr>
        <w:b/>
        <w:bCs/>
        <w:color w:val="FFFFFF" w:themeColor="background1"/>
      </w:rPr>
      <w:tblPr/>
      <w:tcPr>
        <w:tc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shd w:val="clear" w:color="auto" w:fill="B7DDE8" w:themeFill="accent2"/>
      </w:tcPr>
    </w:tblStylePr>
    <w:tblStylePr w:type="lastRow">
      <w:pPr>
        <w:spacing w:before="0" w:after="0" w:line="240" w:lineRule="auto"/>
      </w:pPr>
      <w:rPr>
        <w:b/>
        <w:bCs/>
      </w:rPr>
      <w:tblPr/>
      <w:tcPr>
        <w:tcBorders>
          <w:top w:val="double" w:sz="6"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6F9" w:themeFill="accent2" w:themeFillTint="3F"/>
      </w:tcPr>
    </w:tblStylePr>
    <w:tblStylePr w:type="band1Horz">
      <w:tblPr/>
      <w:tcPr>
        <w:tcBorders>
          <w:insideH w:val="nil"/>
          <w:insideV w:val="nil"/>
        </w:tcBorders>
        <w:shd w:val="clear" w:color="auto" w:fill="EDF6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361DEB"/>
    <w:pPr>
      <w:spacing w:after="0"/>
    </w:pPr>
    <w:tblPr>
      <w:tblStyleRowBandSize w:val="1"/>
      <w:tblStyleColBandSize w:val="1"/>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tblBorders>
    </w:tblPr>
    <w:tblStylePr w:type="firstRow">
      <w:pPr>
        <w:spacing w:before="0" w:after="0" w:line="240" w:lineRule="auto"/>
      </w:pPr>
      <w:rPr>
        <w:b/>
        <w:bCs/>
        <w:color w:val="FFFFFF" w:themeColor="background1"/>
      </w:rPr>
      <w:tblPr/>
      <w:tcPr>
        <w:tc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shd w:val="clear" w:color="auto" w:fill="DBEEF3" w:themeFill="accent3"/>
      </w:tcPr>
    </w:tblStylePr>
    <w:tblStylePr w:type="lastRow">
      <w:pPr>
        <w:spacing w:before="0" w:after="0" w:line="240" w:lineRule="auto"/>
      </w:pPr>
      <w:rPr>
        <w:b/>
        <w:bCs/>
      </w:rPr>
      <w:tblPr/>
      <w:tcPr>
        <w:tcBorders>
          <w:top w:val="double" w:sz="6"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AFC" w:themeFill="accent3" w:themeFillTint="3F"/>
      </w:tcPr>
    </w:tblStylePr>
    <w:tblStylePr w:type="band1Horz">
      <w:tblPr/>
      <w:tcPr>
        <w:tcBorders>
          <w:insideH w:val="nil"/>
          <w:insideV w:val="nil"/>
        </w:tcBorders>
        <w:shd w:val="clear" w:color="auto" w:fill="F6FA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361DEB"/>
    <w:pPr>
      <w:spacing w:after="0"/>
    </w:pPr>
    <w:tblPr>
      <w:tblStyleRowBandSize w:val="1"/>
      <w:tblStyleColBandSize w:val="1"/>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tblBorders>
    </w:tblPr>
    <w:tblStylePr w:type="firstRow">
      <w:pPr>
        <w:spacing w:before="0" w:after="0" w:line="240" w:lineRule="auto"/>
      </w:pPr>
      <w:rPr>
        <w:b/>
        <w:bCs/>
        <w:color w:val="FFFFFF" w:themeColor="background1"/>
      </w:rPr>
      <w:tblPr/>
      <w:tcPr>
        <w:tc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shd w:val="clear" w:color="auto" w:fill="92CDDC" w:themeFill="accent4"/>
      </w:tcPr>
    </w:tblStylePr>
    <w:tblStylePr w:type="lastRow">
      <w:pPr>
        <w:spacing w:before="0" w:after="0" w:line="240" w:lineRule="auto"/>
      </w:pPr>
      <w:rPr>
        <w:b/>
        <w:bCs/>
      </w:rPr>
      <w:tblPr/>
      <w:tcPr>
        <w:tcBorders>
          <w:top w:val="double" w:sz="6"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F2F6" w:themeFill="accent4" w:themeFillTint="3F"/>
      </w:tcPr>
    </w:tblStylePr>
    <w:tblStylePr w:type="band1Horz">
      <w:tblPr/>
      <w:tcPr>
        <w:tcBorders>
          <w:insideH w:val="nil"/>
          <w:insideV w:val="nil"/>
        </w:tcBorders>
        <w:shd w:val="clear" w:color="auto" w:fill="E4F2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361DEB"/>
    <w:pPr>
      <w:spacing w:after="0"/>
    </w:pPr>
    <w:tblPr>
      <w:tblStyleRowBandSize w:val="1"/>
      <w:tblStyleColBandSize w:val="1"/>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tblBorders>
    </w:tblPr>
    <w:tblStylePr w:type="firstRow">
      <w:pPr>
        <w:spacing w:before="0" w:after="0" w:line="240" w:lineRule="auto"/>
      </w:pPr>
      <w:rPr>
        <w:b/>
        <w:bCs/>
        <w:color w:val="FFFFFF" w:themeColor="background1"/>
      </w:rPr>
      <w:tblPr/>
      <w:tcPr>
        <w:tc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shd w:val="clear" w:color="auto" w:fill="31859B" w:themeFill="accent5"/>
      </w:tcPr>
    </w:tblStylePr>
    <w:tblStylePr w:type="lastRow">
      <w:pPr>
        <w:spacing w:before="0" w:after="0" w:line="240" w:lineRule="auto"/>
      </w:pPr>
      <w:rPr>
        <w:b/>
        <w:bCs/>
      </w:rPr>
      <w:tblPr/>
      <w:tcPr>
        <w:tcBorders>
          <w:top w:val="double" w:sz="6"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5E4EC" w:themeFill="accent5" w:themeFillTint="3F"/>
      </w:tcPr>
    </w:tblStylePr>
    <w:tblStylePr w:type="band1Horz">
      <w:tblPr/>
      <w:tcPr>
        <w:tcBorders>
          <w:insideH w:val="nil"/>
          <w:insideV w:val="nil"/>
        </w:tcBorders>
        <w:shd w:val="clear" w:color="auto" w:fill="C5E4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361DEB"/>
    <w:pPr>
      <w:spacing w:after="0"/>
    </w:pPr>
    <w:tblPr>
      <w:tblStyleRowBandSize w:val="1"/>
      <w:tblStyleColBandSize w:val="1"/>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tblBorders>
    </w:tblPr>
    <w:tblStylePr w:type="firstRow">
      <w:pPr>
        <w:spacing w:before="0" w:after="0" w:line="240" w:lineRule="auto"/>
      </w:pPr>
      <w:rPr>
        <w:b/>
        <w:bCs/>
        <w:color w:val="FFFFFF" w:themeColor="background1"/>
      </w:rPr>
      <w:tblPr/>
      <w:tcPr>
        <w:tc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shd w:val="clear" w:color="auto" w:fill="64B8CE" w:themeFill="accent6"/>
      </w:tcPr>
    </w:tblStylePr>
    <w:tblStylePr w:type="lastRow">
      <w:pPr>
        <w:spacing w:before="0" w:after="0" w:line="240" w:lineRule="auto"/>
      </w:pPr>
      <w:rPr>
        <w:b/>
        <w:bCs/>
      </w:rPr>
      <w:tblPr/>
      <w:tcPr>
        <w:tcBorders>
          <w:top w:val="double" w:sz="6"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DF2" w:themeFill="accent6" w:themeFillTint="3F"/>
      </w:tcPr>
    </w:tblStylePr>
    <w:tblStylePr w:type="band1Horz">
      <w:tblPr/>
      <w:tcPr>
        <w:tcBorders>
          <w:insideH w:val="nil"/>
          <w:insideV w:val="nil"/>
        </w:tcBorders>
        <w:shd w:val="clear" w:color="auto" w:fill="D8EDF2"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text1"/>
      </w:tcPr>
    </w:tblStylePr>
    <w:tblStylePr w:type="lastCol">
      <w:rPr>
        <w:b/>
        <w:bCs/>
        <w:color w:val="FFFFFF" w:themeColor="background1"/>
      </w:rPr>
      <w:tblPr/>
      <w:tcPr>
        <w:tcBorders>
          <w:left w:val="nil"/>
          <w:right w:val="nil"/>
          <w:insideH w:val="nil"/>
          <w:insideV w:val="nil"/>
        </w:tcBorders>
        <w:shd w:val="clear" w:color="auto" w:fill="00728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accent1"/>
      </w:tcPr>
    </w:tblStylePr>
    <w:tblStylePr w:type="lastCol">
      <w:rPr>
        <w:b/>
        <w:bCs/>
        <w:color w:val="FFFFFF" w:themeColor="background1"/>
      </w:rPr>
      <w:tblPr/>
      <w:tcPr>
        <w:tcBorders>
          <w:left w:val="nil"/>
          <w:right w:val="nil"/>
          <w:insideH w:val="nil"/>
          <w:insideV w:val="nil"/>
        </w:tcBorders>
        <w:shd w:val="clear" w:color="auto" w:fill="0072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D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DE8" w:themeFill="accent2"/>
      </w:tcPr>
    </w:tblStylePr>
    <w:tblStylePr w:type="lastCol">
      <w:rPr>
        <w:b/>
        <w:bCs/>
        <w:color w:val="FFFFFF" w:themeColor="background1"/>
      </w:rPr>
      <w:tblPr/>
      <w:tcPr>
        <w:tcBorders>
          <w:left w:val="nil"/>
          <w:right w:val="nil"/>
          <w:insideH w:val="nil"/>
          <w:insideV w:val="nil"/>
        </w:tcBorders>
        <w:shd w:val="clear" w:color="auto" w:fill="B7DDE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EEF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EEF3" w:themeFill="accent3"/>
      </w:tcPr>
    </w:tblStylePr>
    <w:tblStylePr w:type="lastCol">
      <w:rPr>
        <w:b/>
        <w:bCs/>
        <w:color w:val="FFFFFF" w:themeColor="background1"/>
      </w:rPr>
      <w:tblPr/>
      <w:tcPr>
        <w:tcBorders>
          <w:left w:val="nil"/>
          <w:right w:val="nil"/>
          <w:insideH w:val="nil"/>
          <w:insideV w:val="nil"/>
        </w:tcBorders>
        <w:shd w:val="clear" w:color="auto" w:fill="DBEEF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CD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CDDC" w:themeFill="accent4"/>
      </w:tcPr>
    </w:tblStylePr>
    <w:tblStylePr w:type="lastCol">
      <w:rPr>
        <w:b/>
        <w:bCs/>
        <w:color w:val="FFFFFF" w:themeColor="background1"/>
      </w:rPr>
      <w:tblPr/>
      <w:tcPr>
        <w:tcBorders>
          <w:left w:val="nil"/>
          <w:right w:val="nil"/>
          <w:insideH w:val="nil"/>
          <w:insideV w:val="nil"/>
        </w:tcBorders>
        <w:shd w:val="clear" w:color="auto" w:fill="92CD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859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859B" w:themeFill="accent5"/>
      </w:tcPr>
    </w:tblStylePr>
    <w:tblStylePr w:type="lastCol">
      <w:rPr>
        <w:b/>
        <w:bCs/>
        <w:color w:val="FFFFFF" w:themeColor="background1"/>
      </w:rPr>
      <w:tblPr/>
      <w:tcPr>
        <w:tcBorders>
          <w:left w:val="nil"/>
          <w:right w:val="nil"/>
          <w:insideH w:val="nil"/>
          <w:insideV w:val="nil"/>
        </w:tcBorders>
        <w:shd w:val="clear" w:color="auto" w:fill="31859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B8C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B8CE" w:themeFill="accent6"/>
      </w:tcPr>
    </w:tblStylePr>
    <w:tblStylePr w:type="lastCol">
      <w:rPr>
        <w:b/>
        <w:bCs/>
        <w:color w:val="FFFFFF" w:themeColor="background1"/>
      </w:rPr>
      <w:tblPr/>
      <w:tcPr>
        <w:tcBorders>
          <w:left w:val="nil"/>
          <w:right w:val="nil"/>
          <w:insideH w:val="nil"/>
          <w:insideV w:val="nil"/>
        </w:tcBorders>
        <w:shd w:val="clear" w:color="auto" w:fill="64B8C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361DE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61DE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61DE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99"/>
    <w:semiHidden/>
    <w:rsid w:val="00361D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361DE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61DE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61DE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61DE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61DE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61DE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61DE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61DE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5"/>
    <w:semiHidden/>
    <w:qFormat/>
    <w:rsid w:val="00361DEB"/>
    <w:pPr>
      <w:pBdr>
        <w:bottom w:val="single" w:sz="8" w:space="4" w:color="00728F" w:themeColor="accent1"/>
      </w:pBdr>
      <w:spacing w:after="300"/>
      <w:contextualSpacing/>
    </w:pPr>
    <w:rPr>
      <w:rFonts w:asciiTheme="majorHAnsi" w:eastAsiaTheme="majorEastAsia" w:hAnsiTheme="majorHAnsi" w:cstheme="majorBidi"/>
      <w:color w:val="67B7CE" w:themeColor="text2" w:themeShade="BF"/>
      <w:spacing w:val="5"/>
      <w:kern w:val="28"/>
      <w:sz w:val="52"/>
      <w:szCs w:val="52"/>
    </w:rPr>
  </w:style>
  <w:style w:type="character" w:customStyle="1" w:styleId="TitleChar">
    <w:name w:val="Title Char"/>
    <w:basedOn w:val="DefaultParagraphFont"/>
    <w:link w:val="Title"/>
    <w:uiPriority w:val="15"/>
    <w:semiHidden/>
    <w:rsid w:val="00361DEB"/>
    <w:rPr>
      <w:rFonts w:asciiTheme="majorHAnsi" w:eastAsiaTheme="majorEastAsia" w:hAnsiTheme="majorHAnsi" w:cstheme="majorBidi"/>
      <w:color w:val="67B7CE" w:themeColor="text2" w:themeShade="BF"/>
      <w:spacing w:val="5"/>
      <w:kern w:val="28"/>
      <w:sz w:val="52"/>
      <w:szCs w:val="52"/>
    </w:rPr>
  </w:style>
  <w:style w:type="character" w:customStyle="1" w:styleId="FigurecaptionCharChar">
    <w:name w:val="Figure caption Char Char"/>
    <w:basedOn w:val="DefaultParagraphFont"/>
    <w:link w:val="Figurecaption"/>
    <w:uiPriority w:val="10"/>
    <w:locked/>
    <w:rsid w:val="00FC3687"/>
    <w:rPr>
      <w:rFonts w:ascii="Calibri" w:hAnsi="Calibri"/>
      <w:b/>
      <w:bCs/>
      <w:color w:val="0072B9"/>
      <w:sz w:val="18"/>
      <w:szCs w:val="18"/>
    </w:rPr>
  </w:style>
  <w:style w:type="paragraph" w:customStyle="1" w:styleId="Reference">
    <w:name w:val="Reference"/>
    <w:basedOn w:val="BodyText"/>
    <w:uiPriority w:val="20"/>
    <w:qFormat/>
    <w:rsid w:val="00D24D34"/>
    <w:pPr>
      <w:spacing w:before="360" w:after="360"/>
    </w:pPr>
    <w:rPr>
      <w:noProof/>
    </w:rPr>
  </w:style>
  <w:style w:type="character" w:customStyle="1" w:styleId="BodyTextChar">
    <w:name w:val="Body Text Char"/>
    <w:basedOn w:val="DefaultParagraphFont"/>
    <w:link w:val="BodyText"/>
    <w:rsid w:val="00BA5622"/>
    <w:rPr>
      <w:rFonts w:ascii="Calibri" w:hAnsi="Calibri"/>
    </w:rPr>
  </w:style>
  <w:style w:type="paragraph" w:customStyle="1" w:styleId="Bodytext-Quote">
    <w:name w:val="Body text - Quote"/>
    <w:basedOn w:val="BodyText"/>
    <w:next w:val="BodyText"/>
    <w:qFormat/>
    <w:rsid w:val="00DF7C5F"/>
    <w:pPr>
      <w:ind w:left="567" w:right="567"/>
    </w:pPr>
  </w:style>
  <w:style w:type="paragraph" w:customStyle="1" w:styleId="FigureImagewithoutrule">
    <w:name w:val="Figure/Image without rule"/>
    <w:basedOn w:val="BodyText"/>
    <w:next w:val="BodyText"/>
    <w:uiPriority w:val="10"/>
    <w:qFormat/>
    <w:rsid w:val="002A69C4"/>
    <w:pPr>
      <w:spacing w:after="360"/>
    </w:pPr>
    <w:rPr>
      <w:noProof/>
      <w:lang w:eastAsia="en-AU"/>
    </w:rPr>
  </w:style>
  <w:style w:type="paragraph" w:customStyle="1" w:styleId="DBCDElogo">
    <w:name w:val="DBCDE logo"/>
    <w:basedOn w:val="Normal"/>
    <w:next w:val="BodyText"/>
    <w:semiHidden/>
    <w:qFormat/>
    <w:rsid w:val="00665016"/>
    <w:pPr>
      <w:jc w:val="center"/>
    </w:pPr>
    <w:rPr>
      <w:noProof/>
      <w:lang w:eastAsia="en-AU"/>
    </w:rPr>
  </w:style>
  <w:style w:type="character" w:customStyle="1" w:styleId="Instructionaltext">
    <w:name w:val="Instructional text"/>
    <w:basedOn w:val="DefaultParagraphFont"/>
    <w:uiPriority w:val="59"/>
    <w:qFormat/>
    <w:rsid w:val="003600D8"/>
    <w:rPr>
      <w:i/>
      <w:color w:val="0066FF"/>
    </w:rPr>
  </w:style>
  <w:style w:type="paragraph" w:customStyle="1" w:styleId="Instructionaltext-Numberedlist">
    <w:name w:val="Instructional text - Numbered list"/>
    <w:basedOn w:val="Normal"/>
    <w:uiPriority w:val="59"/>
    <w:qFormat/>
    <w:rsid w:val="003C6FB6"/>
    <w:pPr>
      <w:numPr>
        <w:numId w:val="20"/>
      </w:numPr>
      <w:spacing w:after="240"/>
    </w:pPr>
    <w:rPr>
      <w:i/>
      <w:color w:val="0066FF"/>
    </w:rPr>
  </w:style>
  <w:style w:type="character" w:customStyle="1" w:styleId="Exampletext">
    <w:name w:val="Example text"/>
    <w:basedOn w:val="DefaultParagraphFont"/>
    <w:uiPriority w:val="60"/>
    <w:qFormat/>
    <w:rsid w:val="00135456"/>
    <w:rPr>
      <w:color w:val="CC0000"/>
    </w:rPr>
  </w:style>
  <w:style w:type="character" w:customStyle="1" w:styleId="Heading2Char">
    <w:name w:val="Heading 2 Char"/>
    <w:basedOn w:val="DefaultParagraphFont"/>
    <w:link w:val="Heading2"/>
    <w:uiPriority w:val="9"/>
    <w:rsid w:val="00FC3687"/>
    <w:rPr>
      <w:rFonts w:ascii="Cambria" w:eastAsiaTheme="majorEastAsia" w:hAnsi="Cambria" w:cstheme="majorBidi"/>
      <w:bCs/>
      <w:color w:val="0072B9"/>
      <w:sz w:val="26"/>
      <w:szCs w:val="26"/>
    </w:rPr>
  </w:style>
  <w:style w:type="character" w:customStyle="1" w:styleId="FooterChar">
    <w:name w:val="Footer Char"/>
    <w:basedOn w:val="DefaultParagraphFont"/>
    <w:link w:val="Footer"/>
    <w:uiPriority w:val="99"/>
    <w:rsid w:val="00FC3687"/>
    <w:rPr>
      <w:rFonts w:ascii="Calibri" w:hAnsi="Calibri"/>
      <w:color w:val="FFFFFF" w:themeColor="background1"/>
      <w:sz w:val="20"/>
    </w:rPr>
  </w:style>
  <w:style w:type="paragraph" w:customStyle="1" w:styleId="Documenttype">
    <w:name w:val="Document type"/>
    <w:basedOn w:val="Normal"/>
    <w:uiPriority w:val="17"/>
    <w:qFormat/>
    <w:rsid w:val="008E0426"/>
    <w:pPr>
      <w:spacing w:before="120"/>
      <w:jc w:val="right"/>
    </w:pPr>
    <w:rPr>
      <w:rFonts w:ascii="Cambria" w:eastAsia="Times New Roman" w:hAnsi="Cambria" w:cs="Times New Roman"/>
      <w:b/>
      <w:color w:val="00728F"/>
      <w:kern w:val="28"/>
      <w:sz w:val="24"/>
      <w:szCs w:val="52"/>
    </w:rPr>
  </w:style>
  <w:style w:type="character" w:customStyle="1" w:styleId="HeaderChar">
    <w:name w:val="Header Char"/>
    <w:basedOn w:val="DefaultParagraphFont"/>
    <w:link w:val="Header"/>
    <w:rsid w:val="00FC3687"/>
    <w:rPr>
      <w:rFonts w:ascii="Calibri" w:hAnsi="Calibri"/>
      <w:color w:val="0072C3"/>
      <w:sz w:val="20"/>
    </w:rPr>
  </w:style>
  <w:style w:type="paragraph" w:customStyle="1" w:styleId="DotPoint2">
    <w:name w:val="Dot Point 2"/>
    <w:basedOn w:val="ListParagraph"/>
    <w:link w:val="DotPoint2Char"/>
    <w:qFormat/>
    <w:rsid w:val="00C1340F"/>
    <w:pPr>
      <w:spacing w:before="0" w:after="120"/>
      <w:ind w:left="1080" w:hanging="360"/>
      <w:contextualSpacing w:val="0"/>
    </w:pPr>
  </w:style>
  <w:style w:type="paragraph" w:customStyle="1" w:styleId="DotPoint3">
    <w:name w:val="Dot Point 3"/>
    <w:basedOn w:val="ListParagraph"/>
    <w:qFormat/>
    <w:rsid w:val="00C1340F"/>
    <w:pPr>
      <w:tabs>
        <w:tab w:val="num" w:pos="360"/>
      </w:tabs>
      <w:spacing w:after="120"/>
      <w:ind w:left="1800" w:hanging="180"/>
      <w:contextualSpacing w:val="0"/>
    </w:pPr>
    <w:rPr>
      <w:rFonts w:asciiTheme="minorHAnsi" w:eastAsia="Times New Roman" w:hAnsiTheme="minorHAnsi" w:cstheme="minorHAnsi"/>
    </w:rPr>
  </w:style>
  <w:style w:type="character" w:customStyle="1" w:styleId="ListParagraphChar">
    <w:name w:val="List Paragraph Char"/>
    <w:basedOn w:val="DefaultParagraphFont"/>
    <w:link w:val="ListParagraph"/>
    <w:uiPriority w:val="34"/>
    <w:rsid w:val="00C1340F"/>
    <w:rPr>
      <w:rFonts w:ascii="Calibri" w:hAnsi="Calibri"/>
    </w:rPr>
  </w:style>
  <w:style w:type="character" w:customStyle="1" w:styleId="DotPoint2Char">
    <w:name w:val="Dot Point 2 Char"/>
    <w:basedOn w:val="ListParagraphChar"/>
    <w:link w:val="DotPoint2"/>
    <w:rsid w:val="00C1340F"/>
    <w:rPr>
      <w:rFonts w:ascii="Calibri" w:hAnsi="Calibri"/>
    </w:rPr>
  </w:style>
  <w:style w:type="character" w:customStyle="1" w:styleId="CommentTextChar">
    <w:name w:val="Comment Text Char"/>
    <w:basedOn w:val="DefaultParagraphFont"/>
    <w:link w:val="CommentText"/>
    <w:uiPriority w:val="99"/>
    <w:semiHidden/>
    <w:rsid w:val="00B50A1B"/>
    <w:rPr>
      <w:rFonts w:ascii="Calibri" w:hAnsi="Calibri"/>
      <w:sz w:val="20"/>
      <w:szCs w:val="20"/>
    </w:rPr>
  </w:style>
  <w:style w:type="character" w:customStyle="1" w:styleId="FootnoteTextChar">
    <w:name w:val="Footnote Text Char"/>
    <w:aliases w:val="ACMA Footnote Text Char2,Footnote Text Char Char Char,ACMA Footnote Text Char Char Char,ACMA Footnote Text Char1 Char,ACMA Footnote Text Char Char1,ABA Footnote Text Char"/>
    <w:basedOn w:val="DefaultParagraphFont"/>
    <w:link w:val="FootnoteText"/>
    <w:uiPriority w:val="99"/>
    <w:rsid w:val="00790268"/>
    <w:rPr>
      <w:rFonts w:ascii="Calibri" w:hAnsi="Calibri"/>
      <w:sz w:val="20"/>
      <w:szCs w:val="20"/>
    </w:rPr>
  </w:style>
  <w:style w:type="paragraph" w:styleId="Revision">
    <w:name w:val="Revision"/>
    <w:hidden/>
    <w:uiPriority w:val="99"/>
    <w:semiHidden/>
    <w:rsid w:val="002424AB"/>
    <w:pPr>
      <w:spacing w:before="0" w:after="0"/>
      <w:ind w:left="0" w:firstLine="0"/>
    </w:pPr>
    <w:rPr>
      <w:rFonts w:ascii="Calibri" w:hAnsi="Calibri"/>
    </w:rPr>
  </w:style>
  <w:style w:type="paragraph" w:customStyle="1" w:styleId="copyrighttextStyles">
    <w:name w:val="copyright text (Styles)"/>
    <w:basedOn w:val="Normal"/>
    <w:next w:val="Normal"/>
    <w:uiPriority w:val="99"/>
    <w:rsid w:val="008A135A"/>
    <w:pPr>
      <w:widowControl w:val="0"/>
      <w:suppressAutoHyphens/>
      <w:autoSpaceDE w:val="0"/>
      <w:autoSpaceDN w:val="0"/>
      <w:adjustRightInd w:val="0"/>
      <w:spacing w:before="170" w:line="270" w:lineRule="atLeast"/>
      <w:textAlignment w:val="center"/>
    </w:pPr>
    <w:rPr>
      <w:rFonts w:ascii="Arial" w:eastAsia="Times New Roman" w:hAnsi="Arial" w:cs="TradeGothicLTStd-Light"/>
      <w:color w:val="000000"/>
      <w:sz w:val="16"/>
      <w:szCs w:val="16"/>
    </w:rPr>
  </w:style>
  <w:style w:type="paragraph" w:customStyle="1" w:styleId="copyrightHeading2Styles">
    <w:name w:val="copyrightHeading 2 (Styles)"/>
    <w:basedOn w:val="Normal"/>
    <w:next w:val="Normal"/>
    <w:uiPriority w:val="99"/>
    <w:rsid w:val="00FC3687"/>
    <w:pPr>
      <w:keepNext/>
      <w:widowControl w:val="0"/>
      <w:suppressAutoHyphens/>
      <w:autoSpaceDE w:val="0"/>
      <w:autoSpaceDN w:val="0"/>
      <w:adjustRightInd w:val="0"/>
      <w:spacing w:before="454" w:line="320" w:lineRule="atLeast"/>
      <w:textAlignment w:val="center"/>
    </w:pPr>
    <w:rPr>
      <w:rFonts w:ascii="Arial" w:eastAsia="Times New Roman" w:hAnsi="Arial" w:cs="Geogrotesque-Light"/>
      <w:color w:val="0072B9"/>
      <w:sz w:val="33"/>
      <w:szCs w:val="33"/>
    </w:rPr>
  </w:style>
  <w:style w:type="character" w:customStyle="1" w:styleId="Heading4Char">
    <w:name w:val="Heading 4 Char"/>
    <w:basedOn w:val="DefaultParagraphFont"/>
    <w:link w:val="Heading4"/>
    <w:uiPriority w:val="9"/>
    <w:rsid w:val="00010C91"/>
    <w:rPr>
      <w:rFonts w:ascii="Cambria" w:eastAsiaTheme="majorEastAsia" w:hAnsi="Cambria" w:cstheme="majorBidi"/>
      <w:b/>
      <w:bCs/>
      <w:iCs/>
    </w:rPr>
  </w:style>
  <w:style w:type="paragraph" w:customStyle="1" w:styleId="Boxsub-headingQUESTION">
    <w:name w:val="Box sub-heading QUESTION"/>
    <w:basedOn w:val="Boxsub-heading"/>
    <w:next w:val="BoxtextQUESTION"/>
    <w:qFormat/>
    <w:rsid w:val="00DC2BD3"/>
    <w:pPr>
      <w:pBdr>
        <w:top w:val="single" w:sz="4" w:space="8" w:color="005491"/>
        <w:left w:val="single" w:sz="4" w:space="8" w:color="005491"/>
        <w:bottom w:val="single" w:sz="4" w:space="8" w:color="005491"/>
        <w:right w:val="single" w:sz="4" w:space="0" w:color="005491"/>
      </w:pBdr>
      <w:shd w:val="clear" w:color="auto" w:fill="005491"/>
      <w:spacing w:before="0" w:after="0"/>
    </w:pPr>
    <w:rPr>
      <w:color w:val="FFFFFF" w:themeColor="background1"/>
    </w:rPr>
  </w:style>
  <w:style w:type="paragraph" w:customStyle="1" w:styleId="BoxtextQUESTION">
    <w:name w:val="Box text QUESTION"/>
    <w:basedOn w:val="Boxtext"/>
    <w:qFormat/>
    <w:rsid w:val="00DC2BD3"/>
    <w:pPr>
      <w:pBdr>
        <w:top w:val="single" w:sz="4" w:space="8" w:color="808080" w:themeColor="background1" w:themeShade="80"/>
        <w:left w:val="single" w:sz="4" w:space="8" w:color="808080" w:themeColor="background1" w:themeShade="80"/>
        <w:bottom w:val="single" w:sz="4" w:space="8" w:color="808080" w:themeColor="background1" w:themeShade="80"/>
        <w:right w:val="single" w:sz="4" w:space="0" w:color="808080" w:themeColor="background1" w:themeShade="80"/>
      </w:pBdr>
      <w:shd w:val="clear" w:color="auto" w:fill="F3F5F4"/>
      <w:spacing w:before="0"/>
    </w:pPr>
  </w:style>
  <w:style w:type="paragraph" w:customStyle="1" w:styleId="BoxtextQUESTIONITALICS">
    <w:name w:val="Box text QUESTION ITALICS"/>
    <w:basedOn w:val="BoxtextQUESTION"/>
    <w:qFormat/>
    <w:rsid w:val="00DC2BD3"/>
    <w:rPr>
      <w:b/>
      <w:i/>
    </w:rPr>
  </w:style>
  <w:style w:type="character" w:customStyle="1" w:styleId="DONOTUSE-DescriptionChar">
    <w:name w:val="DO NOT USE - Description Char"/>
    <w:link w:val="DONOTUSE-Description"/>
    <w:uiPriority w:val="3"/>
    <w:locked/>
    <w:rsid w:val="00135AA6"/>
    <w:rPr>
      <w:rFonts w:ascii="Times New Roman" w:eastAsia="Times New Roman" w:hAnsi="Times New Roman" w:cs="Times New Roman"/>
      <w:color w:val="000000"/>
      <w:sz w:val="24"/>
      <w:szCs w:val="20"/>
      <w:lang w:eastAsia="en-AU"/>
    </w:rPr>
  </w:style>
  <w:style w:type="paragraph" w:customStyle="1" w:styleId="DONOTUSE-Description">
    <w:name w:val="DO NOT USE - Description"/>
    <w:basedOn w:val="Normal"/>
    <w:link w:val="DONOTUSE-DescriptionChar"/>
    <w:uiPriority w:val="3"/>
    <w:qFormat/>
    <w:locked/>
    <w:rsid w:val="00135AA6"/>
    <w:pPr>
      <w:tabs>
        <w:tab w:val="left" w:pos="0"/>
      </w:tabs>
      <w:spacing w:before="0"/>
      <w:outlineLvl w:val="0"/>
    </w:pPr>
    <w:rPr>
      <w:rFonts w:ascii="Times New Roman" w:eastAsia="Times New Roman" w:hAnsi="Times New Roman" w:cs="Times New Roman"/>
      <w:color w:val="000000"/>
      <w:sz w:val="24"/>
      <w:szCs w:val="20"/>
      <w:lang w:eastAsia="en-AU"/>
    </w:rPr>
  </w:style>
  <w:style w:type="paragraph" w:customStyle="1" w:styleId="Default">
    <w:name w:val="Default"/>
    <w:rsid w:val="00135AA6"/>
    <w:pPr>
      <w:autoSpaceDE w:val="0"/>
      <w:autoSpaceDN w:val="0"/>
      <w:adjustRightInd w:val="0"/>
      <w:spacing w:before="0" w:after="0"/>
      <w:ind w:left="0" w:firstLine="0"/>
    </w:pPr>
    <w:rPr>
      <w:rFonts w:ascii="Times New Roman" w:hAnsi="Times New Roman" w:cs="Times New Roman"/>
      <w:color w:val="000000"/>
      <w:sz w:val="24"/>
      <w:szCs w:val="24"/>
    </w:rPr>
  </w:style>
  <w:style w:type="character" w:customStyle="1" w:styleId="Text-Normal">
    <w:name w:val="Text - Normal"/>
    <w:uiPriority w:val="1"/>
    <w:qFormat/>
    <w:rsid w:val="00651530"/>
    <w:rPr>
      <w:color w:val="000000"/>
      <w:sz w:val="24"/>
      <w:szCs w:val="24"/>
    </w:rPr>
  </w:style>
  <w:style w:type="paragraph" w:customStyle="1" w:styleId="MinSubbodytext">
    <w:name w:val="Min Sub body text"/>
    <w:uiPriority w:val="3"/>
    <w:rsid w:val="00267EBC"/>
    <w:pPr>
      <w:tabs>
        <w:tab w:val="right" w:pos="9923"/>
      </w:tabs>
      <w:spacing w:before="0" w:after="0"/>
      <w:ind w:left="-142" w:firstLine="0"/>
    </w:pPr>
    <w:rPr>
      <w:rFonts w:ascii="Times New Roman" w:eastAsia="Calibr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590">
      <w:bodyDiv w:val="1"/>
      <w:marLeft w:val="0"/>
      <w:marRight w:val="0"/>
      <w:marTop w:val="0"/>
      <w:marBottom w:val="0"/>
      <w:divBdr>
        <w:top w:val="none" w:sz="0" w:space="0" w:color="auto"/>
        <w:left w:val="none" w:sz="0" w:space="0" w:color="auto"/>
        <w:bottom w:val="none" w:sz="0" w:space="0" w:color="auto"/>
        <w:right w:val="none" w:sz="0" w:space="0" w:color="auto"/>
      </w:divBdr>
    </w:div>
    <w:div w:id="89594517">
      <w:bodyDiv w:val="1"/>
      <w:marLeft w:val="0"/>
      <w:marRight w:val="0"/>
      <w:marTop w:val="0"/>
      <w:marBottom w:val="0"/>
      <w:divBdr>
        <w:top w:val="none" w:sz="0" w:space="0" w:color="auto"/>
        <w:left w:val="none" w:sz="0" w:space="0" w:color="auto"/>
        <w:bottom w:val="none" w:sz="0" w:space="0" w:color="auto"/>
        <w:right w:val="none" w:sz="0" w:space="0" w:color="auto"/>
      </w:divBdr>
      <w:divsChild>
        <w:div w:id="1187869197">
          <w:marLeft w:val="0"/>
          <w:marRight w:val="0"/>
          <w:marTop w:val="0"/>
          <w:marBottom w:val="0"/>
          <w:divBdr>
            <w:top w:val="none" w:sz="0" w:space="0" w:color="auto"/>
            <w:left w:val="none" w:sz="0" w:space="0" w:color="auto"/>
            <w:bottom w:val="none" w:sz="0" w:space="0" w:color="auto"/>
            <w:right w:val="none" w:sz="0" w:space="0" w:color="auto"/>
          </w:divBdr>
          <w:divsChild>
            <w:div w:id="302151897">
              <w:marLeft w:val="0"/>
              <w:marRight w:val="0"/>
              <w:marTop w:val="0"/>
              <w:marBottom w:val="0"/>
              <w:divBdr>
                <w:top w:val="none" w:sz="0" w:space="0" w:color="auto"/>
                <w:left w:val="none" w:sz="0" w:space="0" w:color="auto"/>
                <w:bottom w:val="none" w:sz="0" w:space="0" w:color="auto"/>
                <w:right w:val="none" w:sz="0" w:space="0" w:color="auto"/>
              </w:divBdr>
              <w:divsChild>
                <w:div w:id="1881475353">
                  <w:marLeft w:val="0"/>
                  <w:marRight w:val="0"/>
                  <w:marTop w:val="0"/>
                  <w:marBottom w:val="0"/>
                  <w:divBdr>
                    <w:top w:val="none" w:sz="0" w:space="0" w:color="auto"/>
                    <w:left w:val="none" w:sz="0" w:space="0" w:color="auto"/>
                    <w:bottom w:val="none" w:sz="0" w:space="0" w:color="auto"/>
                    <w:right w:val="none" w:sz="0" w:space="0" w:color="auto"/>
                  </w:divBdr>
                  <w:divsChild>
                    <w:div w:id="11349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7518">
      <w:bodyDiv w:val="1"/>
      <w:marLeft w:val="0"/>
      <w:marRight w:val="0"/>
      <w:marTop w:val="0"/>
      <w:marBottom w:val="0"/>
      <w:divBdr>
        <w:top w:val="none" w:sz="0" w:space="0" w:color="auto"/>
        <w:left w:val="none" w:sz="0" w:space="0" w:color="auto"/>
        <w:bottom w:val="none" w:sz="0" w:space="0" w:color="auto"/>
        <w:right w:val="none" w:sz="0" w:space="0" w:color="auto"/>
      </w:divBdr>
    </w:div>
    <w:div w:id="184367847">
      <w:bodyDiv w:val="1"/>
      <w:marLeft w:val="0"/>
      <w:marRight w:val="0"/>
      <w:marTop w:val="0"/>
      <w:marBottom w:val="0"/>
      <w:divBdr>
        <w:top w:val="none" w:sz="0" w:space="0" w:color="auto"/>
        <w:left w:val="none" w:sz="0" w:space="0" w:color="auto"/>
        <w:bottom w:val="none" w:sz="0" w:space="0" w:color="auto"/>
        <w:right w:val="none" w:sz="0" w:space="0" w:color="auto"/>
      </w:divBdr>
    </w:div>
    <w:div w:id="328560371">
      <w:bodyDiv w:val="1"/>
      <w:marLeft w:val="0"/>
      <w:marRight w:val="0"/>
      <w:marTop w:val="0"/>
      <w:marBottom w:val="0"/>
      <w:divBdr>
        <w:top w:val="none" w:sz="0" w:space="0" w:color="auto"/>
        <w:left w:val="none" w:sz="0" w:space="0" w:color="auto"/>
        <w:bottom w:val="none" w:sz="0" w:space="0" w:color="auto"/>
        <w:right w:val="none" w:sz="0" w:space="0" w:color="auto"/>
      </w:divBdr>
    </w:div>
    <w:div w:id="473182892">
      <w:bodyDiv w:val="1"/>
      <w:marLeft w:val="0"/>
      <w:marRight w:val="0"/>
      <w:marTop w:val="0"/>
      <w:marBottom w:val="0"/>
      <w:divBdr>
        <w:top w:val="none" w:sz="0" w:space="0" w:color="auto"/>
        <w:left w:val="none" w:sz="0" w:space="0" w:color="auto"/>
        <w:bottom w:val="none" w:sz="0" w:space="0" w:color="auto"/>
        <w:right w:val="none" w:sz="0" w:space="0" w:color="auto"/>
      </w:divBdr>
    </w:div>
    <w:div w:id="548110304">
      <w:bodyDiv w:val="1"/>
      <w:marLeft w:val="0"/>
      <w:marRight w:val="0"/>
      <w:marTop w:val="0"/>
      <w:marBottom w:val="0"/>
      <w:divBdr>
        <w:top w:val="none" w:sz="0" w:space="0" w:color="auto"/>
        <w:left w:val="none" w:sz="0" w:space="0" w:color="auto"/>
        <w:bottom w:val="none" w:sz="0" w:space="0" w:color="auto"/>
        <w:right w:val="none" w:sz="0" w:space="0" w:color="auto"/>
      </w:divBdr>
      <w:divsChild>
        <w:div w:id="14311038">
          <w:marLeft w:val="0"/>
          <w:marRight w:val="0"/>
          <w:marTop w:val="0"/>
          <w:marBottom w:val="0"/>
          <w:divBdr>
            <w:top w:val="none" w:sz="0" w:space="0" w:color="auto"/>
            <w:left w:val="none" w:sz="0" w:space="0" w:color="auto"/>
            <w:bottom w:val="none" w:sz="0" w:space="0" w:color="auto"/>
            <w:right w:val="none" w:sz="0" w:space="0" w:color="auto"/>
          </w:divBdr>
          <w:divsChild>
            <w:div w:id="1451436225">
              <w:marLeft w:val="0"/>
              <w:marRight w:val="0"/>
              <w:marTop w:val="0"/>
              <w:marBottom w:val="0"/>
              <w:divBdr>
                <w:top w:val="none" w:sz="0" w:space="0" w:color="auto"/>
                <w:left w:val="none" w:sz="0" w:space="0" w:color="auto"/>
                <w:bottom w:val="none" w:sz="0" w:space="0" w:color="auto"/>
                <w:right w:val="none" w:sz="0" w:space="0" w:color="auto"/>
              </w:divBdr>
              <w:divsChild>
                <w:div w:id="526673042">
                  <w:marLeft w:val="0"/>
                  <w:marRight w:val="0"/>
                  <w:marTop w:val="0"/>
                  <w:marBottom w:val="0"/>
                  <w:divBdr>
                    <w:top w:val="none" w:sz="0" w:space="0" w:color="auto"/>
                    <w:left w:val="none" w:sz="0" w:space="0" w:color="auto"/>
                    <w:bottom w:val="none" w:sz="0" w:space="0" w:color="auto"/>
                    <w:right w:val="none" w:sz="0" w:space="0" w:color="auto"/>
                  </w:divBdr>
                  <w:divsChild>
                    <w:div w:id="777721752">
                      <w:marLeft w:val="0"/>
                      <w:marRight w:val="0"/>
                      <w:marTop w:val="0"/>
                      <w:marBottom w:val="0"/>
                      <w:divBdr>
                        <w:top w:val="none" w:sz="0" w:space="0" w:color="auto"/>
                        <w:left w:val="none" w:sz="0" w:space="0" w:color="auto"/>
                        <w:bottom w:val="none" w:sz="0" w:space="0" w:color="auto"/>
                        <w:right w:val="none" w:sz="0" w:space="0" w:color="auto"/>
                      </w:divBdr>
                      <w:divsChild>
                        <w:div w:id="1351882228">
                          <w:marLeft w:val="0"/>
                          <w:marRight w:val="0"/>
                          <w:marTop w:val="0"/>
                          <w:marBottom w:val="0"/>
                          <w:divBdr>
                            <w:top w:val="none" w:sz="0" w:space="0" w:color="auto"/>
                            <w:left w:val="none" w:sz="0" w:space="0" w:color="auto"/>
                            <w:bottom w:val="none" w:sz="0" w:space="0" w:color="auto"/>
                            <w:right w:val="none" w:sz="0" w:space="0" w:color="auto"/>
                          </w:divBdr>
                          <w:divsChild>
                            <w:div w:id="9616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286324">
      <w:bodyDiv w:val="1"/>
      <w:marLeft w:val="0"/>
      <w:marRight w:val="0"/>
      <w:marTop w:val="0"/>
      <w:marBottom w:val="0"/>
      <w:divBdr>
        <w:top w:val="none" w:sz="0" w:space="0" w:color="auto"/>
        <w:left w:val="none" w:sz="0" w:space="0" w:color="auto"/>
        <w:bottom w:val="none" w:sz="0" w:space="0" w:color="auto"/>
        <w:right w:val="none" w:sz="0" w:space="0" w:color="auto"/>
      </w:divBdr>
    </w:div>
    <w:div w:id="679744597">
      <w:bodyDiv w:val="1"/>
      <w:marLeft w:val="0"/>
      <w:marRight w:val="0"/>
      <w:marTop w:val="0"/>
      <w:marBottom w:val="0"/>
      <w:divBdr>
        <w:top w:val="none" w:sz="0" w:space="0" w:color="auto"/>
        <w:left w:val="none" w:sz="0" w:space="0" w:color="auto"/>
        <w:bottom w:val="none" w:sz="0" w:space="0" w:color="auto"/>
        <w:right w:val="none" w:sz="0" w:space="0" w:color="auto"/>
      </w:divBdr>
    </w:div>
    <w:div w:id="699862380">
      <w:bodyDiv w:val="1"/>
      <w:marLeft w:val="0"/>
      <w:marRight w:val="0"/>
      <w:marTop w:val="0"/>
      <w:marBottom w:val="0"/>
      <w:divBdr>
        <w:top w:val="none" w:sz="0" w:space="0" w:color="auto"/>
        <w:left w:val="none" w:sz="0" w:space="0" w:color="auto"/>
        <w:bottom w:val="none" w:sz="0" w:space="0" w:color="auto"/>
        <w:right w:val="none" w:sz="0" w:space="0" w:color="auto"/>
      </w:divBdr>
      <w:divsChild>
        <w:div w:id="1141776224">
          <w:marLeft w:val="0"/>
          <w:marRight w:val="0"/>
          <w:marTop w:val="0"/>
          <w:marBottom w:val="0"/>
          <w:divBdr>
            <w:top w:val="none" w:sz="0" w:space="0" w:color="auto"/>
            <w:left w:val="none" w:sz="0" w:space="0" w:color="auto"/>
            <w:bottom w:val="none" w:sz="0" w:space="0" w:color="auto"/>
            <w:right w:val="none" w:sz="0" w:space="0" w:color="auto"/>
          </w:divBdr>
          <w:divsChild>
            <w:div w:id="213927279">
              <w:marLeft w:val="0"/>
              <w:marRight w:val="0"/>
              <w:marTop w:val="0"/>
              <w:marBottom w:val="0"/>
              <w:divBdr>
                <w:top w:val="none" w:sz="0" w:space="0" w:color="auto"/>
                <w:left w:val="none" w:sz="0" w:space="0" w:color="auto"/>
                <w:bottom w:val="none" w:sz="0" w:space="0" w:color="auto"/>
                <w:right w:val="none" w:sz="0" w:space="0" w:color="auto"/>
              </w:divBdr>
              <w:divsChild>
                <w:div w:id="11347651">
                  <w:marLeft w:val="0"/>
                  <w:marRight w:val="0"/>
                  <w:marTop w:val="0"/>
                  <w:marBottom w:val="0"/>
                  <w:divBdr>
                    <w:top w:val="none" w:sz="0" w:space="0" w:color="auto"/>
                    <w:left w:val="none" w:sz="0" w:space="0" w:color="auto"/>
                    <w:bottom w:val="none" w:sz="0" w:space="0" w:color="auto"/>
                    <w:right w:val="none" w:sz="0" w:space="0" w:color="auto"/>
                  </w:divBdr>
                  <w:divsChild>
                    <w:div w:id="1558467339">
                      <w:marLeft w:val="0"/>
                      <w:marRight w:val="0"/>
                      <w:marTop w:val="0"/>
                      <w:marBottom w:val="0"/>
                      <w:divBdr>
                        <w:top w:val="none" w:sz="0" w:space="0" w:color="auto"/>
                        <w:left w:val="none" w:sz="0" w:space="0" w:color="auto"/>
                        <w:bottom w:val="none" w:sz="0" w:space="0" w:color="auto"/>
                        <w:right w:val="none" w:sz="0" w:space="0" w:color="auto"/>
                      </w:divBdr>
                      <w:divsChild>
                        <w:div w:id="1342970264">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621536">
      <w:bodyDiv w:val="1"/>
      <w:marLeft w:val="0"/>
      <w:marRight w:val="0"/>
      <w:marTop w:val="0"/>
      <w:marBottom w:val="0"/>
      <w:divBdr>
        <w:top w:val="none" w:sz="0" w:space="0" w:color="auto"/>
        <w:left w:val="none" w:sz="0" w:space="0" w:color="auto"/>
        <w:bottom w:val="none" w:sz="0" w:space="0" w:color="auto"/>
        <w:right w:val="none" w:sz="0" w:space="0" w:color="auto"/>
      </w:divBdr>
    </w:div>
    <w:div w:id="827524107">
      <w:bodyDiv w:val="1"/>
      <w:marLeft w:val="0"/>
      <w:marRight w:val="0"/>
      <w:marTop w:val="0"/>
      <w:marBottom w:val="0"/>
      <w:divBdr>
        <w:top w:val="none" w:sz="0" w:space="0" w:color="auto"/>
        <w:left w:val="none" w:sz="0" w:space="0" w:color="auto"/>
        <w:bottom w:val="none" w:sz="0" w:space="0" w:color="auto"/>
        <w:right w:val="none" w:sz="0" w:space="0" w:color="auto"/>
      </w:divBdr>
      <w:divsChild>
        <w:div w:id="838736492">
          <w:marLeft w:val="0"/>
          <w:marRight w:val="0"/>
          <w:marTop w:val="0"/>
          <w:marBottom w:val="0"/>
          <w:divBdr>
            <w:top w:val="none" w:sz="0" w:space="0" w:color="auto"/>
            <w:left w:val="none" w:sz="0" w:space="0" w:color="auto"/>
            <w:bottom w:val="none" w:sz="0" w:space="0" w:color="auto"/>
            <w:right w:val="none" w:sz="0" w:space="0" w:color="auto"/>
          </w:divBdr>
          <w:divsChild>
            <w:div w:id="693652630">
              <w:marLeft w:val="0"/>
              <w:marRight w:val="0"/>
              <w:marTop w:val="0"/>
              <w:marBottom w:val="0"/>
              <w:divBdr>
                <w:top w:val="none" w:sz="0" w:space="0" w:color="auto"/>
                <w:left w:val="none" w:sz="0" w:space="0" w:color="auto"/>
                <w:bottom w:val="none" w:sz="0" w:space="0" w:color="auto"/>
                <w:right w:val="none" w:sz="0" w:space="0" w:color="auto"/>
              </w:divBdr>
              <w:divsChild>
                <w:div w:id="507064688">
                  <w:marLeft w:val="0"/>
                  <w:marRight w:val="0"/>
                  <w:marTop w:val="0"/>
                  <w:marBottom w:val="0"/>
                  <w:divBdr>
                    <w:top w:val="none" w:sz="0" w:space="0" w:color="auto"/>
                    <w:left w:val="none" w:sz="0" w:space="0" w:color="auto"/>
                    <w:bottom w:val="none" w:sz="0" w:space="0" w:color="auto"/>
                    <w:right w:val="none" w:sz="0" w:space="0" w:color="auto"/>
                  </w:divBdr>
                  <w:divsChild>
                    <w:div w:id="167600973">
                      <w:marLeft w:val="0"/>
                      <w:marRight w:val="0"/>
                      <w:marTop w:val="45"/>
                      <w:marBottom w:val="0"/>
                      <w:divBdr>
                        <w:top w:val="none" w:sz="0" w:space="0" w:color="auto"/>
                        <w:left w:val="none" w:sz="0" w:space="0" w:color="auto"/>
                        <w:bottom w:val="none" w:sz="0" w:space="0" w:color="auto"/>
                        <w:right w:val="none" w:sz="0" w:space="0" w:color="auto"/>
                      </w:divBdr>
                      <w:divsChild>
                        <w:div w:id="1436441587">
                          <w:marLeft w:val="0"/>
                          <w:marRight w:val="0"/>
                          <w:marTop w:val="0"/>
                          <w:marBottom w:val="0"/>
                          <w:divBdr>
                            <w:top w:val="none" w:sz="0" w:space="0" w:color="auto"/>
                            <w:left w:val="none" w:sz="0" w:space="0" w:color="auto"/>
                            <w:bottom w:val="none" w:sz="0" w:space="0" w:color="auto"/>
                            <w:right w:val="none" w:sz="0" w:space="0" w:color="auto"/>
                          </w:divBdr>
                          <w:divsChild>
                            <w:div w:id="495267385">
                              <w:marLeft w:val="2070"/>
                              <w:marRight w:val="3810"/>
                              <w:marTop w:val="0"/>
                              <w:marBottom w:val="0"/>
                              <w:divBdr>
                                <w:top w:val="none" w:sz="0" w:space="0" w:color="auto"/>
                                <w:left w:val="none" w:sz="0" w:space="0" w:color="auto"/>
                                <w:bottom w:val="none" w:sz="0" w:space="0" w:color="auto"/>
                                <w:right w:val="none" w:sz="0" w:space="0" w:color="auto"/>
                              </w:divBdr>
                              <w:divsChild>
                                <w:div w:id="1260916424">
                                  <w:marLeft w:val="0"/>
                                  <w:marRight w:val="0"/>
                                  <w:marTop w:val="0"/>
                                  <w:marBottom w:val="0"/>
                                  <w:divBdr>
                                    <w:top w:val="none" w:sz="0" w:space="0" w:color="auto"/>
                                    <w:left w:val="none" w:sz="0" w:space="0" w:color="auto"/>
                                    <w:bottom w:val="none" w:sz="0" w:space="0" w:color="auto"/>
                                    <w:right w:val="none" w:sz="0" w:space="0" w:color="auto"/>
                                  </w:divBdr>
                                  <w:divsChild>
                                    <w:div w:id="808790551">
                                      <w:marLeft w:val="0"/>
                                      <w:marRight w:val="0"/>
                                      <w:marTop w:val="0"/>
                                      <w:marBottom w:val="0"/>
                                      <w:divBdr>
                                        <w:top w:val="none" w:sz="0" w:space="0" w:color="auto"/>
                                        <w:left w:val="none" w:sz="0" w:space="0" w:color="auto"/>
                                        <w:bottom w:val="none" w:sz="0" w:space="0" w:color="auto"/>
                                        <w:right w:val="none" w:sz="0" w:space="0" w:color="auto"/>
                                      </w:divBdr>
                                      <w:divsChild>
                                        <w:div w:id="1401051070">
                                          <w:marLeft w:val="0"/>
                                          <w:marRight w:val="0"/>
                                          <w:marTop w:val="0"/>
                                          <w:marBottom w:val="0"/>
                                          <w:divBdr>
                                            <w:top w:val="none" w:sz="0" w:space="0" w:color="auto"/>
                                            <w:left w:val="none" w:sz="0" w:space="0" w:color="auto"/>
                                            <w:bottom w:val="none" w:sz="0" w:space="0" w:color="auto"/>
                                            <w:right w:val="none" w:sz="0" w:space="0" w:color="auto"/>
                                          </w:divBdr>
                                          <w:divsChild>
                                            <w:div w:id="15161285">
                                              <w:marLeft w:val="0"/>
                                              <w:marRight w:val="0"/>
                                              <w:marTop w:val="0"/>
                                              <w:marBottom w:val="0"/>
                                              <w:divBdr>
                                                <w:top w:val="none" w:sz="0" w:space="0" w:color="auto"/>
                                                <w:left w:val="none" w:sz="0" w:space="0" w:color="auto"/>
                                                <w:bottom w:val="none" w:sz="0" w:space="0" w:color="auto"/>
                                                <w:right w:val="none" w:sz="0" w:space="0" w:color="auto"/>
                                              </w:divBdr>
                                              <w:divsChild>
                                                <w:div w:id="364524701">
                                                  <w:marLeft w:val="0"/>
                                                  <w:marRight w:val="0"/>
                                                  <w:marTop w:val="0"/>
                                                  <w:marBottom w:val="0"/>
                                                  <w:divBdr>
                                                    <w:top w:val="none" w:sz="0" w:space="0" w:color="auto"/>
                                                    <w:left w:val="none" w:sz="0" w:space="0" w:color="auto"/>
                                                    <w:bottom w:val="none" w:sz="0" w:space="0" w:color="auto"/>
                                                    <w:right w:val="none" w:sz="0" w:space="0" w:color="auto"/>
                                                  </w:divBdr>
                                                  <w:divsChild>
                                                    <w:div w:id="1299070540">
                                                      <w:marLeft w:val="0"/>
                                                      <w:marRight w:val="0"/>
                                                      <w:marTop w:val="0"/>
                                                      <w:marBottom w:val="0"/>
                                                      <w:divBdr>
                                                        <w:top w:val="none" w:sz="0" w:space="0" w:color="auto"/>
                                                        <w:left w:val="none" w:sz="0" w:space="0" w:color="auto"/>
                                                        <w:bottom w:val="none" w:sz="0" w:space="0" w:color="auto"/>
                                                        <w:right w:val="none" w:sz="0" w:space="0" w:color="auto"/>
                                                      </w:divBdr>
                                                      <w:divsChild>
                                                        <w:div w:id="1895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629134">
      <w:bodyDiv w:val="1"/>
      <w:marLeft w:val="0"/>
      <w:marRight w:val="0"/>
      <w:marTop w:val="0"/>
      <w:marBottom w:val="0"/>
      <w:divBdr>
        <w:top w:val="none" w:sz="0" w:space="0" w:color="auto"/>
        <w:left w:val="none" w:sz="0" w:space="0" w:color="auto"/>
        <w:bottom w:val="none" w:sz="0" w:space="0" w:color="auto"/>
        <w:right w:val="none" w:sz="0" w:space="0" w:color="auto"/>
      </w:divBdr>
      <w:divsChild>
        <w:div w:id="73627811">
          <w:marLeft w:val="0"/>
          <w:marRight w:val="0"/>
          <w:marTop w:val="0"/>
          <w:marBottom w:val="0"/>
          <w:divBdr>
            <w:top w:val="none" w:sz="0" w:space="0" w:color="auto"/>
            <w:left w:val="none" w:sz="0" w:space="0" w:color="auto"/>
            <w:bottom w:val="none" w:sz="0" w:space="0" w:color="auto"/>
            <w:right w:val="none" w:sz="0" w:space="0" w:color="auto"/>
          </w:divBdr>
          <w:divsChild>
            <w:div w:id="1238831155">
              <w:marLeft w:val="0"/>
              <w:marRight w:val="0"/>
              <w:marTop w:val="0"/>
              <w:marBottom w:val="0"/>
              <w:divBdr>
                <w:top w:val="none" w:sz="0" w:space="0" w:color="auto"/>
                <w:left w:val="none" w:sz="0" w:space="0" w:color="auto"/>
                <w:bottom w:val="none" w:sz="0" w:space="0" w:color="auto"/>
                <w:right w:val="none" w:sz="0" w:space="0" w:color="auto"/>
              </w:divBdr>
              <w:divsChild>
                <w:div w:id="346566488">
                  <w:marLeft w:val="0"/>
                  <w:marRight w:val="0"/>
                  <w:marTop w:val="0"/>
                  <w:marBottom w:val="0"/>
                  <w:divBdr>
                    <w:top w:val="none" w:sz="0" w:space="0" w:color="auto"/>
                    <w:left w:val="none" w:sz="0" w:space="0" w:color="auto"/>
                    <w:bottom w:val="none" w:sz="0" w:space="0" w:color="auto"/>
                    <w:right w:val="none" w:sz="0" w:space="0" w:color="auto"/>
                  </w:divBdr>
                  <w:divsChild>
                    <w:div w:id="1998418249">
                      <w:marLeft w:val="0"/>
                      <w:marRight w:val="0"/>
                      <w:marTop w:val="0"/>
                      <w:marBottom w:val="0"/>
                      <w:divBdr>
                        <w:top w:val="none" w:sz="0" w:space="0" w:color="auto"/>
                        <w:left w:val="none" w:sz="0" w:space="0" w:color="auto"/>
                        <w:bottom w:val="none" w:sz="0" w:space="0" w:color="auto"/>
                        <w:right w:val="none" w:sz="0" w:space="0" w:color="auto"/>
                      </w:divBdr>
                      <w:divsChild>
                        <w:div w:id="470514940">
                          <w:marLeft w:val="0"/>
                          <w:marRight w:val="1200"/>
                          <w:marTop w:val="300"/>
                          <w:marBottom w:val="0"/>
                          <w:divBdr>
                            <w:top w:val="none" w:sz="0" w:space="0" w:color="auto"/>
                            <w:left w:val="none" w:sz="0" w:space="0" w:color="auto"/>
                            <w:bottom w:val="none" w:sz="0" w:space="0" w:color="auto"/>
                            <w:right w:val="none" w:sz="0" w:space="0" w:color="auto"/>
                          </w:divBdr>
                          <w:divsChild>
                            <w:div w:id="12634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404542">
      <w:bodyDiv w:val="1"/>
      <w:marLeft w:val="0"/>
      <w:marRight w:val="0"/>
      <w:marTop w:val="0"/>
      <w:marBottom w:val="0"/>
      <w:divBdr>
        <w:top w:val="none" w:sz="0" w:space="0" w:color="auto"/>
        <w:left w:val="none" w:sz="0" w:space="0" w:color="auto"/>
        <w:bottom w:val="none" w:sz="0" w:space="0" w:color="auto"/>
        <w:right w:val="none" w:sz="0" w:space="0" w:color="auto"/>
      </w:divBdr>
      <w:divsChild>
        <w:div w:id="478033158">
          <w:marLeft w:val="0"/>
          <w:marRight w:val="0"/>
          <w:marTop w:val="0"/>
          <w:marBottom w:val="0"/>
          <w:divBdr>
            <w:top w:val="none" w:sz="0" w:space="0" w:color="auto"/>
            <w:left w:val="none" w:sz="0" w:space="0" w:color="auto"/>
            <w:bottom w:val="none" w:sz="0" w:space="0" w:color="auto"/>
            <w:right w:val="none" w:sz="0" w:space="0" w:color="auto"/>
          </w:divBdr>
          <w:divsChild>
            <w:div w:id="1707633385">
              <w:marLeft w:val="0"/>
              <w:marRight w:val="0"/>
              <w:marTop w:val="0"/>
              <w:marBottom w:val="0"/>
              <w:divBdr>
                <w:top w:val="none" w:sz="0" w:space="0" w:color="auto"/>
                <w:left w:val="none" w:sz="0" w:space="0" w:color="auto"/>
                <w:bottom w:val="none" w:sz="0" w:space="0" w:color="auto"/>
                <w:right w:val="none" w:sz="0" w:space="0" w:color="auto"/>
              </w:divBdr>
              <w:divsChild>
                <w:div w:id="1583831306">
                  <w:marLeft w:val="0"/>
                  <w:marRight w:val="0"/>
                  <w:marTop w:val="0"/>
                  <w:marBottom w:val="0"/>
                  <w:divBdr>
                    <w:top w:val="none" w:sz="0" w:space="0" w:color="auto"/>
                    <w:left w:val="none" w:sz="0" w:space="0" w:color="auto"/>
                    <w:bottom w:val="none" w:sz="0" w:space="0" w:color="auto"/>
                    <w:right w:val="none" w:sz="0" w:space="0" w:color="auto"/>
                  </w:divBdr>
                  <w:divsChild>
                    <w:div w:id="1094401828">
                      <w:marLeft w:val="0"/>
                      <w:marRight w:val="0"/>
                      <w:marTop w:val="0"/>
                      <w:marBottom w:val="0"/>
                      <w:divBdr>
                        <w:top w:val="none" w:sz="0" w:space="0" w:color="auto"/>
                        <w:left w:val="none" w:sz="0" w:space="0" w:color="auto"/>
                        <w:bottom w:val="none" w:sz="0" w:space="0" w:color="auto"/>
                        <w:right w:val="none" w:sz="0" w:space="0" w:color="auto"/>
                      </w:divBdr>
                      <w:divsChild>
                        <w:div w:id="277223684">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671970">
      <w:bodyDiv w:val="1"/>
      <w:marLeft w:val="0"/>
      <w:marRight w:val="0"/>
      <w:marTop w:val="0"/>
      <w:marBottom w:val="0"/>
      <w:divBdr>
        <w:top w:val="none" w:sz="0" w:space="0" w:color="auto"/>
        <w:left w:val="none" w:sz="0" w:space="0" w:color="auto"/>
        <w:bottom w:val="none" w:sz="0" w:space="0" w:color="auto"/>
        <w:right w:val="none" w:sz="0" w:space="0" w:color="auto"/>
      </w:divBdr>
    </w:div>
    <w:div w:id="1105542875">
      <w:bodyDiv w:val="1"/>
      <w:marLeft w:val="0"/>
      <w:marRight w:val="0"/>
      <w:marTop w:val="0"/>
      <w:marBottom w:val="0"/>
      <w:divBdr>
        <w:top w:val="none" w:sz="0" w:space="0" w:color="auto"/>
        <w:left w:val="none" w:sz="0" w:space="0" w:color="auto"/>
        <w:bottom w:val="none" w:sz="0" w:space="0" w:color="auto"/>
        <w:right w:val="none" w:sz="0" w:space="0" w:color="auto"/>
      </w:divBdr>
    </w:div>
    <w:div w:id="1129084068">
      <w:bodyDiv w:val="1"/>
      <w:marLeft w:val="0"/>
      <w:marRight w:val="0"/>
      <w:marTop w:val="0"/>
      <w:marBottom w:val="0"/>
      <w:divBdr>
        <w:top w:val="none" w:sz="0" w:space="0" w:color="auto"/>
        <w:left w:val="none" w:sz="0" w:space="0" w:color="auto"/>
        <w:bottom w:val="none" w:sz="0" w:space="0" w:color="auto"/>
        <w:right w:val="none" w:sz="0" w:space="0" w:color="auto"/>
      </w:divBdr>
      <w:divsChild>
        <w:div w:id="1413550545">
          <w:marLeft w:val="0"/>
          <w:marRight w:val="0"/>
          <w:marTop w:val="0"/>
          <w:marBottom w:val="0"/>
          <w:divBdr>
            <w:top w:val="none" w:sz="0" w:space="0" w:color="auto"/>
            <w:left w:val="none" w:sz="0" w:space="0" w:color="auto"/>
            <w:bottom w:val="none" w:sz="0" w:space="0" w:color="auto"/>
            <w:right w:val="none" w:sz="0" w:space="0" w:color="auto"/>
          </w:divBdr>
          <w:divsChild>
            <w:div w:id="307101895">
              <w:marLeft w:val="0"/>
              <w:marRight w:val="0"/>
              <w:marTop w:val="0"/>
              <w:marBottom w:val="0"/>
              <w:divBdr>
                <w:top w:val="none" w:sz="0" w:space="0" w:color="auto"/>
                <w:left w:val="none" w:sz="0" w:space="0" w:color="auto"/>
                <w:bottom w:val="none" w:sz="0" w:space="0" w:color="auto"/>
                <w:right w:val="none" w:sz="0" w:space="0" w:color="auto"/>
              </w:divBdr>
              <w:divsChild>
                <w:div w:id="2026007643">
                  <w:marLeft w:val="0"/>
                  <w:marRight w:val="0"/>
                  <w:marTop w:val="0"/>
                  <w:marBottom w:val="0"/>
                  <w:divBdr>
                    <w:top w:val="none" w:sz="0" w:space="0" w:color="auto"/>
                    <w:left w:val="none" w:sz="0" w:space="0" w:color="auto"/>
                    <w:bottom w:val="none" w:sz="0" w:space="0" w:color="auto"/>
                    <w:right w:val="none" w:sz="0" w:space="0" w:color="auto"/>
                  </w:divBdr>
                  <w:divsChild>
                    <w:div w:id="310405891">
                      <w:marLeft w:val="0"/>
                      <w:marRight w:val="0"/>
                      <w:marTop w:val="0"/>
                      <w:marBottom w:val="0"/>
                      <w:divBdr>
                        <w:top w:val="none" w:sz="0" w:space="0" w:color="auto"/>
                        <w:left w:val="none" w:sz="0" w:space="0" w:color="auto"/>
                        <w:bottom w:val="none" w:sz="0" w:space="0" w:color="auto"/>
                        <w:right w:val="none" w:sz="0" w:space="0" w:color="auto"/>
                      </w:divBdr>
                      <w:divsChild>
                        <w:div w:id="1387533244">
                          <w:marLeft w:val="0"/>
                          <w:marRight w:val="0"/>
                          <w:marTop w:val="0"/>
                          <w:marBottom w:val="0"/>
                          <w:divBdr>
                            <w:top w:val="none" w:sz="0" w:space="0" w:color="auto"/>
                            <w:left w:val="none" w:sz="0" w:space="0" w:color="auto"/>
                            <w:bottom w:val="none" w:sz="0" w:space="0" w:color="auto"/>
                            <w:right w:val="none" w:sz="0" w:space="0" w:color="auto"/>
                          </w:divBdr>
                          <w:divsChild>
                            <w:div w:id="1324161652">
                              <w:marLeft w:val="0"/>
                              <w:marRight w:val="0"/>
                              <w:marTop w:val="0"/>
                              <w:marBottom w:val="30"/>
                              <w:divBdr>
                                <w:top w:val="none" w:sz="0" w:space="0" w:color="auto"/>
                                <w:left w:val="none" w:sz="0" w:space="0" w:color="auto"/>
                                <w:bottom w:val="none" w:sz="0" w:space="0" w:color="auto"/>
                                <w:right w:val="none" w:sz="0" w:space="0" w:color="auto"/>
                              </w:divBdr>
                              <w:divsChild>
                                <w:div w:id="173369543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164907">
      <w:bodyDiv w:val="1"/>
      <w:marLeft w:val="0"/>
      <w:marRight w:val="0"/>
      <w:marTop w:val="0"/>
      <w:marBottom w:val="0"/>
      <w:divBdr>
        <w:top w:val="none" w:sz="0" w:space="0" w:color="auto"/>
        <w:left w:val="none" w:sz="0" w:space="0" w:color="auto"/>
        <w:bottom w:val="none" w:sz="0" w:space="0" w:color="auto"/>
        <w:right w:val="none" w:sz="0" w:space="0" w:color="auto"/>
      </w:divBdr>
    </w:div>
    <w:div w:id="1165902111">
      <w:bodyDiv w:val="1"/>
      <w:marLeft w:val="0"/>
      <w:marRight w:val="0"/>
      <w:marTop w:val="0"/>
      <w:marBottom w:val="0"/>
      <w:divBdr>
        <w:top w:val="none" w:sz="0" w:space="0" w:color="auto"/>
        <w:left w:val="none" w:sz="0" w:space="0" w:color="auto"/>
        <w:bottom w:val="none" w:sz="0" w:space="0" w:color="auto"/>
        <w:right w:val="none" w:sz="0" w:space="0" w:color="auto"/>
      </w:divBdr>
    </w:div>
    <w:div w:id="1210266624">
      <w:bodyDiv w:val="1"/>
      <w:marLeft w:val="0"/>
      <w:marRight w:val="0"/>
      <w:marTop w:val="0"/>
      <w:marBottom w:val="0"/>
      <w:divBdr>
        <w:top w:val="none" w:sz="0" w:space="0" w:color="auto"/>
        <w:left w:val="none" w:sz="0" w:space="0" w:color="auto"/>
        <w:bottom w:val="none" w:sz="0" w:space="0" w:color="auto"/>
        <w:right w:val="none" w:sz="0" w:space="0" w:color="auto"/>
      </w:divBdr>
    </w:div>
    <w:div w:id="1216165501">
      <w:bodyDiv w:val="1"/>
      <w:marLeft w:val="0"/>
      <w:marRight w:val="0"/>
      <w:marTop w:val="0"/>
      <w:marBottom w:val="0"/>
      <w:divBdr>
        <w:top w:val="none" w:sz="0" w:space="0" w:color="auto"/>
        <w:left w:val="none" w:sz="0" w:space="0" w:color="auto"/>
        <w:bottom w:val="none" w:sz="0" w:space="0" w:color="auto"/>
        <w:right w:val="none" w:sz="0" w:space="0" w:color="auto"/>
      </w:divBdr>
    </w:div>
    <w:div w:id="1316226454">
      <w:bodyDiv w:val="1"/>
      <w:marLeft w:val="0"/>
      <w:marRight w:val="0"/>
      <w:marTop w:val="0"/>
      <w:marBottom w:val="0"/>
      <w:divBdr>
        <w:top w:val="none" w:sz="0" w:space="0" w:color="auto"/>
        <w:left w:val="none" w:sz="0" w:space="0" w:color="auto"/>
        <w:bottom w:val="none" w:sz="0" w:space="0" w:color="auto"/>
        <w:right w:val="none" w:sz="0" w:space="0" w:color="auto"/>
      </w:divBdr>
      <w:divsChild>
        <w:div w:id="1223247138">
          <w:marLeft w:val="0"/>
          <w:marRight w:val="0"/>
          <w:marTop w:val="0"/>
          <w:marBottom w:val="0"/>
          <w:divBdr>
            <w:top w:val="none" w:sz="0" w:space="0" w:color="auto"/>
            <w:left w:val="none" w:sz="0" w:space="0" w:color="auto"/>
            <w:bottom w:val="none" w:sz="0" w:space="0" w:color="auto"/>
            <w:right w:val="none" w:sz="0" w:space="0" w:color="auto"/>
          </w:divBdr>
          <w:divsChild>
            <w:div w:id="1898010849">
              <w:marLeft w:val="0"/>
              <w:marRight w:val="0"/>
              <w:marTop w:val="0"/>
              <w:marBottom w:val="0"/>
              <w:divBdr>
                <w:top w:val="none" w:sz="0" w:space="0" w:color="auto"/>
                <w:left w:val="none" w:sz="0" w:space="0" w:color="auto"/>
                <w:bottom w:val="none" w:sz="0" w:space="0" w:color="auto"/>
                <w:right w:val="none" w:sz="0" w:space="0" w:color="auto"/>
              </w:divBdr>
              <w:divsChild>
                <w:div w:id="1740789495">
                  <w:marLeft w:val="0"/>
                  <w:marRight w:val="0"/>
                  <w:marTop w:val="0"/>
                  <w:marBottom w:val="0"/>
                  <w:divBdr>
                    <w:top w:val="none" w:sz="0" w:space="0" w:color="auto"/>
                    <w:left w:val="none" w:sz="0" w:space="0" w:color="auto"/>
                    <w:bottom w:val="none" w:sz="0" w:space="0" w:color="auto"/>
                    <w:right w:val="none" w:sz="0" w:space="0" w:color="auto"/>
                  </w:divBdr>
                  <w:divsChild>
                    <w:div w:id="1711762459">
                      <w:marLeft w:val="0"/>
                      <w:marRight w:val="0"/>
                      <w:marTop w:val="0"/>
                      <w:marBottom w:val="0"/>
                      <w:divBdr>
                        <w:top w:val="none" w:sz="0" w:space="0" w:color="auto"/>
                        <w:left w:val="none" w:sz="0" w:space="0" w:color="auto"/>
                        <w:bottom w:val="none" w:sz="0" w:space="0" w:color="auto"/>
                        <w:right w:val="none" w:sz="0" w:space="0" w:color="auto"/>
                      </w:divBdr>
                      <w:divsChild>
                        <w:div w:id="713584614">
                          <w:marLeft w:val="0"/>
                          <w:marRight w:val="0"/>
                          <w:marTop w:val="0"/>
                          <w:marBottom w:val="0"/>
                          <w:divBdr>
                            <w:top w:val="none" w:sz="0" w:space="0" w:color="auto"/>
                            <w:left w:val="none" w:sz="0" w:space="0" w:color="auto"/>
                            <w:bottom w:val="none" w:sz="0" w:space="0" w:color="auto"/>
                            <w:right w:val="none" w:sz="0" w:space="0" w:color="auto"/>
                          </w:divBdr>
                          <w:divsChild>
                            <w:div w:id="1341546711">
                              <w:marLeft w:val="0"/>
                              <w:marRight w:val="0"/>
                              <w:marTop w:val="0"/>
                              <w:marBottom w:val="0"/>
                              <w:divBdr>
                                <w:top w:val="none" w:sz="0" w:space="0" w:color="auto"/>
                                <w:left w:val="none" w:sz="0" w:space="0" w:color="auto"/>
                                <w:bottom w:val="none" w:sz="0" w:space="0" w:color="auto"/>
                                <w:right w:val="none" w:sz="0" w:space="0" w:color="auto"/>
                              </w:divBdr>
                              <w:divsChild>
                                <w:div w:id="1510213861">
                                  <w:marLeft w:val="0"/>
                                  <w:marRight w:val="0"/>
                                  <w:marTop w:val="0"/>
                                  <w:marBottom w:val="0"/>
                                  <w:divBdr>
                                    <w:top w:val="none" w:sz="0" w:space="0" w:color="auto"/>
                                    <w:left w:val="none" w:sz="0" w:space="0" w:color="auto"/>
                                    <w:bottom w:val="none" w:sz="0" w:space="0" w:color="auto"/>
                                    <w:right w:val="none" w:sz="0" w:space="0" w:color="auto"/>
                                  </w:divBdr>
                                  <w:divsChild>
                                    <w:div w:id="57442072">
                                      <w:marLeft w:val="0"/>
                                      <w:marRight w:val="0"/>
                                      <w:marTop w:val="0"/>
                                      <w:marBottom w:val="0"/>
                                      <w:divBdr>
                                        <w:top w:val="none" w:sz="0" w:space="0" w:color="auto"/>
                                        <w:left w:val="none" w:sz="0" w:space="0" w:color="auto"/>
                                        <w:bottom w:val="none" w:sz="0" w:space="0" w:color="auto"/>
                                        <w:right w:val="none" w:sz="0" w:space="0" w:color="auto"/>
                                      </w:divBdr>
                                      <w:divsChild>
                                        <w:div w:id="763575310">
                                          <w:marLeft w:val="0"/>
                                          <w:marRight w:val="0"/>
                                          <w:marTop w:val="0"/>
                                          <w:marBottom w:val="0"/>
                                          <w:divBdr>
                                            <w:top w:val="none" w:sz="0" w:space="0" w:color="auto"/>
                                            <w:left w:val="none" w:sz="0" w:space="0" w:color="auto"/>
                                            <w:bottom w:val="none" w:sz="0" w:space="0" w:color="auto"/>
                                            <w:right w:val="none" w:sz="0" w:space="0" w:color="auto"/>
                                          </w:divBdr>
                                          <w:divsChild>
                                            <w:div w:id="1708485644">
                                              <w:marLeft w:val="0"/>
                                              <w:marRight w:val="0"/>
                                              <w:marTop w:val="330"/>
                                              <w:marBottom w:val="225"/>
                                              <w:divBdr>
                                                <w:top w:val="none" w:sz="0" w:space="0" w:color="auto"/>
                                                <w:left w:val="none" w:sz="0" w:space="0" w:color="auto"/>
                                                <w:bottom w:val="none" w:sz="0" w:space="0" w:color="auto"/>
                                                <w:right w:val="none" w:sz="0" w:space="0" w:color="auto"/>
                                              </w:divBdr>
                                              <w:divsChild>
                                                <w:div w:id="1769228012">
                                                  <w:marLeft w:val="0"/>
                                                  <w:marRight w:val="0"/>
                                                  <w:marTop w:val="0"/>
                                                  <w:marBottom w:val="0"/>
                                                  <w:divBdr>
                                                    <w:top w:val="none" w:sz="0" w:space="0" w:color="auto"/>
                                                    <w:left w:val="none" w:sz="0" w:space="0" w:color="auto"/>
                                                    <w:bottom w:val="none" w:sz="0" w:space="0" w:color="auto"/>
                                                    <w:right w:val="none" w:sz="0" w:space="0" w:color="auto"/>
                                                  </w:divBdr>
                                                  <w:divsChild>
                                                    <w:div w:id="284313704">
                                                      <w:marLeft w:val="0"/>
                                                      <w:marRight w:val="0"/>
                                                      <w:marTop w:val="0"/>
                                                      <w:marBottom w:val="0"/>
                                                      <w:divBdr>
                                                        <w:top w:val="none" w:sz="0" w:space="0" w:color="auto"/>
                                                        <w:left w:val="none" w:sz="0" w:space="0" w:color="auto"/>
                                                        <w:bottom w:val="none" w:sz="0" w:space="0" w:color="auto"/>
                                                        <w:right w:val="none" w:sz="0" w:space="0" w:color="auto"/>
                                                      </w:divBdr>
                                                      <w:divsChild>
                                                        <w:div w:id="1065106780">
                                                          <w:marLeft w:val="0"/>
                                                          <w:marRight w:val="0"/>
                                                          <w:marTop w:val="0"/>
                                                          <w:marBottom w:val="0"/>
                                                          <w:divBdr>
                                                            <w:top w:val="none" w:sz="0" w:space="0" w:color="auto"/>
                                                            <w:left w:val="none" w:sz="0" w:space="0" w:color="auto"/>
                                                            <w:bottom w:val="none" w:sz="0" w:space="0" w:color="auto"/>
                                                            <w:right w:val="none" w:sz="0" w:space="0" w:color="auto"/>
                                                          </w:divBdr>
                                                          <w:divsChild>
                                                            <w:div w:id="15384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0518689">
      <w:bodyDiv w:val="1"/>
      <w:marLeft w:val="0"/>
      <w:marRight w:val="0"/>
      <w:marTop w:val="0"/>
      <w:marBottom w:val="0"/>
      <w:divBdr>
        <w:top w:val="none" w:sz="0" w:space="0" w:color="auto"/>
        <w:left w:val="none" w:sz="0" w:space="0" w:color="auto"/>
        <w:bottom w:val="none" w:sz="0" w:space="0" w:color="auto"/>
        <w:right w:val="none" w:sz="0" w:space="0" w:color="auto"/>
      </w:divBdr>
    </w:div>
    <w:div w:id="1369404929">
      <w:bodyDiv w:val="1"/>
      <w:marLeft w:val="0"/>
      <w:marRight w:val="0"/>
      <w:marTop w:val="0"/>
      <w:marBottom w:val="0"/>
      <w:divBdr>
        <w:top w:val="none" w:sz="0" w:space="0" w:color="auto"/>
        <w:left w:val="none" w:sz="0" w:space="0" w:color="auto"/>
        <w:bottom w:val="none" w:sz="0" w:space="0" w:color="auto"/>
        <w:right w:val="none" w:sz="0" w:space="0" w:color="auto"/>
      </w:divBdr>
    </w:div>
    <w:div w:id="1583182622">
      <w:bodyDiv w:val="1"/>
      <w:marLeft w:val="0"/>
      <w:marRight w:val="0"/>
      <w:marTop w:val="0"/>
      <w:marBottom w:val="0"/>
      <w:divBdr>
        <w:top w:val="none" w:sz="0" w:space="0" w:color="auto"/>
        <w:left w:val="none" w:sz="0" w:space="0" w:color="auto"/>
        <w:bottom w:val="none" w:sz="0" w:space="0" w:color="auto"/>
        <w:right w:val="none" w:sz="0" w:space="0" w:color="auto"/>
      </w:divBdr>
    </w:div>
    <w:div w:id="1620449078">
      <w:bodyDiv w:val="1"/>
      <w:marLeft w:val="0"/>
      <w:marRight w:val="0"/>
      <w:marTop w:val="0"/>
      <w:marBottom w:val="0"/>
      <w:divBdr>
        <w:top w:val="none" w:sz="0" w:space="0" w:color="auto"/>
        <w:left w:val="none" w:sz="0" w:space="0" w:color="auto"/>
        <w:bottom w:val="none" w:sz="0" w:space="0" w:color="auto"/>
        <w:right w:val="none" w:sz="0" w:space="0" w:color="auto"/>
      </w:divBdr>
    </w:div>
    <w:div w:id="1641381816">
      <w:bodyDiv w:val="1"/>
      <w:marLeft w:val="0"/>
      <w:marRight w:val="0"/>
      <w:marTop w:val="0"/>
      <w:marBottom w:val="0"/>
      <w:divBdr>
        <w:top w:val="none" w:sz="0" w:space="0" w:color="auto"/>
        <w:left w:val="none" w:sz="0" w:space="0" w:color="auto"/>
        <w:bottom w:val="none" w:sz="0" w:space="0" w:color="auto"/>
        <w:right w:val="none" w:sz="0" w:space="0" w:color="auto"/>
      </w:divBdr>
      <w:divsChild>
        <w:div w:id="1697848811">
          <w:marLeft w:val="0"/>
          <w:marRight w:val="0"/>
          <w:marTop w:val="0"/>
          <w:marBottom w:val="0"/>
          <w:divBdr>
            <w:top w:val="none" w:sz="0" w:space="0" w:color="auto"/>
            <w:left w:val="none" w:sz="0" w:space="0" w:color="auto"/>
            <w:bottom w:val="none" w:sz="0" w:space="0" w:color="auto"/>
            <w:right w:val="none" w:sz="0" w:space="0" w:color="auto"/>
          </w:divBdr>
          <w:divsChild>
            <w:div w:id="1745031122">
              <w:marLeft w:val="0"/>
              <w:marRight w:val="0"/>
              <w:marTop w:val="0"/>
              <w:marBottom w:val="0"/>
              <w:divBdr>
                <w:top w:val="none" w:sz="0" w:space="0" w:color="auto"/>
                <w:left w:val="none" w:sz="0" w:space="0" w:color="auto"/>
                <w:bottom w:val="none" w:sz="0" w:space="0" w:color="auto"/>
                <w:right w:val="none" w:sz="0" w:space="0" w:color="auto"/>
              </w:divBdr>
              <w:divsChild>
                <w:div w:id="584070581">
                  <w:marLeft w:val="0"/>
                  <w:marRight w:val="0"/>
                  <w:marTop w:val="0"/>
                  <w:marBottom w:val="0"/>
                  <w:divBdr>
                    <w:top w:val="none" w:sz="0" w:space="0" w:color="auto"/>
                    <w:left w:val="none" w:sz="0" w:space="0" w:color="auto"/>
                    <w:bottom w:val="none" w:sz="0" w:space="0" w:color="auto"/>
                    <w:right w:val="none" w:sz="0" w:space="0" w:color="auto"/>
                  </w:divBdr>
                  <w:divsChild>
                    <w:div w:id="234246708">
                      <w:marLeft w:val="0"/>
                      <w:marRight w:val="0"/>
                      <w:marTop w:val="0"/>
                      <w:marBottom w:val="0"/>
                      <w:divBdr>
                        <w:top w:val="none" w:sz="0" w:space="0" w:color="auto"/>
                        <w:left w:val="none" w:sz="0" w:space="0" w:color="auto"/>
                        <w:bottom w:val="none" w:sz="0" w:space="0" w:color="auto"/>
                        <w:right w:val="none" w:sz="0" w:space="0" w:color="auto"/>
                      </w:divBdr>
                      <w:divsChild>
                        <w:div w:id="1959140374">
                          <w:marLeft w:val="0"/>
                          <w:marRight w:val="0"/>
                          <w:marTop w:val="0"/>
                          <w:marBottom w:val="0"/>
                          <w:divBdr>
                            <w:top w:val="none" w:sz="0" w:space="0" w:color="auto"/>
                            <w:left w:val="none" w:sz="0" w:space="0" w:color="auto"/>
                            <w:bottom w:val="none" w:sz="0" w:space="0" w:color="auto"/>
                            <w:right w:val="none" w:sz="0" w:space="0" w:color="auto"/>
                          </w:divBdr>
                          <w:divsChild>
                            <w:div w:id="6993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03322">
      <w:bodyDiv w:val="1"/>
      <w:marLeft w:val="0"/>
      <w:marRight w:val="0"/>
      <w:marTop w:val="0"/>
      <w:marBottom w:val="0"/>
      <w:divBdr>
        <w:top w:val="none" w:sz="0" w:space="0" w:color="auto"/>
        <w:left w:val="none" w:sz="0" w:space="0" w:color="auto"/>
        <w:bottom w:val="none" w:sz="0" w:space="0" w:color="auto"/>
        <w:right w:val="none" w:sz="0" w:space="0" w:color="auto"/>
      </w:divBdr>
    </w:div>
    <w:div w:id="1770003967">
      <w:bodyDiv w:val="1"/>
      <w:marLeft w:val="0"/>
      <w:marRight w:val="0"/>
      <w:marTop w:val="0"/>
      <w:marBottom w:val="0"/>
      <w:divBdr>
        <w:top w:val="none" w:sz="0" w:space="0" w:color="auto"/>
        <w:left w:val="none" w:sz="0" w:space="0" w:color="auto"/>
        <w:bottom w:val="none" w:sz="0" w:space="0" w:color="auto"/>
        <w:right w:val="none" w:sz="0" w:space="0" w:color="auto"/>
      </w:divBdr>
    </w:div>
    <w:div w:id="1816488618">
      <w:bodyDiv w:val="1"/>
      <w:marLeft w:val="0"/>
      <w:marRight w:val="0"/>
      <w:marTop w:val="0"/>
      <w:marBottom w:val="0"/>
      <w:divBdr>
        <w:top w:val="none" w:sz="0" w:space="0" w:color="auto"/>
        <w:left w:val="none" w:sz="0" w:space="0" w:color="auto"/>
        <w:bottom w:val="none" w:sz="0" w:space="0" w:color="auto"/>
        <w:right w:val="none" w:sz="0" w:space="0" w:color="auto"/>
      </w:divBdr>
      <w:divsChild>
        <w:div w:id="1275287397">
          <w:marLeft w:val="0"/>
          <w:marRight w:val="0"/>
          <w:marTop w:val="0"/>
          <w:marBottom w:val="0"/>
          <w:divBdr>
            <w:top w:val="none" w:sz="0" w:space="0" w:color="auto"/>
            <w:left w:val="none" w:sz="0" w:space="0" w:color="auto"/>
            <w:bottom w:val="none" w:sz="0" w:space="0" w:color="auto"/>
            <w:right w:val="none" w:sz="0" w:space="0" w:color="auto"/>
          </w:divBdr>
          <w:divsChild>
            <w:div w:id="546529986">
              <w:marLeft w:val="0"/>
              <w:marRight w:val="0"/>
              <w:marTop w:val="0"/>
              <w:marBottom w:val="0"/>
              <w:divBdr>
                <w:top w:val="none" w:sz="0" w:space="0" w:color="auto"/>
                <w:left w:val="none" w:sz="0" w:space="0" w:color="auto"/>
                <w:bottom w:val="none" w:sz="0" w:space="0" w:color="auto"/>
                <w:right w:val="none" w:sz="0" w:space="0" w:color="auto"/>
              </w:divBdr>
              <w:divsChild>
                <w:div w:id="196743694">
                  <w:marLeft w:val="0"/>
                  <w:marRight w:val="0"/>
                  <w:marTop w:val="100"/>
                  <w:marBottom w:val="100"/>
                  <w:divBdr>
                    <w:top w:val="none" w:sz="0" w:space="0" w:color="auto"/>
                    <w:left w:val="none" w:sz="0" w:space="0" w:color="auto"/>
                    <w:bottom w:val="none" w:sz="0" w:space="0" w:color="auto"/>
                    <w:right w:val="none" w:sz="0" w:space="0" w:color="auto"/>
                  </w:divBdr>
                  <w:divsChild>
                    <w:div w:id="729116186">
                      <w:marLeft w:val="0"/>
                      <w:marRight w:val="0"/>
                      <w:marTop w:val="0"/>
                      <w:marBottom w:val="0"/>
                      <w:divBdr>
                        <w:top w:val="none" w:sz="0" w:space="0" w:color="auto"/>
                        <w:left w:val="none" w:sz="0" w:space="0" w:color="auto"/>
                        <w:bottom w:val="none" w:sz="0" w:space="0" w:color="auto"/>
                        <w:right w:val="none" w:sz="0" w:space="0" w:color="auto"/>
                      </w:divBdr>
                      <w:divsChild>
                        <w:div w:id="1633904044">
                          <w:marLeft w:val="0"/>
                          <w:marRight w:val="0"/>
                          <w:marTop w:val="0"/>
                          <w:marBottom w:val="0"/>
                          <w:divBdr>
                            <w:top w:val="none" w:sz="0" w:space="0" w:color="auto"/>
                            <w:left w:val="none" w:sz="0" w:space="0" w:color="auto"/>
                            <w:bottom w:val="none" w:sz="0" w:space="0" w:color="auto"/>
                            <w:right w:val="none" w:sz="0" w:space="0" w:color="auto"/>
                          </w:divBdr>
                          <w:divsChild>
                            <w:div w:id="292565755">
                              <w:marLeft w:val="0"/>
                              <w:marRight w:val="0"/>
                              <w:marTop w:val="0"/>
                              <w:marBottom w:val="0"/>
                              <w:divBdr>
                                <w:top w:val="none" w:sz="0" w:space="0" w:color="auto"/>
                                <w:left w:val="none" w:sz="0" w:space="0" w:color="auto"/>
                                <w:bottom w:val="none" w:sz="0" w:space="0" w:color="auto"/>
                                <w:right w:val="none" w:sz="0" w:space="0" w:color="auto"/>
                              </w:divBdr>
                              <w:divsChild>
                                <w:div w:id="203710985">
                                  <w:marLeft w:val="0"/>
                                  <w:marRight w:val="0"/>
                                  <w:marTop w:val="0"/>
                                  <w:marBottom w:val="0"/>
                                  <w:divBdr>
                                    <w:top w:val="none" w:sz="0" w:space="0" w:color="auto"/>
                                    <w:left w:val="none" w:sz="0" w:space="0" w:color="auto"/>
                                    <w:bottom w:val="none" w:sz="0" w:space="0" w:color="auto"/>
                                    <w:right w:val="none" w:sz="0" w:space="0" w:color="auto"/>
                                  </w:divBdr>
                                  <w:divsChild>
                                    <w:div w:id="2067990982">
                                      <w:marLeft w:val="0"/>
                                      <w:marRight w:val="0"/>
                                      <w:marTop w:val="0"/>
                                      <w:marBottom w:val="0"/>
                                      <w:divBdr>
                                        <w:top w:val="none" w:sz="0" w:space="0" w:color="auto"/>
                                        <w:left w:val="none" w:sz="0" w:space="0" w:color="auto"/>
                                        <w:bottom w:val="none" w:sz="0" w:space="0" w:color="auto"/>
                                        <w:right w:val="none" w:sz="0" w:space="0" w:color="auto"/>
                                      </w:divBdr>
                                      <w:divsChild>
                                        <w:div w:id="1461804338">
                                          <w:marLeft w:val="0"/>
                                          <w:marRight w:val="0"/>
                                          <w:marTop w:val="0"/>
                                          <w:marBottom w:val="360"/>
                                          <w:divBdr>
                                            <w:top w:val="none" w:sz="0" w:space="0" w:color="auto"/>
                                            <w:left w:val="none" w:sz="0" w:space="0" w:color="auto"/>
                                            <w:bottom w:val="none" w:sz="0" w:space="0" w:color="auto"/>
                                            <w:right w:val="none" w:sz="0" w:space="0" w:color="auto"/>
                                          </w:divBdr>
                                          <w:divsChild>
                                            <w:div w:id="1411123793">
                                              <w:marLeft w:val="0"/>
                                              <w:marRight w:val="0"/>
                                              <w:marTop w:val="0"/>
                                              <w:marBottom w:val="0"/>
                                              <w:divBdr>
                                                <w:top w:val="none" w:sz="0" w:space="0" w:color="auto"/>
                                                <w:left w:val="none" w:sz="0" w:space="0" w:color="auto"/>
                                                <w:bottom w:val="none" w:sz="0" w:space="0" w:color="auto"/>
                                                <w:right w:val="none" w:sz="0" w:space="0" w:color="auto"/>
                                              </w:divBdr>
                                              <w:divsChild>
                                                <w:div w:id="921720376">
                                                  <w:marLeft w:val="0"/>
                                                  <w:marRight w:val="0"/>
                                                  <w:marTop w:val="0"/>
                                                  <w:marBottom w:val="0"/>
                                                  <w:divBdr>
                                                    <w:top w:val="none" w:sz="0" w:space="0" w:color="auto"/>
                                                    <w:left w:val="none" w:sz="0" w:space="0" w:color="auto"/>
                                                    <w:bottom w:val="none" w:sz="0" w:space="0" w:color="auto"/>
                                                    <w:right w:val="none" w:sz="0" w:space="0" w:color="auto"/>
                                                  </w:divBdr>
                                                  <w:divsChild>
                                                    <w:div w:id="545487255">
                                                      <w:marLeft w:val="5370"/>
                                                      <w:marRight w:val="0"/>
                                                      <w:marTop w:val="120"/>
                                                      <w:marBottom w:val="0"/>
                                                      <w:divBdr>
                                                        <w:top w:val="none" w:sz="0" w:space="0" w:color="auto"/>
                                                        <w:left w:val="none" w:sz="0" w:space="0" w:color="auto"/>
                                                        <w:bottom w:val="none" w:sz="0" w:space="0" w:color="auto"/>
                                                        <w:right w:val="none" w:sz="0" w:space="0" w:color="auto"/>
                                                      </w:divBdr>
                                                      <w:divsChild>
                                                        <w:div w:id="3595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6206970">
      <w:bodyDiv w:val="1"/>
      <w:marLeft w:val="0"/>
      <w:marRight w:val="0"/>
      <w:marTop w:val="0"/>
      <w:marBottom w:val="0"/>
      <w:divBdr>
        <w:top w:val="none" w:sz="0" w:space="0" w:color="auto"/>
        <w:left w:val="none" w:sz="0" w:space="0" w:color="auto"/>
        <w:bottom w:val="none" w:sz="0" w:space="0" w:color="auto"/>
        <w:right w:val="none" w:sz="0" w:space="0" w:color="auto"/>
      </w:divBdr>
    </w:div>
    <w:div w:id="1957563417">
      <w:bodyDiv w:val="1"/>
      <w:marLeft w:val="0"/>
      <w:marRight w:val="0"/>
      <w:marTop w:val="0"/>
      <w:marBottom w:val="0"/>
      <w:divBdr>
        <w:top w:val="none" w:sz="0" w:space="0" w:color="auto"/>
        <w:left w:val="none" w:sz="0" w:space="0" w:color="auto"/>
        <w:bottom w:val="none" w:sz="0" w:space="0" w:color="auto"/>
        <w:right w:val="none" w:sz="0" w:space="0" w:color="auto"/>
      </w:divBdr>
      <w:divsChild>
        <w:div w:id="1882666031">
          <w:marLeft w:val="-300"/>
          <w:marRight w:val="-300"/>
          <w:marTop w:val="0"/>
          <w:marBottom w:val="0"/>
          <w:divBdr>
            <w:top w:val="none" w:sz="0" w:space="0" w:color="auto"/>
            <w:left w:val="none" w:sz="0" w:space="0" w:color="auto"/>
            <w:bottom w:val="none" w:sz="0" w:space="0" w:color="auto"/>
            <w:right w:val="none" w:sz="0" w:space="0" w:color="auto"/>
          </w:divBdr>
          <w:divsChild>
            <w:div w:id="180314345">
              <w:marLeft w:val="0"/>
              <w:marRight w:val="0"/>
              <w:marTop w:val="0"/>
              <w:marBottom w:val="0"/>
              <w:divBdr>
                <w:top w:val="none" w:sz="0" w:space="0" w:color="auto"/>
                <w:left w:val="none" w:sz="0" w:space="0" w:color="auto"/>
                <w:bottom w:val="none" w:sz="0" w:space="0" w:color="auto"/>
                <w:right w:val="none" w:sz="0" w:space="0" w:color="auto"/>
              </w:divBdr>
              <w:divsChild>
                <w:div w:id="131598257">
                  <w:marLeft w:val="0"/>
                  <w:marRight w:val="0"/>
                  <w:marTop w:val="0"/>
                  <w:marBottom w:val="0"/>
                  <w:divBdr>
                    <w:top w:val="none" w:sz="0" w:space="0" w:color="auto"/>
                    <w:left w:val="none" w:sz="0" w:space="0" w:color="auto"/>
                    <w:bottom w:val="none" w:sz="0" w:space="0" w:color="auto"/>
                    <w:right w:val="none" w:sz="0" w:space="0" w:color="auto"/>
                  </w:divBdr>
                  <w:divsChild>
                    <w:div w:id="130754256">
                      <w:marLeft w:val="-300"/>
                      <w:marRight w:val="-300"/>
                      <w:marTop w:val="0"/>
                      <w:marBottom w:val="0"/>
                      <w:divBdr>
                        <w:top w:val="none" w:sz="0" w:space="0" w:color="auto"/>
                        <w:left w:val="none" w:sz="0" w:space="0" w:color="auto"/>
                        <w:bottom w:val="none" w:sz="0" w:space="0" w:color="auto"/>
                        <w:right w:val="none" w:sz="0" w:space="0" w:color="auto"/>
                      </w:divBdr>
                      <w:divsChild>
                        <w:div w:id="3678297">
                          <w:marLeft w:val="0"/>
                          <w:marRight w:val="0"/>
                          <w:marTop w:val="0"/>
                          <w:marBottom w:val="0"/>
                          <w:divBdr>
                            <w:top w:val="none" w:sz="0" w:space="0" w:color="auto"/>
                            <w:left w:val="none" w:sz="0" w:space="0" w:color="auto"/>
                            <w:bottom w:val="none" w:sz="0" w:space="0" w:color="auto"/>
                            <w:right w:val="none" w:sz="0" w:space="0" w:color="auto"/>
                          </w:divBdr>
                          <w:divsChild>
                            <w:div w:id="1886288895">
                              <w:marLeft w:val="0"/>
                              <w:marRight w:val="0"/>
                              <w:marTop w:val="0"/>
                              <w:marBottom w:val="0"/>
                              <w:divBdr>
                                <w:top w:val="none" w:sz="0" w:space="0" w:color="auto"/>
                                <w:left w:val="none" w:sz="0" w:space="0" w:color="auto"/>
                                <w:bottom w:val="none" w:sz="0" w:space="0" w:color="auto"/>
                                <w:right w:val="none" w:sz="0" w:space="0" w:color="auto"/>
                              </w:divBdr>
                              <w:divsChild>
                                <w:div w:id="1839882153">
                                  <w:marLeft w:val="0"/>
                                  <w:marRight w:val="0"/>
                                  <w:marTop w:val="0"/>
                                  <w:marBottom w:val="0"/>
                                  <w:divBdr>
                                    <w:top w:val="none" w:sz="0" w:space="0" w:color="auto"/>
                                    <w:left w:val="none" w:sz="0" w:space="0" w:color="auto"/>
                                    <w:bottom w:val="none" w:sz="0" w:space="0" w:color="auto"/>
                                    <w:right w:val="none" w:sz="0" w:space="0" w:color="auto"/>
                                  </w:divBdr>
                                  <w:divsChild>
                                    <w:div w:id="21105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061267">
      <w:bodyDiv w:val="1"/>
      <w:marLeft w:val="0"/>
      <w:marRight w:val="0"/>
      <w:marTop w:val="0"/>
      <w:marBottom w:val="0"/>
      <w:divBdr>
        <w:top w:val="none" w:sz="0" w:space="0" w:color="auto"/>
        <w:left w:val="none" w:sz="0" w:space="0" w:color="auto"/>
        <w:bottom w:val="none" w:sz="0" w:space="0" w:color="auto"/>
        <w:right w:val="none" w:sz="0" w:space="0" w:color="auto"/>
      </w:divBdr>
    </w:div>
    <w:div w:id="2003118502">
      <w:bodyDiv w:val="1"/>
      <w:marLeft w:val="0"/>
      <w:marRight w:val="0"/>
      <w:marTop w:val="0"/>
      <w:marBottom w:val="0"/>
      <w:divBdr>
        <w:top w:val="none" w:sz="0" w:space="0" w:color="auto"/>
        <w:left w:val="none" w:sz="0" w:space="0" w:color="auto"/>
        <w:bottom w:val="none" w:sz="0" w:space="0" w:color="auto"/>
        <w:right w:val="none" w:sz="0" w:space="0" w:color="auto"/>
      </w:divBdr>
    </w:div>
    <w:div w:id="2142730026">
      <w:bodyDiv w:val="1"/>
      <w:marLeft w:val="0"/>
      <w:marRight w:val="0"/>
      <w:marTop w:val="0"/>
      <w:marBottom w:val="0"/>
      <w:divBdr>
        <w:top w:val="none" w:sz="0" w:space="0" w:color="auto"/>
        <w:left w:val="none" w:sz="0" w:space="0" w:color="auto"/>
        <w:bottom w:val="none" w:sz="0" w:space="0" w:color="auto"/>
        <w:right w:val="none" w:sz="0" w:space="0" w:color="auto"/>
      </w:divBdr>
    </w:div>
    <w:div w:id="21436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ativecommons.org/licenses/by/3.0/au/" TargetMode="External"/><Relationship Id="rId18" Type="http://schemas.openxmlformats.org/officeDocument/2006/relationships/hyperlink" Target="http://www.austlii.edu.au/au/legis/cth/consol_act/ra1992218/s5.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ustlii.edu.au/au/legis/cth/consol_act/ra1992218/s5.html" TargetMode="External"/><Relationship Id="rId7" Type="http://schemas.openxmlformats.org/officeDocument/2006/relationships/settings" Target="settings.xml"/><Relationship Id="rId12" Type="http://schemas.openxmlformats.org/officeDocument/2006/relationships/image" Target="cid:image001.jpg@01CF53E2.F599DED0" TargetMode="External"/><Relationship Id="rId17" Type="http://schemas.openxmlformats.org/officeDocument/2006/relationships/hyperlink" Target="http://www.austlii.edu.au/au/legis/cth/consol_act/ra1992218/s5.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ustlii.edu.au/au/legis/cth/consol_act/ra1992218/s313b.html" TargetMode="External"/><Relationship Id="rId20" Type="http://schemas.openxmlformats.org/officeDocument/2006/relationships/hyperlink" Target="http://www.austlii.edu.au/au/legis/cth/consol_act/ra1992218/s313b.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ustlii.edu.au/au/legis/cth/consol_act/ra1992218/s313b.html" TargetMode="External"/><Relationship Id="rId23" Type="http://schemas.openxmlformats.org/officeDocument/2006/relationships/hyperlink" Target="http://www.austlii.edu.au/au/legis/cth/consol_act/ra1992218/s5.htm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austlii.edu.au/au/legis/cth/consol_act/ra1992218/s5.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sanhonour.gov.au/" TargetMode="External"/><Relationship Id="rId22" Type="http://schemas.openxmlformats.org/officeDocument/2006/relationships/hyperlink" Target="http://www.austlii.edu.au/au/legis/cth/consol_act/ra1992218/s5.html"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6" Type="http://schemas.openxmlformats.org/officeDocument/2006/relationships/hyperlink" Target="http://www.commercialradio.com.au/content/mediareleases/2015/2015-03-13-a-boost-to-digital-radio-listening-in-f" TargetMode="External"/><Relationship Id="rId21" Type="http://schemas.openxmlformats.org/officeDocument/2006/relationships/hyperlink" Target="http://www.act.gov.au/ococ/spring2014/free-public-wi-fi-in-canberra" TargetMode="External"/><Relationship Id="rId42" Type="http://schemas.openxmlformats.org/officeDocument/2006/relationships/hyperlink" Target="https://www.communications.gov.au/have-your-say/digital-radio-discussion-paper" TargetMode="External"/><Relationship Id="rId47" Type="http://schemas.openxmlformats.org/officeDocument/2006/relationships/hyperlink" Target="http://www.worlddab.org/technology-rollout/receivers/worlddmb-receiver-profiles" TargetMode="External"/><Relationship Id="rId63" Type="http://schemas.openxmlformats.org/officeDocument/2006/relationships/hyperlink" Target="http://www.worlddabeureka.org/2014/02/05/bbc-challenges-and-opportunities-offered-by-the-connected-car/" TargetMode="External"/><Relationship Id="rId68" Type="http://schemas.openxmlformats.org/officeDocument/2006/relationships/hyperlink" Target="http://www.worlddab.org/country-information/norway?page=5" TargetMode="External"/><Relationship Id="rId84" Type="http://schemas.openxmlformats.org/officeDocument/2006/relationships/hyperlink" Target="https://www.communications.gov.au/have-your-say/digital-radio-discussion-paper" TargetMode="External"/><Relationship Id="rId89" Type="http://schemas.openxmlformats.org/officeDocument/2006/relationships/hyperlink" Target="https://www.communications.gov.au/have-your-say/digital-radio-discussion-paper" TargetMode="External"/><Relationship Id="rId7" Type="http://schemas.openxmlformats.org/officeDocument/2006/relationships/hyperlink" Target="https://www.apple.com/pr/library/2015/06/08Introducing-Apple-Music-All-The-Ways-You-Love-Music-All-in-One-Place-.html" TargetMode="External"/><Relationship Id="rId71" Type="http://schemas.openxmlformats.org/officeDocument/2006/relationships/hyperlink" Target="https://www.communications.gov.au/have-your-say/digital-radio-discussion-paper" TargetMode="External"/><Relationship Id="rId92" Type="http://schemas.openxmlformats.org/officeDocument/2006/relationships/hyperlink" Target="https://www.communications.gov.au/have-your-say/digital-radio-discussion-paper" TargetMode="External"/><Relationship Id="rId2" Type="http://schemas.openxmlformats.org/officeDocument/2006/relationships/hyperlink" Target="https://www.communications.gov.au/have-your-say/digital-radio-discussion-paper" TargetMode="External"/><Relationship Id="rId16" Type="http://schemas.openxmlformats.org/officeDocument/2006/relationships/hyperlink" Target="http://www.communications.gov.au/radio/digital_radio/review_of_digital_radio_technologies_for_regional_australia" TargetMode="External"/><Relationship Id="rId29" Type="http://schemas.openxmlformats.org/officeDocument/2006/relationships/hyperlink" Target="https://www.communications.gov.au/have-your-say/digital-radio-discussion-paper" TargetMode="External"/><Relationship Id="rId11" Type="http://schemas.openxmlformats.org/officeDocument/2006/relationships/hyperlink" Target="https://www.communications.gov.au/have-your-say/digital-radio-discussion-paper" TargetMode="External"/><Relationship Id="rId24" Type="http://schemas.openxmlformats.org/officeDocument/2006/relationships/hyperlink" Target="https://www.communications.gov.au/have-your-say/digital-radio-discussion-paper" TargetMode="External"/><Relationship Id="rId32" Type="http://schemas.openxmlformats.org/officeDocument/2006/relationships/hyperlink" Target="http://www.commercialradio.com.au/content/mediareleases/2014/2014-12-01-coutts-report-shows-mobile-networks-sup" TargetMode="External"/><Relationship Id="rId37" Type="http://schemas.openxmlformats.org/officeDocument/2006/relationships/hyperlink" Target="http://www.cnet.com/au/products/pioneer-avic-8100nex-navigation-system-display-7-in-in-dash-unit-double-din/" TargetMode="External"/><Relationship Id="rId40" Type="http://schemas.openxmlformats.org/officeDocument/2006/relationships/hyperlink" Target="http://www.acma.gov.au/Industry/Broadcast/Spectrum-for-broadcasting/Broadcast-planning/digital-radio-1" TargetMode="External"/><Relationship Id="rId45" Type="http://schemas.openxmlformats.org/officeDocument/2006/relationships/hyperlink" Target="http://www.acma.gov.au/Industry/Spectrum/Spectrum-projects/5-Year-Spectrum-Outlook/fiveyear-spectrum-outlook-1" TargetMode="External"/><Relationship Id="rId53" Type="http://schemas.openxmlformats.org/officeDocument/2006/relationships/hyperlink" Target="http://www.commercialradio.com.au/content/mediareleases/2015/2015-01-23-figures-show-a-strong-year-in-commercia" TargetMode="External"/><Relationship Id="rId58" Type="http://schemas.openxmlformats.org/officeDocument/2006/relationships/hyperlink" Target="http://www.gov.uk/government/publications/digital-radio" TargetMode="External"/><Relationship Id="rId66" Type="http://schemas.openxmlformats.org/officeDocument/2006/relationships/hyperlink" Target="http://radio.no/2015/04/norway-to-switch-off-fm-in-2017/" TargetMode="External"/><Relationship Id="rId74" Type="http://schemas.openxmlformats.org/officeDocument/2006/relationships/hyperlink" Target="http://www.acma.gov.au/Industry/Spectrum/Radiocomms-licensing/Spectrum-licences/canberra-and-darwin-digital-radio-trials-extended-1" TargetMode="External"/><Relationship Id="rId79" Type="http://schemas.openxmlformats.org/officeDocument/2006/relationships/hyperlink" Target="https://www.communications.gov.au/have-your-say/digital-radio-discussion-paper" TargetMode="External"/><Relationship Id="rId87" Type="http://schemas.openxmlformats.org/officeDocument/2006/relationships/hyperlink" Target="https://www.communications.gov.au/have-your-say/digital-radio-discussion-paper" TargetMode="External"/><Relationship Id="rId102" Type="http://schemas.openxmlformats.org/officeDocument/2006/relationships/hyperlink" Target="https://www.communications.gov.au/have-your-say/digital-radio-discussion-paper" TargetMode="External"/><Relationship Id="rId5" Type="http://schemas.openxmlformats.org/officeDocument/2006/relationships/hyperlink" Target="https://www.communications.gov.au/have-your-say/digital-radio-discussion-paper" TargetMode="External"/><Relationship Id="rId61" Type="http://schemas.openxmlformats.org/officeDocument/2006/relationships/hyperlink" Target="http://www.gov.uk/government/publications/digital-radio-action-plan" TargetMode="External"/><Relationship Id="rId82" Type="http://schemas.openxmlformats.org/officeDocument/2006/relationships/hyperlink" Target="https://www.communications.gov.au/have-your-say/digital-radio-discussion-paper" TargetMode="External"/><Relationship Id="rId90" Type="http://schemas.openxmlformats.org/officeDocument/2006/relationships/hyperlink" Target="https://www.communications.gov.au/have-your-say/digital-radio-discussion-paper" TargetMode="External"/><Relationship Id="rId95" Type="http://schemas.openxmlformats.org/officeDocument/2006/relationships/hyperlink" Target="https://www.communications.gov.au/have-your-say/digital-radio-discussion-paper" TargetMode="External"/><Relationship Id="rId19" Type="http://schemas.openxmlformats.org/officeDocument/2006/relationships/hyperlink" Target="http://www.mynewsdesk.com/se/teracom/documents/teracom-white-paper-31336" TargetMode="External"/><Relationship Id="rId14" Type="http://schemas.openxmlformats.org/officeDocument/2006/relationships/hyperlink" Target="https://www.communications.gov.au/have-your-say/digital-radio-discussion-paper" TargetMode="External"/><Relationship Id="rId22" Type="http://schemas.openxmlformats.org/officeDocument/2006/relationships/hyperlink" Target="https://www.communications.gov.au/have-your-say/digital-radio-discussion-paper" TargetMode="External"/><Relationship Id="rId27" Type="http://schemas.openxmlformats.org/officeDocument/2006/relationships/hyperlink" Target="http://www.pagegangster.com/p/KhoMa/" TargetMode="External"/><Relationship Id="rId30" Type="http://schemas.openxmlformats.org/officeDocument/2006/relationships/hyperlink" Target="http://www.commercialradio.com.au/content/mediareleases/2015/2015-03-13-a-boost-to-digital-radio-listening-in-f" TargetMode="External"/><Relationship Id="rId35" Type="http://schemas.openxmlformats.org/officeDocument/2006/relationships/hyperlink" Target="http://www.theaustralian.com.au/life/personal-technology/googles-android-auto-car-entertainment-system-released/story-e6frgazf-1227288456791" TargetMode="External"/><Relationship Id="rId43" Type="http://schemas.openxmlformats.org/officeDocument/2006/relationships/hyperlink" Target="https://www.communications.gov.au/have-your-say/digital-radio-discussion-paper" TargetMode="External"/><Relationship Id="rId48" Type="http://schemas.openxmlformats.org/officeDocument/2006/relationships/hyperlink" Target="https://www.communications.gov.au/have-your-say/digital-radio-discussion-paper" TargetMode="External"/><Relationship Id="rId56" Type="http://schemas.openxmlformats.org/officeDocument/2006/relationships/hyperlink" Target="http://www.pagegangster.com/p/KhoMa/" TargetMode="External"/><Relationship Id="rId64" Type="http://schemas.openxmlformats.org/officeDocument/2006/relationships/hyperlink" Target="http://www.gov.uk/government/publications/digital-radio-action-plan" TargetMode="External"/><Relationship Id="rId69" Type="http://schemas.openxmlformats.org/officeDocument/2006/relationships/hyperlink" Target="https://www.communications.gov.au/have-your-say/digital-radio-discussion-paper" TargetMode="External"/><Relationship Id="rId77" Type="http://schemas.openxmlformats.org/officeDocument/2006/relationships/hyperlink" Target="https://www.communications.gov.au/have-your-say/digital-radio-discussion-paper" TargetMode="External"/><Relationship Id="rId100" Type="http://schemas.openxmlformats.org/officeDocument/2006/relationships/hyperlink" Target="https://www.communications.gov.au/have-your-say/digital-radio-discussion-paper" TargetMode="External"/><Relationship Id="rId105" Type="http://schemas.openxmlformats.org/officeDocument/2006/relationships/hyperlink" Target="https://www.communications.gov.au/have-your-say/digital-radio-discussion-paper" TargetMode="External"/><Relationship Id="rId8" Type="http://schemas.openxmlformats.org/officeDocument/2006/relationships/hyperlink" Target="https://www.communications.gov.au/have-your-say/digital-radio-discussion-paper" TargetMode="External"/><Relationship Id="rId51" Type="http://schemas.openxmlformats.org/officeDocument/2006/relationships/hyperlink" Target="http://www.acma.gov.au/Industry/Broadcast/Spectrum-for-broadcasting/Broadcast-planning/digital-radio-spectrum-for-broadcasters-acma-1" TargetMode="External"/><Relationship Id="rId72" Type="http://schemas.openxmlformats.org/officeDocument/2006/relationships/hyperlink" Target="https://www.communications.gov.au/have-your-say/digital-radio-discussion-paper" TargetMode="External"/><Relationship Id="rId80" Type="http://schemas.openxmlformats.org/officeDocument/2006/relationships/hyperlink" Target="https://www.communications.gov.au/have-your-say/digital-radio-discussion-paper" TargetMode="External"/><Relationship Id="rId85" Type="http://schemas.openxmlformats.org/officeDocument/2006/relationships/hyperlink" Target="https://www.communications.gov.au/have-your-say/digital-radio-discussion-paper" TargetMode="External"/><Relationship Id="rId93" Type="http://schemas.openxmlformats.org/officeDocument/2006/relationships/hyperlink" Target="https://www.communications.gov.au/have-your-say/digital-radio-discussion-paper" TargetMode="External"/><Relationship Id="rId98" Type="http://schemas.openxmlformats.org/officeDocument/2006/relationships/hyperlink" Target="https://www.communications.gov.au/have-your-say/digital-radio-discussion-paper" TargetMode="External"/><Relationship Id="rId3" Type="http://schemas.openxmlformats.org/officeDocument/2006/relationships/hyperlink" Target="http://www.digitalradioplus.com.au/index.cfm?page_id=1018&amp;Search&amp;special=stations" TargetMode="External"/><Relationship Id="rId12" Type="http://schemas.openxmlformats.org/officeDocument/2006/relationships/hyperlink" Target="https://www.communications.gov.au/have-your-say/digital-radio-discussion-paper" TargetMode="External"/><Relationship Id="rId17" Type="http://schemas.openxmlformats.org/officeDocument/2006/relationships/hyperlink" Target="http://www.theguardian.com/technology/2015/may/11/spotify-financial-results-streaming-music-profitable" TargetMode="External"/><Relationship Id="rId25" Type="http://schemas.openxmlformats.org/officeDocument/2006/relationships/hyperlink" Target="http://www.commercialradio.com.au/content/mediareleases/2014/2014-12-01-coutts-report-shows-mobile-networks-sup" TargetMode="External"/><Relationship Id="rId33" Type="http://schemas.openxmlformats.org/officeDocument/2006/relationships/hyperlink" Target="http://www.apple.com/au/ios/carplay/" TargetMode="External"/><Relationship Id="rId38" Type="http://schemas.openxmlformats.org/officeDocument/2006/relationships/hyperlink" Target="https://www.communications.gov.au/have-your-say/digital-radio-discussion-paper" TargetMode="External"/><Relationship Id="rId46" Type="http://schemas.openxmlformats.org/officeDocument/2006/relationships/hyperlink" Target="https://ec.europa.eu/digital-agenda/en/news/commission-decision-opens-new-frequency-band-advanced-mobile-services" TargetMode="External"/><Relationship Id="rId59" Type="http://schemas.openxmlformats.org/officeDocument/2006/relationships/hyperlink" Target="http://www.gov.uk/government/news/more-listeners-to-get-digital-radio-choice" TargetMode="External"/><Relationship Id="rId67" Type="http://schemas.openxmlformats.org/officeDocument/2006/relationships/hyperlink" Target="http://radio.no/2015/04/norway-to-switch-off-fm-in-2017/" TargetMode="External"/><Relationship Id="rId103" Type="http://schemas.openxmlformats.org/officeDocument/2006/relationships/hyperlink" Target="https://www.communications.gov.au/have-your-say/digital-radio-discussion-paper" TargetMode="External"/><Relationship Id="rId20" Type="http://schemas.openxmlformats.org/officeDocument/2006/relationships/hyperlink" Target="http://www.telstra.com.au/broadband/wifi" TargetMode="External"/><Relationship Id="rId41" Type="http://schemas.openxmlformats.org/officeDocument/2006/relationships/hyperlink" Target="http://www.acma.gov.au/Industry/Broadcast/Spectrum-for-broadcasting/Broadcast-planning/digital-radio-1" TargetMode="External"/><Relationship Id="rId54" Type="http://schemas.openxmlformats.org/officeDocument/2006/relationships/hyperlink" Target="https://www.communications.gov.au/have-your-say/digital-radio-discussion-paper" TargetMode="External"/><Relationship Id="rId62" Type="http://schemas.openxmlformats.org/officeDocument/2006/relationships/hyperlink" Target="http://www.worlddabeureka.org/2014/02/05/bbc-challenges-and-opportunities-offered-by-the-connected-car/" TargetMode="External"/><Relationship Id="rId70" Type="http://schemas.openxmlformats.org/officeDocument/2006/relationships/hyperlink" Target="http://www.campaignbrief.com/2013/03/commercial-radio-australia-lau-1.html" TargetMode="External"/><Relationship Id="rId75" Type="http://schemas.openxmlformats.org/officeDocument/2006/relationships/hyperlink" Target="https://www.communications.gov.au/have-your-say/digital-radio-discussion-paper" TargetMode="External"/><Relationship Id="rId83" Type="http://schemas.openxmlformats.org/officeDocument/2006/relationships/hyperlink" Target="https://www.communications.gov.au/have-your-say/digital-radio-discussion-paper" TargetMode="External"/><Relationship Id="rId88" Type="http://schemas.openxmlformats.org/officeDocument/2006/relationships/hyperlink" Target="https://www.communications.gov.au/have-your-say/digital-radio-discussion-paper" TargetMode="External"/><Relationship Id="rId91" Type="http://schemas.openxmlformats.org/officeDocument/2006/relationships/hyperlink" Target="https://www.communications.gov.au/have-your-say/digital-radio-discussion-paper" TargetMode="External"/><Relationship Id="rId96" Type="http://schemas.openxmlformats.org/officeDocument/2006/relationships/hyperlink" Target="https://www.communications.gov.au/have-your-say/digital-radio-discussion-paper" TargetMode="External"/><Relationship Id="rId1" Type="http://schemas.openxmlformats.org/officeDocument/2006/relationships/hyperlink" Target="http://www.commercialradio.com.au/content/mediareleases/2015/2015-03-13-a-boost-to-digital-radio-listening-in-f" TargetMode="External"/><Relationship Id="rId6" Type="http://schemas.openxmlformats.org/officeDocument/2006/relationships/hyperlink" Target="http://www.commercialradio.com.au/content/mediareleases/2015/2015-01-23-figures-show-a-strong-year-in-commercia" TargetMode="External"/><Relationship Id="rId15" Type="http://schemas.openxmlformats.org/officeDocument/2006/relationships/hyperlink" Target="https://www.communications.gov.au/have-your-say/digital-radio-discussion-paper" TargetMode="External"/><Relationship Id="rId23" Type="http://schemas.openxmlformats.org/officeDocument/2006/relationships/hyperlink" Target="https://www.communications.gov.au/have-your-say/digital-radio-discussion-paper" TargetMode="External"/><Relationship Id="rId28" Type="http://schemas.openxmlformats.org/officeDocument/2006/relationships/hyperlink" Target="http://www.pagegangster.com/p/KhoMa/" TargetMode="External"/><Relationship Id="rId36" Type="http://schemas.openxmlformats.org/officeDocument/2006/relationships/hyperlink" Target="http://www.gizmodo.com.au/2014/06/the-race-to-save-your-cars-dashboard/" TargetMode="External"/><Relationship Id="rId49" Type="http://schemas.openxmlformats.org/officeDocument/2006/relationships/hyperlink" Target="https://www.communications.gov.au/have-your-say/digital-radio-discussion-paper" TargetMode="External"/><Relationship Id="rId57" Type="http://schemas.openxmlformats.org/officeDocument/2006/relationships/hyperlink" Target="http://www.gov.uk/government/publications/digital-radio" TargetMode="External"/><Relationship Id="rId106" Type="http://schemas.openxmlformats.org/officeDocument/2006/relationships/hyperlink" Target="https://www.communications.gov.au/have-your-say/digital-radio-discussion-paper" TargetMode="External"/><Relationship Id="rId10" Type="http://schemas.openxmlformats.org/officeDocument/2006/relationships/hyperlink" Target="https://www.communications.gov.au/have-your-say/digital-radio-discussion-paper" TargetMode="External"/><Relationship Id="rId31" Type="http://schemas.openxmlformats.org/officeDocument/2006/relationships/hyperlink" Target="http://www.commercialradio.com.au/content/mediareleases/2015/2015-03-13-a-boost-to-digital-radio-listening-in-f" TargetMode="External"/><Relationship Id="rId44" Type="http://schemas.openxmlformats.org/officeDocument/2006/relationships/hyperlink" Target="http://www.acma.gov.au/Industry/Broadcast/Spectrum-for-broadcasting/Broadcast-planning/digital-radio-1" TargetMode="External"/><Relationship Id="rId52" Type="http://schemas.openxmlformats.org/officeDocument/2006/relationships/hyperlink" Target="http://www.commercialradio.com.au/content/mediareleases/2015/2015-03-13-a-boost-to-digital-radio-listening-in-f" TargetMode="External"/><Relationship Id="rId60" Type="http://schemas.openxmlformats.org/officeDocument/2006/relationships/hyperlink" Target="http://www.gov.uk/government/publications/local-dab-network-expansion-2015-16" TargetMode="External"/><Relationship Id="rId65" Type="http://schemas.openxmlformats.org/officeDocument/2006/relationships/hyperlink" Target="https://www.regjeringen.no/en/aktuelt/radio-digitisation-in-2017/id2406145/" TargetMode="External"/><Relationship Id="rId73" Type="http://schemas.openxmlformats.org/officeDocument/2006/relationships/hyperlink" Target="https://www.communications.gov.au/have-your-say/digital-radio-discussion-paper" TargetMode="External"/><Relationship Id="rId78" Type="http://schemas.openxmlformats.org/officeDocument/2006/relationships/hyperlink" Target="https://www.communications.gov.au/have-your-say/digital-radio-discussion-paper" TargetMode="External"/><Relationship Id="rId81" Type="http://schemas.openxmlformats.org/officeDocument/2006/relationships/hyperlink" Target="https://www.communications.gov.au/have-your-say/digital-radio-discussion-paper" TargetMode="External"/><Relationship Id="rId86" Type="http://schemas.openxmlformats.org/officeDocument/2006/relationships/hyperlink" Target="https://www.communications.gov.au/have-your-say/digital-radio-discussion-paper" TargetMode="External"/><Relationship Id="rId94" Type="http://schemas.openxmlformats.org/officeDocument/2006/relationships/hyperlink" Target="https://www.communications.gov.au/have-your-say/digital-radio-discussion-paper" TargetMode="External"/><Relationship Id="rId99" Type="http://schemas.openxmlformats.org/officeDocument/2006/relationships/hyperlink" Target="https://www.communications.gov.au/have-your-say/digital-radio-discussion-paper" TargetMode="External"/><Relationship Id="rId101" Type="http://schemas.openxmlformats.org/officeDocument/2006/relationships/hyperlink" Target="https://www.communications.gov.au/have-your-say/digital-radio-discussion-paper" TargetMode="External"/><Relationship Id="rId4" Type="http://schemas.openxmlformats.org/officeDocument/2006/relationships/hyperlink" Target="https://www.communications.gov.au/have-your-say/digital-radio-discussion-paper" TargetMode="External"/><Relationship Id="rId9" Type="http://schemas.openxmlformats.org/officeDocument/2006/relationships/hyperlink" Target="https://www.communications.gov.au/have-your-say/digital-radio-discussion-paper" TargetMode="External"/><Relationship Id="rId13" Type="http://schemas.openxmlformats.org/officeDocument/2006/relationships/hyperlink" Target="https://www.communications.gov.au/have-your-say/digital-radio-discussion-paper" TargetMode="External"/><Relationship Id="rId18" Type="http://schemas.openxmlformats.org/officeDocument/2006/relationships/hyperlink" Target="http://about.abc.net.au/press-releases/abc-investment-in-regional-radio-streaming/" TargetMode="External"/><Relationship Id="rId39" Type="http://schemas.openxmlformats.org/officeDocument/2006/relationships/hyperlink" Target="http://www.commercialradio.com.au/content/mediareleases/2015/2015-03-13-a-boost-to-digital-radio-listening-in-f" TargetMode="External"/><Relationship Id="rId34" Type="http://schemas.openxmlformats.org/officeDocument/2006/relationships/hyperlink" Target="http://www.carsguide.com.au/car-news/pioneer-introduces-apple-carplay-to-australia-29988" TargetMode="External"/><Relationship Id="rId50" Type="http://schemas.openxmlformats.org/officeDocument/2006/relationships/hyperlink" Target="https://www.communications.gov.au/have-your-say/digital-radio-discussion-paper" TargetMode="External"/><Relationship Id="rId55" Type="http://schemas.openxmlformats.org/officeDocument/2006/relationships/hyperlink" Target="https://www.communications.gov.au/have-your-say/digital-radio-discussion-paper" TargetMode="External"/><Relationship Id="rId76" Type="http://schemas.openxmlformats.org/officeDocument/2006/relationships/hyperlink" Target="https://www.communications.gov.au/have-your-say/digital-radio-discussion-paper" TargetMode="External"/><Relationship Id="rId97" Type="http://schemas.openxmlformats.org/officeDocument/2006/relationships/hyperlink" Target="https://www.communications.gov.au/have-your-say/digital-radio-discussion-paper" TargetMode="External"/><Relationship Id="rId104" Type="http://schemas.openxmlformats.org/officeDocument/2006/relationships/hyperlink" Target="https://www.communications.gov.au/have-your-say/digital-radio-discussion-pap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BCDE Corporate Colours">
      <a:dk1>
        <a:srgbClr val="00728F"/>
      </a:dk1>
      <a:lt1>
        <a:sysClr val="window" lastClr="FFFFFF"/>
      </a:lt1>
      <a:dk2>
        <a:srgbClr val="B7DDE8"/>
      </a:dk2>
      <a:lt2>
        <a:srgbClr val="DBEEF3"/>
      </a:lt2>
      <a:accent1>
        <a:srgbClr val="00728F"/>
      </a:accent1>
      <a:accent2>
        <a:srgbClr val="B7DDE8"/>
      </a:accent2>
      <a:accent3>
        <a:srgbClr val="DBEEF3"/>
      </a:accent3>
      <a:accent4>
        <a:srgbClr val="92CDDC"/>
      </a:accent4>
      <a:accent5>
        <a:srgbClr val="31859B"/>
      </a:accent5>
      <a:accent6>
        <a:srgbClr val="64B8CE"/>
      </a:accent6>
      <a:hlink>
        <a:srgbClr val="0000FF"/>
      </a:hlink>
      <a:folHlink>
        <a:srgbClr val="800080"/>
      </a:folHlink>
    </a:clrScheme>
    <a:fontScheme name="DBCDE Corporate Fonts">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imUDF_Text_698 xmlns="4597da67-68a3-4e9d-8803-ba3e1787ab6c" xsi:nil="true"/>
    <TrimUDF_String_40 xmlns="4597da67-68a3-4e9d-8803-ba3e1787ab6c" xsi:nil="true"/>
    <trimRootDocACLCanUpdateMetadata xmlns="4597da67-68a3-4e9d-8803-ba3e1787ab6c" xsi:nil="true"/>
    <trimRootDocParentURI xmlns="4597da67-68a3-4e9d-8803-ba3e1787ab6c" xsi:nil="true"/>
    <trimRootDocACLCanModifyAccess xmlns="4597da67-68a3-4e9d-8803-ba3e1787ab6c" xsi:nil="true"/>
    <trimRootDocSecurityLevel xmlns="4597da67-68a3-4e9d-8803-ba3e1787ab6c" xsi:nil="true"/>
    <TaxCatchAll xmlns="4597da67-68a3-4e9d-8803-ba3e1787ab6c"/>
    <dd9c7627a75f4720a6ccce58a35e4d75 xmlns="4597da67-68a3-4e9d-8803-ba3e1787ab6c">
      <Terms xmlns="http://schemas.microsoft.com/office/infopath/2007/PartnerControls"/>
    </dd9c7627a75f4720a6ccce58a35e4d75>
    <trimRootDocACLCanContributeDocuments xmlns="4597da67-68a3-4e9d-8803-ba3e1787ab6c" xsi:nil="true"/>
    <ie56bdfdc4a44ef997c05b4ed8c67594 xmlns="4597da67-68a3-4e9d-8803-ba3e1787ab6c">
      <Terms xmlns="http://schemas.microsoft.com/office/infopath/2007/PartnerControls"/>
    </ie56bdfdc4a44ef997c05b4ed8c67594>
    <trimRootDocACLCanUpdateDocument xmlns="4597da67-68a3-4e9d-8803-ba3e1787ab6c" xsi:nil="true"/>
    <me786d0e3c9949dc83d6a9826d3f7afb xmlns="4597da67-68a3-4e9d-8803-ba3e1787ab6c">
      <Terms xmlns="http://schemas.microsoft.com/office/infopath/2007/PartnerControls"/>
    </me786d0e3c9949dc83d6a9826d3f7afb>
    <TrimUDF_String_696 xmlns="4597da67-68a3-4e9d-8803-ba3e1787ab6c" xsi:nil="true"/>
    <l30152c64bc5409cb0d6af5fc7998329 xmlns="4597da67-68a3-4e9d-8803-ba3e1787ab6c">
      <Terms xmlns="http://schemas.microsoft.com/office/infopath/2007/PartnerControls"/>
    </l30152c64bc5409cb0d6af5fc7998329>
    <a26f7cb41fae41ebb6c8e377b7c30d71 xmlns="4597da67-68a3-4e9d-8803-ba3e1787ab6c">
      <Terms xmlns="http://schemas.microsoft.com/office/infopath/2007/PartnerControls"/>
    </a26f7cb41fae41ebb6c8e377b7c30d71>
    <e74c999a0f514bafbaad1ae53c56eac2 xmlns="4597da67-68a3-4e9d-8803-ba3e1787ab6c">
      <Terms xmlns="http://schemas.microsoft.com/office/infopath/2007/PartnerControls"/>
    </e74c999a0f514bafbaad1ae53c56eac2>
    <trimRootDocACLCanViewMetadata xmlns="4597da67-68a3-4e9d-8803-ba3e1787ab6c" xsi:nil="true"/>
    <hab31d4ae2264d5c8e77fd86c07e7635 xmlns="4597da67-68a3-4e9d-8803-ba3e1787ab6c">
      <Terms xmlns="http://schemas.microsoft.com/office/infopath/2007/PartnerControls"/>
    </hab31d4ae2264d5c8e77fd86c07e7635>
    <TrimUDF_Text_706 xmlns="4597da67-68a3-4e9d-8803-ba3e1787ab6c" xsi:nil="true"/>
    <e65fcc6ef396426b9c231bd6b3bc54de xmlns="4597da67-68a3-4e9d-8803-ba3e1787ab6c">
      <Terms xmlns="http://schemas.microsoft.com/office/infopath/2007/PartnerControls"/>
    </e65fcc6ef396426b9c231bd6b3bc54de>
    <l7f7762656034748af4098221ba10b64 xmlns="4597da67-68a3-4e9d-8803-ba3e1787ab6c">
      <Terms xmlns="http://schemas.microsoft.com/office/infopath/2007/PartnerControls"/>
    </l7f7762656034748af4098221ba10b64>
    <TrimUDF_String_39 xmlns="4597da67-68a3-4e9d-8803-ba3e1787ab6c" xsi:nil="true"/>
    <trimRootDocSecurityCaveats xmlns="4597da67-68a3-4e9d-8803-ba3e1787ab6c"/>
    <c1aa94c1bcce43cc9138ccb9c7bf6e69 xmlns="4597da67-68a3-4e9d-8803-ba3e1787ab6c">
      <Terms xmlns="http://schemas.microsoft.com/office/infopath/2007/PartnerControls"/>
    </c1aa94c1bcce43cc9138ccb9c7bf6e69>
    <trimRootDocURI xmlns="4597da67-68a3-4e9d-8803-ba3e1787ab6c" xsi:nil="true"/>
    <trimRootDocACLCanViewDocument xmlns="4597da67-68a3-4e9d-8803-ba3e1787ab6c" xsi:nil="true"/>
    <trimRootDocNotes xmlns="4597da67-68a3-4e9d-8803-ba3e1787ab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832BD659A003E440957AF87708C6B190" ma:contentTypeVersion="18" ma:contentTypeDescription="106" ma:contentTypeScope="" ma:versionID="bfc7879a1368c2ca64e506efba33ca27">
  <xsd:schema xmlns:xsd="http://www.w3.org/2001/XMLSchema" xmlns:xs="http://www.w3.org/2001/XMLSchema" xmlns:p="http://schemas.microsoft.com/office/2006/metadata/properties" xmlns:ns2="4597da67-68a3-4e9d-8803-ba3e1787ab6c" targetNamespace="http://schemas.microsoft.com/office/2006/metadata/properties" ma:root="true" ma:fieldsID="7565b05217e68dd819d60f5503df44c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868E9-817D-42DD-9547-8A4B0D910C04}">
  <ds:schemaRefs>
    <ds:schemaRef ds:uri="http://schemas.microsoft.com/sharepoint/v3/contenttype/forms"/>
  </ds:schemaRefs>
</ds:datastoreItem>
</file>

<file path=customXml/itemProps2.xml><?xml version="1.0" encoding="utf-8"?>
<ds:datastoreItem xmlns:ds="http://schemas.openxmlformats.org/officeDocument/2006/customXml" ds:itemID="{CE4234B0-8218-4591-BB29-1898B3FDDC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97da67-68a3-4e9d-8803-ba3e1787ab6c"/>
    <ds:schemaRef ds:uri="http://www.w3.org/XML/1998/namespace"/>
    <ds:schemaRef ds:uri="http://purl.org/dc/dcmitype/"/>
  </ds:schemaRefs>
</ds:datastoreItem>
</file>

<file path=customXml/itemProps3.xml><?xml version="1.0" encoding="utf-8"?>
<ds:datastoreItem xmlns:ds="http://schemas.openxmlformats.org/officeDocument/2006/customXml" ds:itemID="{F3616520-32A9-4241-ADB5-D86E38742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FDC0B-0620-42B2-8D76-AA01C85A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B3DFE5DB.dotm</Template>
  <TotalTime>0</TotalTime>
  <Pages>19</Pages>
  <Words>12675</Words>
  <Characters>72250</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Report of reviews into digital radio</dc:subject>
  <dc:creator/>
  <cp:keywords/>
  <dc:description>Report of the reviews into digital radio conducted under section 215B of the Broadcasting Services Act 1992 and section 313B of the Radiocommunications Act 1992</dc:description>
  <cp:lastModifiedBy/>
  <cp:revision>1</cp:revision>
  <dcterms:created xsi:type="dcterms:W3CDTF">2015-07-07T00:50:00Z</dcterms:created>
  <dcterms:modified xsi:type="dcterms:W3CDTF">2015-07-07T00:50:00Z</dcterms:modified>
  <cp:category>Other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0x010100407620DDFF47524F86BCF55EDD3946430100832BD659A003E440957AF87708C6B190</vt:lpwstr>
  </property>
  <property fmtid="{D5CDD505-2E9C-101B-9397-08002B2CF9AE}" pid="3" name="TrimRevisionNumber">
    <vt:i4>2</vt:i4>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ies>
</file>