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BB" w:rsidRDefault="002B1349" w:rsidP="002B1349">
      <w:pPr>
        <w:spacing w:line="360" w:lineRule="auto"/>
      </w:pPr>
      <w:r>
        <w:t>Slide 1</w:t>
      </w:r>
    </w:p>
    <w:p w:rsidR="002B1349" w:rsidRDefault="002B1349" w:rsidP="002B1349">
      <w:pPr>
        <w:spacing w:line="360" w:lineRule="auto"/>
      </w:pPr>
    </w:p>
    <w:p w:rsidR="002B1349" w:rsidRDefault="0006088B" w:rsidP="002B1349">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70pt;height:151.5pt" o:bordertopcolor="this" o:borderleftcolor="this" o:borderbottomcolor="this" o:borderrightcolor="this">
            <v:imagedata r:id="rId7"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2</w:t>
      </w:r>
    </w:p>
    <w:p w:rsidR="002B1349" w:rsidRDefault="002B1349" w:rsidP="002B1349">
      <w:pPr>
        <w:spacing w:line="360" w:lineRule="auto"/>
      </w:pPr>
    </w:p>
    <w:p w:rsidR="002B1349" w:rsidRDefault="0006088B" w:rsidP="002B1349">
      <w:pPr>
        <w:spacing w:line="360" w:lineRule="auto"/>
        <w:jc w:val="center"/>
      </w:pPr>
      <w:r>
        <w:pict>
          <v:shape id="_x0000_i1072" type="#_x0000_t75" style="width:270pt;height:151.5pt" o:bordertopcolor="this" o:borderleftcolor="this" o:borderbottomcolor="this" o:borderrightcolor="this">
            <v:imagedata r:id="rId8"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3</w:t>
      </w:r>
    </w:p>
    <w:p w:rsidR="002B1349" w:rsidRDefault="002B1349" w:rsidP="002B1349">
      <w:pPr>
        <w:spacing w:line="360" w:lineRule="auto"/>
      </w:pPr>
    </w:p>
    <w:p w:rsidR="002B1349" w:rsidRDefault="0006088B" w:rsidP="002B1349">
      <w:pPr>
        <w:spacing w:line="360" w:lineRule="auto"/>
        <w:jc w:val="center"/>
      </w:pPr>
      <w:r>
        <w:pict>
          <v:shape id="_x0000_i1074" type="#_x0000_t75" style="width:270pt;height:151.5pt" o:bordertopcolor="this" o:borderleftcolor="this" o:borderbottomcolor="this" o:borderrightcolor="this">
            <v:imagedata r:id="rId9"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4</w:t>
      </w:r>
    </w:p>
    <w:p w:rsidR="002B1349" w:rsidRDefault="002B1349" w:rsidP="002B1349">
      <w:pPr>
        <w:spacing w:line="360" w:lineRule="auto"/>
      </w:pPr>
    </w:p>
    <w:p w:rsidR="002B1349" w:rsidRDefault="0006088B" w:rsidP="002B1349">
      <w:pPr>
        <w:spacing w:line="360" w:lineRule="auto"/>
        <w:jc w:val="center"/>
      </w:pPr>
      <w:r>
        <w:pict>
          <v:shape id="_x0000_i1096" type="#_x0000_t75" style="width:270pt;height:151.5pt" o:bordertopcolor="this" o:borderleftcolor="this" o:borderbottomcolor="this" o:borderrightcolor="this">
            <v:imagedata r:id="rId10"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bookmarkStart w:id="0" w:name="_GoBack"/>
      <w:bookmarkEnd w:id="0"/>
    </w:p>
    <w:p w:rsidR="002B1349" w:rsidRDefault="002B1349" w:rsidP="002B1349">
      <w:pPr>
        <w:spacing w:line="360" w:lineRule="auto"/>
      </w:pPr>
      <w:r>
        <w:lastRenderedPageBreak/>
        <w:t>Slide 5</w:t>
      </w:r>
    </w:p>
    <w:p w:rsidR="002B1349" w:rsidRDefault="002B1349" w:rsidP="002B1349">
      <w:pPr>
        <w:spacing w:line="360" w:lineRule="auto"/>
      </w:pPr>
    </w:p>
    <w:p w:rsidR="002B1349" w:rsidRDefault="0006088B" w:rsidP="002B1349">
      <w:pPr>
        <w:spacing w:line="360" w:lineRule="auto"/>
        <w:jc w:val="center"/>
      </w:pPr>
      <w:r>
        <w:pict>
          <v:shape id="_x0000_i1095" type="#_x0000_t75" style="width:270pt;height:151.5pt"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6</w:t>
      </w:r>
    </w:p>
    <w:p w:rsidR="002B1349" w:rsidRDefault="002B1349" w:rsidP="002B1349">
      <w:pPr>
        <w:spacing w:line="360" w:lineRule="auto"/>
      </w:pPr>
    </w:p>
    <w:p w:rsidR="002B1349" w:rsidRDefault="0006088B" w:rsidP="002B1349">
      <w:pPr>
        <w:spacing w:line="360" w:lineRule="auto"/>
        <w:jc w:val="center"/>
      </w:pPr>
      <w:r>
        <w:pict>
          <v:shape id="_x0000_i1094" type="#_x0000_t75" style="width:270pt;height:151.5pt" o:bordertopcolor="this" o:borderleftcolor="this" o:borderbottomcolor="this" o:borderrightcolor="this">
            <v:imagedata r:id="rId12"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kern w:val="24"/>
          <w:sz w:val="24"/>
          <w:szCs w:val="24"/>
        </w:rPr>
        <w:t>This work is designed to inform the role/place of the digital platform in national productivity growth</w:t>
      </w: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kern w:val="24"/>
          <w:sz w:val="24"/>
          <w:szCs w:val="24"/>
        </w:rPr>
        <w:t>Provide input to inform future policy development</w:t>
      </w:r>
    </w:p>
    <w:p w:rsidR="002B1349" w:rsidRDefault="002B1349" w:rsidP="002B1349">
      <w:pPr>
        <w:autoSpaceDE w:val="0"/>
        <w:autoSpaceDN w:val="0"/>
        <w:adjustRightInd w:val="0"/>
        <w:spacing w:after="0" w:line="240" w:lineRule="auto"/>
        <w:ind w:left="270" w:hanging="270"/>
        <w:rPr>
          <w:rFonts w:ascii="Calibri" w:hAnsi="Calibri" w:cs="Calibri"/>
          <w:kern w:val="24"/>
          <w:sz w:val="24"/>
          <w:szCs w:val="24"/>
        </w:rPr>
      </w:pP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autoSpaceDE w:val="0"/>
        <w:autoSpaceDN w:val="0"/>
        <w:adjustRightInd w:val="0"/>
        <w:spacing w:after="0" w:line="240" w:lineRule="auto"/>
        <w:rPr>
          <w:rFonts w:ascii="Arial" w:hAnsi="Arial" w:cs="Arial"/>
          <w:sz w:val="24"/>
          <w:szCs w:val="24"/>
        </w:rP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7</w:t>
      </w:r>
    </w:p>
    <w:p w:rsidR="002B1349" w:rsidRDefault="002B1349" w:rsidP="002B1349">
      <w:pPr>
        <w:spacing w:line="360" w:lineRule="auto"/>
      </w:pPr>
    </w:p>
    <w:p w:rsidR="002B1349" w:rsidRDefault="0006088B" w:rsidP="002B1349">
      <w:pPr>
        <w:spacing w:line="360" w:lineRule="auto"/>
        <w:jc w:val="center"/>
      </w:pPr>
      <w:r>
        <w:pict>
          <v:shape id="_x0000_i1093" type="#_x0000_t75" style="width:270pt;height:151.5pt" o:bordertopcolor="this" o:borderleftcolor="this" o:borderbottomcolor="this" o:borderrightcolor="this">
            <v:imagedata r:id="rId13"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kern w:val="24"/>
          <w:sz w:val="24"/>
          <w:szCs w:val="24"/>
        </w:rPr>
        <w:t xml:space="preserve">Involves a literature review, growth accounting, analysis on digital impact on labour productivity, improved data availability, case study industry analysis and firm level econometric work </w:t>
      </w: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kern w:val="24"/>
          <w:sz w:val="24"/>
          <w:szCs w:val="24"/>
        </w:rPr>
        <w:t>Key deliverables</w:t>
      </w:r>
    </w:p>
    <w:p w:rsidR="002B1349" w:rsidRDefault="002B1349" w:rsidP="002B1349">
      <w:pPr>
        <w:numPr>
          <w:ilvl w:val="0"/>
          <w:numId w:val="1"/>
        </w:numPr>
        <w:autoSpaceDE w:val="0"/>
        <w:autoSpaceDN w:val="0"/>
        <w:adjustRightInd w:val="0"/>
        <w:spacing w:after="0" w:line="240" w:lineRule="auto"/>
        <w:ind w:left="990" w:hanging="270"/>
        <w:rPr>
          <w:rFonts w:ascii="Calibri" w:hAnsi="Calibri" w:cs="Calibri"/>
          <w:kern w:val="24"/>
          <w:sz w:val="24"/>
          <w:szCs w:val="24"/>
        </w:rPr>
      </w:pPr>
      <w:r>
        <w:rPr>
          <w:rFonts w:ascii="Calibri" w:hAnsi="Calibri" w:cs="Calibri"/>
          <w:kern w:val="24"/>
          <w:sz w:val="24"/>
          <w:szCs w:val="24"/>
        </w:rPr>
        <w:t xml:space="preserve">A productivity primer - released on </w:t>
      </w:r>
      <w:proofErr w:type="spellStart"/>
      <w:r>
        <w:rPr>
          <w:rFonts w:ascii="Calibri" w:hAnsi="Calibri" w:cs="Calibri"/>
          <w:kern w:val="24"/>
          <w:sz w:val="24"/>
          <w:szCs w:val="24"/>
        </w:rPr>
        <w:t>DoC</w:t>
      </w:r>
      <w:proofErr w:type="spellEnd"/>
      <w:r>
        <w:rPr>
          <w:rFonts w:ascii="Calibri" w:hAnsi="Calibri" w:cs="Calibri"/>
          <w:kern w:val="24"/>
          <w:sz w:val="24"/>
          <w:szCs w:val="24"/>
        </w:rPr>
        <w:t xml:space="preserve"> website on 9 June</w:t>
      </w:r>
    </w:p>
    <w:p w:rsidR="002B1349" w:rsidRDefault="002B1349" w:rsidP="002B1349">
      <w:pPr>
        <w:numPr>
          <w:ilvl w:val="0"/>
          <w:numId w:val="1"/>
        </w:numPr>
        <w:autoSpaceDE w:val="0"/>
        <w:autoSpaceDN w:val="0"/>
        <w:adjustRightInd w:val="0"/>
        <w:spacing w:after="0" w:line="240" w:lineRule="auto"/>
        <w:ind w:left="990" w:hanging="270"/>
        <w:rPr>
          <w:rFonts w:ascii="Calibri" w:hAnsi="Calibri" w:cs="Calibri"/>
          <w:kern w:val="24"/>
          <w:sz w:val="24"/>
          <w:szCs w:val="24"/>
        </w:rPr>
      </w:pPr>
      <w:r>
        <w:rPr>
          <w:rFonts w:ascii="Calibri" w:hAnsi="Calibri" w:cs="Calibri"/>
          <w:kern w:val="24"/>
          <w:sz w:val="24"/>
          <w:szCs w:val="24"/>
        </w:rPr>
        <w:t>Growth accounting labour productivity results – planned for July</w:t>
      </w:r>
    </w:p>
    <w:p w:rsidR="002B1349" w:rsidRDefault="002B1349" w:rsidP="002B1349">
      <w:pPr>
        <w:numPr>
          <w:ilvl w:val="0"/>
          <w:numId w:val="1"/>
        </w:numPr>
        <w:autoSpaceDE w:val="0"/>
        <w:autoSpaceDN w:val="0"/>
        <w:adjustRightInd w:val="0"/>
        <w:spacing w:after="0" w:line="240" w:lineRule="auto"/>
        <w:ind w:left="990" w:hanging="270"/>
        <w:rPr>
          <w:rFonts w:ascii="Calibri" w:hAnsi="Calibri" w:cs="Calibri"/>
          <w:kern w:val="24"/>
          <w:sz w:val="24"/>
          <w:szCs w:val="24"/>
        </w:rPr>
      </w:pPr>
      <w:r>
        <w:rPr>
          <w:rFonts w:ascii="Calibri" w:hAnsi="Calibri" w:cs="Calibri"/>
          <w:kern w:val="24"/>
          <w:sz w:val="24"/>
          <w:szCs w:val="24"/>
        </w:rPr>
        <w:t>Firm-level analysis report - end of the year</w:t>
      </w:r>
    </w:p>
    <w:p w:rsidR="002B1349" w:rsidRDefault="002B1349" w:rsidP="002B1349">
      <w:pPr>
        <w:numPr>
          <w:ilvl w:val="0"/>
          <w:numId w:val="1"/>
        </w:numPr>
        <w:autoSpaceDE w:val="0"/>
        <w:autoSpaceDN w:val="0"/>
        <w:adjustRightInd w:val="0"/>
        <w:spacing w:after="0" w:line="240" w:lineRule="auto"/>
        <w:ind w:left="990" w:hanging="270"/>
        <w:rPr>
          <w:rFonts w:ascii="Calibri" w:hAnsi="Calibri" w:cs="Calibri"/>
          <w:kern w:val="24"/>
          <w:sz w:val="24"/>
          <w:szCs w:val="24"/>
        </w:rPr>
      </w:pPr>
      <w:r>
        <w:rPr>
          <w:rFonts w:ascii="Calibri" w:hAnsi="Calibri" w:cs="Calibri"/>
          <w:kern w:val="24"/>
          <w:sz w:val="24"/>
          <w:szCs w:val="24"/>
        </w:rPr>
        <w:t>Project report and further analysis / theory development - 2016</w:t>
      </w: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autoSpaceDE w:val="0"/>
        <w:autoSpaceDN w:val="0"/>
        <w:adjustRightInd w:val="0"/>
        <w:spacing w:after="0" w:line="240" w:lineRule="auto"/>
        <w:rPr>
          <w:rFonts w:ascii="Arial" w:hAnsi="Arial" w:cs="Arial"/>
          <w:sz w:val="24"/>
          <w:szCs w:val="24"/>
        </w:rP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8</w:t>
      </w:r>
    </w:p>
    <w:p w:rsidR="002B1349" w:rsidRDefault="002B1349" w:rsidP="002B1349">
      <w:pPr>
        <w:spacing w:line="360" w:lineRule="auto"/>
      </w:pPr>
    </w:p>
    <w:p w:rsidR="002B1349" w:rsidRDefault="0006088B" w:rsidP="002B1349">
      <w:pPr>
        <w:spacing w:line="360" w:lineRule="auto"/>
        <w:jc w:val="center"/>
      </w:pPr>
      <w:r>
        <w:pict>
          <v:shape id="_x0000_i1092" type="#_x0000_t75" style="width:270pt;height:151.5pt"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9</w:t>
      </w:r>
    </w:p>
    <w:p w:rsidR="002B1349" w:rsidRDefault="002B1349" w:rsidP="002B1349">
      <w:pPr>
        <w:spacing w:line="360" w:lineRule="auto"/>
      </w:pPr>
    </w:p>
    <w:p w:rsidR="002B1349" w:rsidRDefault="0006088B" w:rsidP="002B1349">
      <w:pPr>
        <w:spacing w:line="360" w:lineRule="auto"/>
        <w:jc w:val="center"/>
      </w:pPr>
      <w:r>
        <w:pict>
          <v:shape id="_x0000_i1091" type="#_x0000_t75" style="width:270pt;height:151.5pt" o:bordertopcolor="this" o:borderleftcolor="this" o:borderbottomcolor="this" o:borderrightcolor="this">
            <v:imagedata r:id="rId15"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10</w:t>
      </w:r>
    </w:p>
    <w:p w:rsidR="002B1349" w:rsidRDefault="002B1349" w:rsidP="002B1349">
      <w:pPr>
        <w:spacing w:line="360" w:lineRule="auto"/>
      </w:pPr>
    </w:p>
    <w:p w:rsidR="002B1349" w:rsidRDefault="0006088B" w:rsidP="002B1349">
      <w:pPr>
        <w:spacing w:line="360" w:lineRule="auto"/>
        <w:jc w:val="center"/>
      </w:pPr>
      <w:r>
        <w:pict>
          <v:shape id="_x0000_i1090" type="#_x0000_t75" style="width:270pt;height:151.5pt"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kern w:val="24"/>
          <w:sz w:val="24"/>
          <w:szCs w:val="24"/>
        </w:rPr>
        <w:t xml:space="preserve">Development and execution of an analytical framework for assessing factors that either facilitate or impede the efficient provision and use of digital services </w:t>
      </w: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autoSpaceDE w:val="0"/>
        <w:autoSpaceDN w:val="0"/>
        <w:adjustRightInd w:val="0"/>
        <w:spacing w:after="0" w:line="240" w:lineRule="auto"/>
        <w:rPr>
          <w:rFonts w:ascii="Arial" w:hAnsi="Arial" w:cs="Arial"/>
          <w:sz w:val="24"/>
          <w:szCs w:val="24"/>
        </w:rP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11</w:t>
      </w:r>
    </w:p>
    <w:p w:rsidR="002B1349" w:rsidRDefault="002B1349" w:rsidP="002B1349">
      <w:pPr>
        <w:spacing w:line="360" w:lineRule="auto"/>
      </w:pPr>
    </w:p>
    <w:p w:rsidR="002B1349" w:rsidRDefault="0006088B" w:rsidP="002B1349">
      <w:pPr>
        <w:spacing w:line="360" w:lineRule="auto"/>
        <w:jc w:val="center"/>
      </w:pPr>
      <w:r>
        <w:pict>
          <v:shape id="_x0000_i1089" type="#_x0000_t75" style="width:270pt;height:151.5pt"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See </w:t>
      </w:r>
      <w:proofErr w:type="spellStart"/>
      <w:r>
        <w:rPr>
          <w:rFonts w:ascii="Calibri" w:hAnsi="Calibri" w:cs="Calibri"/>
          <w:kern w:val="24"/>
          <w:sz w:val="24"/>
          <w:szCs w:val="24"/>
        </w:rPr>
        <w:t>Bughin</w:t>
      </w:r>
      <w:proofErr w:type="spellEnd"/>
      <w:r>
        <w:rPr>
          <w:rFonts w:ascii="Calibri" w:hAnsi="Calibri" w:cs="Calibri"/>
          <w:kern w:val="24"/>
          <w:sz w:val="24"/>
          <w:szCs w:val="24"/>
        </w:rPr>
        <w:t xml:space="preserve"> et al (2010), </w:t>
      </w:r>
      <w:proofErr w:type="spellStart"/>
      <w:r>
        <w:rPr>
          <w:rFonts w:ascii="Calibri" w:hAnsi="Calibri" w:cs="Calibri"/>
          <w:kern w:val="24"/>
          <w:sz w:val="24"/>
          <w:szCs w:val="24"/>
        </w:rPr>
        <w:t>Regaldo</w:t>
      </w:r>
      <w:proofErr w:type="spellEnd"/>
      <w:r>
        <w:rPr>
          <w:rFonts w:ascii="Calibri" w:hAnsi="Calibri" w:cs="Calibri"/>
          <w:kern w:val="24"/>
          <w:sz w:val="24"/>
          <w:szCs w:val="24"/>
        </w:rPr>
        <w:t xml:space="preserve"> (2014), UK Government Office of Science (Undated).</w:t>
      </w: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autoSpaceDE w:val="0"/>
        <w:autoSpaceDN w:val="0"/>
        <w:adjustRightInd w:val="0"/>
        <w:spacing w:after="0" w:line="240" w:lineRule="auto"/>
        <w:rPr>
          <w:rFonts w:ascii="Arial" w:hAnsi="Arial" w:cs="Arial"/>
          <w:sz w:val="24"/>
          <w:szCs w:val="24"/>
        </w:rP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12</w:t>
      </w:r>
    </w:p>
    <w:p w:rsidR="002B1349" w:rsidRDefault="002B1349" w:rsidP="002B1349">
      <w:pPr>
        <w:spacing w:line="360" w:lineRule="auto"/>
      </w:pPr>
    </w:p>
    <w:p w:rsidR="002B1349" w:rsidRDefault="0006088B" w:rsidP="002B1349">
      <w:pPr>
        <w:spacing w:line="360" w:lineRule="auto"/>
        <w:jc w:val="center"/>
      </w:pPr>
      <w:r>
        <w:pict>
          <v:shape id="_x0000_i1088" type="#_x0000_t75" style="width:270pt;height:151.5pt" o:bordertopcolor="this" o:borderleftcolor="this" o:borderbottomcolor="this" o:borderrightcolor="this">
            <v:imagedata r:id="rId18"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13</w:t>
      </w:r>
    </w:p>
    <w:p w:rsidR="002B1349" w:rsidRDefault="002B1349" w:rsidP="002B1349">
      <w:pPr>
        <w:spacing w:line="360" w:lineRule="auto"/>
      </w:pPr>
    </w:p>
    <w:p w:rsidR="002B1349" w:rsidRDefault="0006088B" w:rsidP="002B1349">
      <w:pPr>
        <w:spacing w:line="360" w:lineRule="auto"/>
        <w:jc w:val="center"/>
      </w:pPr>
      <w:r>
        <w:pict>
          <v:shape id="_x0000_i1087" type="#_x0000_t75" style="width:270pt;height:151.5pt" o:bordertopcolor="this" o:borderleftcolor="this" o:borderbottomcolor="this" o:borderrightcolor="this">
            <v:imagedata r:id="rId19"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14</w:t>
      </w:r>
    </w:p>
    <w:p w:rsidR="002B1349" w:rsidRDefault="002B1349" w:rsidP="002B1349">
      <w:pPr>
        <w:spacing w:line="360" w:lineRule="auto"/>
      </w:pPr>
    </w:p>
    <w:p w:rsidR="002B1349" w:rsidRDefault="0006088B" w:rsidP="002B1349">
      <w:pPr>
        <w:spacing w:line="360" w:lineRule="auto"/>
        <w:jc w:val="center"/>
      </w:pPr>
      <w:r>
        <w:pict>
          <v:shape id="_x0000_i1086" type="#_x0000_t75" style="width:270pt;height:151.5pt" o:bordertopcolor="this" o:borderleftcolor="this" o:borderbottomcolor="this" o:borderrightcolor="this">
            <v:imagedata r:id="rId20" o:title=""/>
            <w10:bordertop type="single" width="4" shadow="t"/>
            <w10:borderleft type="single" width="4" shadow="t"/>
            <w10:borderbottom type="single" width="4" shadow="t"/>
            <w10:borderright type="single" width="4" shadow="t"/>
          </v:shape>
        </w:pict>
      </w:r>
    </w:p>
    <w:p w:rsidR="002B1349" w:rsidRDefault="002B1349" w:rsidP="002B1349">
      <w:pPr>
        <w:spacing w:line="360" w:lineRule="auto"/>
        <w:jc w:val="center"/>
      </w:pPr>
    </w:p>
    <w:p w:rsidR="002B1349" w:rsidRDefault="002B1349" w:rsidP="002B1349">
      <w:pPr>
        <w:autoSpaceDE w:val="0"/>
        <w:autoSpaceDN w:val="0"/>
        <w:adjustRightInd w:val="0"/>
        <w:spacing w:after="0" w:line="240" w:lineRule="auto"/>
        <w:rPr>
          <w:rFonts w:ascii="Calibri" w:hAnsi="Calibri" w:cs="Calibri"/>
          <w:kern w:val="24"/>
          <w:sz w:val="24"/>
          <w:szCs w:val="24"/>
        </w:rP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b/>
          <w:bCs/>
          <w:kern w:val="24"/>
          <w:sz w:val="24"/>
          <w:szCs w:val="24"/>
        </w:rPr>
        <w:t>Strategic issues framework</w:t>
      </w:r>
      <w:r>
        <w:rPr>
          <w:rFonts w:ascii="Calibri" w:hAnsi="Calibri" w:cs="Calibri"/>
          <w:kern w:val="24"/>
          <w:sz w:val="24"/>
          <w:szCs w:val="24"/>
        </w:rPr>
        <w:t xml:space="preserve">: a framework for identifying future trends and issues in the communications sector – in consultation with stakeholders of direct relevance to  the Department’s policy priorities and planning </w:t>
      </w:r>
    </w:p>
    <w:p w:rsidR="002B1349" w:rsidRDefault="002B1349" w:rsidP="002B1349">
      <w:pPr>
        <w:autoSpaceDE w:val="0"/>
        <w:autoSpaceDN w:val="0"/>
        <w:adjustRightInd w:val="0"/>
        <w:spacing w:after="0" w:line="240" w:lineRule="auto"/>
        <w:ind w:left="270" w:hanging="270"/>
        <w:rPr>
          <w:rFonts w:ascii="Calibri" w:hAnsi="Calibri" w:cs="Calibri"/>
          <w:kern w:val="24"/>
          <w:sz w:val="24"/>
          <w:szCs w:val="24"/>
        </w:rP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b/>
          <w:bCs/>
          <w:kern w:val="24"/>
          <w:sz w:val="24"/>
          <w:szCs w:val="24"/>
        </w:rPr>
        <w:t>NBN non-commercial services funding options</w:t>
      </w:r>
      <w:r>
        <w:rPr>
          <w:rFonts w:ascii="Calibri" w:hAnsi="Calibri" w:cs="Calibri"/>
          <w:kern w:val="24"/>
          <w:sz w:val="24"/>
          <w:szCs w:val="24"/>
        </w:rPr>
        <w:t xml:space="preserve">: a report to NBN shareholder Ministers on the cost of NBN </w:t>
      </w:r>
      <w:proofErr w:type="spellStart"/>
      <w:r>
        <w:rPr>
          <w:rFonts w:ascii="Calibri" w:hAnsi="Calibri" w:cs="Calibri"/>
          <w:kern w:val="24"/>
          <w:sz w:val="24"/>
          <w:szCs w:val="24"/>
        </w:rPr>
        <w:t>Co’s</w:t>
      </w:r>
      <w:proofErr w:type="spellEnd"/>
      <w:r>
        <w:rPr>
          <w:rFonts w:ascii="Calibri" w:hAnsi="Calibri" w:cs="Calibri"/>
          <w:kern w:val="24"/>
          <w:sz w:val="24"/>
          <w:szCs w:val="24"/>
        </w:rPr>
        <w:t xml:space="preserve"> loss-making fixed wireless and satellite services and advice on transparent, pro-competitive options to fund these.  </w:t>
      </w:r>
    </w:p>
    <w:p w:rsidR="002B1349" w:rsidRDefault="002B1349" w:rsidP="002B1349">
      <w:pPr>
        <w:autoSpaceDE w:val="0"/>
        <w:autoSpaceDN w:val="0"/>
        <w:adjustRightInd w:val="0"/>
        <w:spacing w:after="0" w:line="240" w:lineRule="auto"/>
        <w:ind w:left="270" w:hanging="270"/>
        <w:rPr>
          <w:rFonts w:ascii="Calibri" w:hAnsi="Calibri" w:cs="Calibri"/>
          <w:kern w:val="24"/>
          <w:sz w:val="24"/>
          <w:szCs w:val="24"/>
        </w:rP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b/>
          <w:bCs/>
          <w:kern w:val="24"/>
          <w:sz w:val="24"/>
          <w:szCs w:val="24"/>
        </w:rPr>
        <w:t xml:space="preserve">Reducing regulatory burden - ACMA and ACCC review: </w:t>
      </w:r>
      <w:r>
        <w:rPr>
          <w:rFonts w:ascii="Calibri" w:hAnsi="Calibri" w:cs="Calibri"/>
          <w:kern w:val="24"/>
          <w:sz w:val="24"/>
          <w:szCs w:val="24"/>
        </w:rPr>
        <w:t>Communications Data Working Group – comprising representatives from the BCR (Chair), ACMA, ACCC, TIO, Bureau of Infrastructure, Transport and Regional Economics, Australian Bureau of Statistics, and Department of Industry. This work is part of the Australian Government’s 2015 ‘Reducing Red Tape’ programme with the project investigating opportunities to reduce regulatory burden imposed on business through government collecting data beyond its statutory remit. A final submission is expected to be brought forward in November 2015.</w:t>
      </w:r>
    </w:p>
    <w:p w:rsidR="002B1349" w:rsidRDefault="002B1349" w:rsidP="002B1349">
      <w:pPr>
        <w:autoSpaceDE w:val="0"/>
        <w:autoSpaceDN w:val="0"/>
        <w:adjustRightInd w:val="0"/>
        <w:spacing w:after="0" w:line="240" w:lineRule="auto"/>
        <w:ind w:left="270" w:hanging="270"/>
        <w:rPr>
          <w:rFonts w:ascii="Calibri" w:hAnsi="Calibri" w:cs="Calibri"/>
          <w:kern w:val="24"/>
          <w:sz w:val="24"/>
          <w:szCs w:val="24"/>
        </w:rPr>
      </w:pPr>
    </w:p>
    <w:p w:rsidR="002B1349" w:rsidRDefault="002B1349" w:rsidP="002B1349">
      <w:pPr>
        <w:numPr>
          <w:ilvl w:val="0"/>
          <w:numId w:val="1"/>
        </w:numPr>
        <w:autoSpaceDE w:val="0"/>
        <w:autoSpaceDN w:val="0"/>
        <w:adjustRightInd w:val="0"/>
        <w:spacing w:after="0" w:line="240" w:lineRule="auto"/>
        <w:ind w:left="270" w:hanging="270"/>
        <w:rPr>
          <w:rFonts w:ascii="Calibri" w:hAnsi="Calibri" w:cs="Calibri"/>
          <w:kern w:val="24"/>
          <w:sz w:val="24"/>
          <w:szCs w:val="24"/>
        </w:rPr>
      </w:pPr>
      <w:r>
        <w:rPr>
          <w:rFonts w:ascii="Calibri" w:hAnsi="Calibri" w:cs="Calibri"/>
          <w:b/>
          <w:bCs/>
          <w:kern w:val="24"/>
          <w:sz w:val="24"/>
          <w:szCs w:val="24"/>
        </w:rPr>
        <w:t xml:space="preserve">The ICT Statistics Review: </w:t>
      </w:r>
      <w:r>
        <w:rPr>
          <w:rFonts w:ascii="Calibri" w:hAnsi="Calibri" w:cs="Calibri"/>
          <w:kern w:val="24"/>
          <w:sz w:val="24"/>
          <w:szCs w:val="24"/>
        </w:rPr>
        <w:t>is a joint project between the Department of Communications’ Bureau of Communications Research (BCR) and the Australian Bureau of Statistics. The Department of Finance and the Department of Industry and Science are closely involved in the review process. The ICT Review seeks to identify opportunities to improve ICT statistics, to revise and refine the Australian Government’s framework for ongoing assessment of the digital economy, and to improve the coordination and governance of ICT statistics into the future.</w:t>
      </w:r>
    </w:p>
    <w:p w:rsidR="002B1349" w:rsidRDefault="002B1349" w:rsidP="002B1349">
      <w:pPr>
        <w:autoSpaceDE w:val="0"/>
        <w:autoSpaceDN w:val="0"/>
        <w:adjustRightInd w:val="0"/>
        <w:spacing w:after="0" w:line="240" w:lineRule="auto"/>
        <w:ind w:left="270" w:hanging="270"/>
        <w:rPr>
          <w:rFonts w:ascii="Calibri" w:hAnsi="Calibri" w:cs="Calibri"/>
          <w:kern w:val="24"/>
          <w:sz w:val="24"/>
          <w:szCs w:val="24"/>
        </w:rPr>
      </w:pPr>
    </w:p>
    <w:p w:rsidR="002B1349" w:rsidRDefault="002B1349" w:rsidP="002B1349">
      <w:pPr>
        <w:autoSpaceDE w:val="0"/>
        <w:autoSpaceDN w:val="0"/>
        <w:adjustRightInd w:val="0"/>
        <w:spacing w:after="0" w:line="240" w:lineRule="auto"/>
        <w:ind w:left="270" w:hanging="270"/>
        <w:rPr>
          <w:rFonts w:ascii="Calibri" w:hAnsi="Calibri" w:cs="Calibri"/>
          <w:kern w:val="24"/>
          <w:sz w:val="24"/>
          <w:szCs w:val="24"/>
        </w:rPr>
      </w:pPr>
    </w:p>
    <w:p w:rsidR="002B1349" w:rsidRDefault="002B1349" w:rsidP="002B1349">
      <w:pPr>
        <w:autoSpaceDE w:val="0"/>
        <w:autoSpaceDN w:val="0"/>
        <w:adjustRightInd w:val="0"/>
        <w:spacing w:after="0" w:line="240" w:lineRule="auto"/>
        <w:rPr>
          <w:rFonts w:ascii="Arial" w:hAnsi="Arial" w:cs="Arial"/>
          <w:sz w:val="24"/>
          <w:szCs w:val="24"/>
        </w:rPr>
      </w:pPr>
    </w:p>
    <w:p w:rsidR="002B1349" w:rsidRDefault="002B1349" w:rsidP="002B1349">
      <w:pPr>
        <w:spacing w:line="360" w:lineRule="auto"/>
      </w:pPr>
    </w:p>
    <w:p w:rsidR="002B1349" w:rsidRDefault="002B1349">
      <w:r>
        <w:br w:type="page"/>
      </w:r>
    </w:p>
    <w:p w:rsidR="002B1349" w:rsidRDefault="002B1349" w:rsidP="002B1349">
      <w:pPr>
        <w:spacing w:line="360" w:lineRule="auto"/>
      </w:pPr>
      <w:r>
        <w:lastRenderedPageBreak/>
        <w:t>Slide 15</w:t>
      </w:r>
    </w:p>
    <w:p w:rsidR="002B1349" w:rsidRDefault="002B1349" w:rsidP="002B1349">
      <w:pPr>
        <w:spacing w:line="360" w:lineRule="auto"/>
      </w:pPr>
    </w:p>
    <w:p w:rsidR="002B1349" w:rsidRDefault="002B1349" w:rsidP="002B1349">
      <w:pPr>
        <w:spacing w:line="360" w:lineRule="auto"/>
      </w:pPr>
    </w:p>
    <w:sectPr w:rsidR="002B134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30" w:rsidRDefault="00310130" w:rsidP="00310130">
      <w:pPr>
        <w:spacing w:after="0" w:line="240" w:lineRule="auto"/>
      </w:pPr>
      <w:r>
        <w:separator/>
      </w:r>
    </w:p>
  </w:endnote>
  <w:endnote w:type="continuationSeparator" w:id="0">
    <w:p w:rsidR="00310130" w:rsidRDefault="00310130" w:rsidP="0031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0" w:rsidRDefault="00310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0" w:rsidRDefault="00310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0" w:rsidRDefault="00310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30" w:rsidRDefault="00310130" w:rsidP="00310130">
      <w:pPr>
        <w:spacing w:after="0" w:line="240" w:lineRule="auto"/>
      </w:pPr>
      <w:r>
        <w:separator/>
      </w:r>
    </w:p>
  </w:footnote>
  <w:footnote w:type="continuationSeparator" w:id="0">
    <w:p w:rsidR="00310130" w:rsidRDefault="00310130" w:rsidP="00310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0" w:rsidRDefault="00310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0" w:rsidRDefault="00310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0" w:rsidRDefault="00310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6C8C20"/>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9"/>
    <w:rsid w:val="0006088B"/>
    <w:rsid w:val="002B1349"/>
    <w:rsid w:val="00310130"/>
    <w:rsid w:val="0035020B"/>
    <w:rsid w:val="00A0229B"/>
    <w:rsid w:val="00CD3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30"/>
  </w:style>
  <w:style w:type="paragraph" w:styleId="Footer">
    <w:name w:val="footer"/>
    <w:basedOn w:val="Normal"/>
    <w:link w:val="FooterChar"/>
    <w:uiPriority w:val="99"/>
    <w:unhideWhenUsed/>
    <w:rsid w:val="00310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A51E2356.dotm</Template>
  <TotalTime>0</TotalTime>
  <Pages>15</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2015-07-24T05:44:00Z</dcterms:created>
  <dcterms:modified xsi:type="dcterms:W3CDTF">2015-07-24T05:56:00Z</dcterms:modified>
</cp:coreProperties>
</file>