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0B" w:rsidRDefault="0000270B" w:rsidP="00822DBF">
      <w:pPr>
        <w:spacing w:after="0"/>
        <w:ind w:left="-1418"/>
      </w:pPr>
      <w:r>
        <w:rPr>
          <w:noProof/>
          <w:lang w:eastAsia="en-AU"/>
        </w:rPr>
        <w:drawing>
          <wp:inline distT="0" distB="0" distL="0" distR="0" wp14:anchorId="7AAFCD8F" wp14:editId="456DDE3C">
            <wp:extent cx="7537231" cy="1261641"/>
            <wp:effectExtent l="0" t="0" r="0" b="0"/>
            <wp:docPr id="1" name="Picture 1" descr="Logo: Australian Government, Department of Infrastructure, Transport, Regional Development and Communications.&#10;&#10;&#10;&#10;www.infrastructure.gov.au&#10;www.communications.gov.au &#10;www.arts.gov.au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TRDC Word Header_Crest_A4 portrai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701" cy="127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DBF" w:rsidRDefault="00822DBF" w:rsidP="0000270B">
      <w:pPr>
        <w:spacing w:after="0"/>
      </w:pPr>
    </w:p>
    <w:p w:rsidR="00133A45" w:rsidRDefault="00133A45" w:rsidP="00822DBF">
      <w:pPr>
        <w:spacing w:after="0"/>
        <w:ind w:left="-1418"/>
        <w:sectPr w:rsidR="00133A45" w:rsidSect="00133A45">
          <w:headerReference w:type="default" r:id="rId12"/>
          <w:footerReference w:type="default" r:id="rId13"/>
          <w:footerReference w:type="first" r:id="rId14"/>
          <w:pgSz w:w="11906" w:h="16838"/>
          <w:pgMar w:top="0" w:right="991" w:bottom="1276" w:left="1440" w:header="0" w:footer="397" w:gutter="0"/>
          <w:cols w:space="708"/>
          <w:titlePg/>
          <w:docGrid w:linePitch="360"/>
        </w:sectPr>
      </w:pPr>
    </w:p>
    <w:p w:rsidR="00707ED7" w:rsidRDefault="00707ED7" w:rsidP="00707ED7">
      <w:pPr>
        <w:pStyle w:val="Heading1"/>
      </w:pPr>
      <w:bookmarkStart w:id="0" w:name="_Hlk8118281"/>
      <w:r>
        <w:t>5G mobile networks</w:t>
      </w:r>
    </w:p>
    <w:bookmarkEnd w:id="0"/>
    <w:p w:rsidR="00772C27" w:rsidRPr="005204FB" w:rsidRDefault="00791311" w:rsidP="00772C27">
      <w:pPr>
        <w:shd w:val="clear" w:color="auto" w:fill="002D72"/>
        <w:spacing w:after="120"/>
        <w:rPr>
          <w:rFonts w:ascii="Segoe UI Semibold" w:hAnsi="Segoe UI Semibold" w:cs="Segoe UI Semibold"/>
          <w:color w:val="FFFFFF" w:themeColor="background1"/>
        </w:rPr>
      </w:pPr>
      <w:r>
        <w:rPr>
          <w:rFonts w:ascii="Segoe UI Semibold" w:hAnsi="Segoe UI Semibold" w:cs="Segoe UI Semibold"/>
          <w:color w:val="FFFFFF" w:themeColor="background1"/>
        </w:rPr>
        <w:t>July 2020</w:t>
      </w:r>
    </w:p>
    <w:p w:rsidR="00707ED7" w:rsidRDefault="00707ED7" w:rsidP="00707ED7">
      <w:r>
        <w:t>5G is the next generation of mobile network technology and is expected to provide improved:</w:t>
      </w:r>
    </w:p>
    <w:p w:rsidR="00707ED7" w:rsidRPr="00EA23BD" w:rsidRDefault="00707ED7" w:rsidP="00707ED7">
      <w:pPr>
        <w:pStyle w:val="Listparagraphbullets"/>
        <w:spacing w:after="200"/>
      </w:pPr>
      <w:r w:rsidRPr="00EA23BD">
        <w:t>downloads</w:t>
      </w:r>
      <w:r w:rsidR="005F0F48">
        <w:t>—</w:t>
      </w:r>
      <w:r w:rsidRPr="00EA23BD">
        <w:t>speeds many times faster than 4G technology</w:t>
      </w:r>
    </w:p>
    <w:p w:rsidR="00707ED7" w:rsidRPr="00EA23BD" w:rsidRDefault="00707ED7" w:rsidP="00707ED7">
      <w:pPr>
        <w:pStyle w:val="Listparagraphbullets"/>
        <w:spacing w:after="200"/>
      </w:pPr>
      <w:r w:rsidRPr="00EA23BD">
        <w:t>latency</w:t>
      </w:r>
      <w:r w:rsidR="005F0F48">
        <w:t>—</w:t>
      </w:r>
      <w:r w:rsidRPr="00EA23BD">
        <w:t>sending and receiving information from your device faster than ever before</w:t>
      </w:r>
    </w:p>
    <w:p w:rsidR="00707ED7" w:rsidRPr="00EA23BD" w:rsidRDefault="00707ED7" w:rsidP="00707ED7">
      <w:pPr>
        <w:pStyle w:val="Listparagraphbullets"/>
        <w:spacing w:after="200"/>
      </w:pPr>
      <w:r w:rsidRPr="00EA23BD">
        <w:t>connectivity</w:t>
      </w:r>
      <w:r w:rsidR="005F0F48">
        <w:t>—</w:t>
      </w:r>
      <w:r w:rsidRPr="00EA23BD">
        <w:t>supporting more devices to connect to multiple networks at the same time</w:t>
      </w:r>
    </w:p>
    <w:p w:rsidR="00707ED7" w:rsidRDefault="00707ED7" w:rsidP="00707ED7">
      <w:pPr>
        <w:pStyle w:val="Listparagraphbullets"/>
        <w:spacing w:after="200"/>
      </w:pPr>
      <w:proofErr w:type="gramStart"/>
      <w:r w:rsidRPr="00EA23BD">
        <w:t>energy</w:t>
      </w:r>
      <w:proofErr w:type="gramEnd"/>
      <w:r w:rsidRPr="00EA23BD">
        <w:t xml:space="preserve"> usage</w:t>
      </w:r>
      <w:r w:rsidR="005F0F48">
        <w:t>—</w:t>
      </w:r>
      <w:r w:rsidRPr="00EA23BD">
        <w:t>more energy efficient</w:t>
      </w:r>
      <w:r w:rsidR="005F0F48">
        <w:t>.</w:t>
      </w:r>
    </w:p>
    <w:p w:rsidR="00707ED7" w:rsidRDefault="00707ED7" w:rsidP="00707ED7">
      <w:r>
        <w:t>These features will enable more advanced applications and technologies to be used, such as virtual reality, self-driving cars, and smart technologies in your home and business.</w:t>
      </w:r>
    </w:p>
    <w:p w:rsidR="00707ED7" w:rsidRDefault="00707ED7" w:rsidP="00707ED7">
      <w:r>
        <w:t xml:space="preserve">Facilities to support the </w:t>
      </w:r>
      <w:r w:rsidRPr="0045495D">
        <w:t xml:space="preserve">5G network will still need to comply with </w:t>
      </w:r>
      <w:r>
        <w:t>all relevant G</w:t>
      </w:r>
      <w:r w:rsidRPr="0045495D">
        <w:t>overnment</w:t>
      </w:r>
      <w:r>
        <w:t xml:space="preserve"> regulations.</w:t>
      </w:r>
    </w:p>
    <w:p w:rsidR="00707ED7" w:rsidRDefault="00707ED7" w:rsidP="00707ED7">
      <w:pPr>
        <w:pStyle w:val="Heading2"/>
      </w:pPr>
      <w:r>
        <w:t>Installing telecommunications infrastructure</w:t>
      </w:r>
    </w:p>
    <w:p w:rsidR="00707ED7" w:rsidRDefault="00707ED7" w:rsidP="00707ED7">
      <w:pPr>
        <w:pStyle w:val="Listparagraphbullets"/>
        <w:spacing w:after="200"/>
      </w:pPr>
      <w:r>
        <w:t>Facilities need to be installed and upgraded to support new mobile technologies. As carriers start to build 5G networks you may see some activity in your area.</w:t>
      </w:r>
    </w:p>
    <w:p w:rsidR="00707ED7" w:rsidRDefault="00707ED7" w:rsidP="00707ED7">
      <w:pPr>
        <w:pStyle w:val="Listparagraphbullets"/>
        <w:spacing w:after="200"/>
      </w:pPr>
      <w:r>
        <w:t xml:space="preserve">Carriers may </w:t>
      </w:r>
      <w:r w:rsidRPr="00877C3E">
        <w:t>instal</w:t>
      </w:r>
      <w:r>
        <w:t>l t</w:t>
      </w:r>
      <w:r w:rsidRPr="00877C3E">
        <w:t>elecommunications facilities under state</w:t>
      </w:r>
      <w:r>
        <w:t>,</w:t>
      </w:r>
      <w:r w:rsidRPr="00877C3E">
        <w:t xml:space="preserve"> territory </w:t>
      </w:r>
      <w:r>
        <w:t xml:space="preserve">and local </w:t>
      </w:r>
      <w:r w:rsidRPr="00877C3E">
        <w:t>planning</w:t>
      </w:r>
      <w:r>
        <w:t xml:space="preserve"> laws.</w:t>
      </w:r>
      <w:r w:rsidRPr="00877C3E">
        <w:t xml:space="preserve"> </w:t>
      </w:r>
      <w:r>
        <w:t>A</w:t>
      </w:r>
      <w:r w:rsidRPr="00877C3E">
        <w:t xml:space="preserve"> carrier </w:t>
      </w:r>
      <w:r>
        <w:t xml:space="preserve">may need </w:t>
      </w:r>
      <w:r w:rsidRPr="00877C3E">
        <w:t xml:space="preserve">to </w:t>
      </w:r>
      <w:r>
        <w:t>submit an application for planning approval, which the council will consider and make a decision on.</w:t>
      </w:r>
    </w:p>
    <w:p w:rsidR="00707ED7" w:rsidRDefault="00707ED7" w:rsidP="00707ED7">
      <w:pPr>
        <w:pStyle w:val="Listparagraphbullets"/>
        <w:spacing w:after="200"/>
      </w:pPr>
      <w:r w:rsidRPr="00901F31">
        <w:t>Carriers can install</w:t>
      </w:r>
      <w:r w:rsidRPr="00637C7D">
        <w:rPr>
          <w:i/>
        </w:rPr>
        <w:t xml:space="preserve"> low-impact facilities </w:t>
      </w:r>
      <w:r w:rsidRPr="00221809">
        <w:t>(LIF</w:t>
      </w:r>
      <w:r>
        <w:t>s</w:t>
      </w:r>
      <w:r w:rsidRPr="00221809">
        <w:t>)</w:t>
      </w:r>
      <w:r w:rsidRPr="00637C7D">
        <w:rPr>
          <w:i/>
        </w:rPr>
        <w:t xml:space="preserve"> </w:t>
      </w:r>
      <w:r>
        <w:t>under the Commonwealth’s powers and immunities framework.</w:t>
      </w:r>
    </w:p>
    <w:p w:rsidR="00707ED7" w:rsidRPr="002F281A" w:rsidRDefault="00707ED7" w:rsidP="00707ED7">
      <w:pPr>
        <w:pStyle w:val="Listparagraphbullets"/>
        <w:spacing w:after="200"/>
      </w:pPr>
      <w:r>
        <w:t xml:space="preserve">Carriers installing LIFs have certain obligations, such as notification and objections procedures. Carriers must meet certain requirements, such as restoring the land and acting in </w:t>
      </w:r>
      <w:r w:rsidRPr="002F281A">
        <w:t>accordance with good engineering practice.</w:t>
      </w:r>
    </w:p>
    <w:p w:rsidR="00707ED7" w:rsidRDefault="00707ED7" w:rsidP="00707ED7">
      <w:pPr>
        <w:rPr>
          <w:b/>
        </w:rPr>
      </w:pPr>
      <w:r w:rsidRPr="002F281A">
        <w:t>Find out more at</w:t>
      </w:r>
      <w:r w:rsidRPr="000F1A77">
        <w:t xml:space="preserve"> </w:t>
      </w:r>
      <w:hyperlink r:id="rId15" w:history="1">
        <w:r w:rsidRPr="00EA23BD">
          <w:rPr>
            <w:rStyle w:val="Hyperlink"/>
          </w:rPr>
          <w:t>www.communications.gov.au/carrier-powers-and-immunities</w:t>
        </w:r>
      </w:hyperlink>
      <w:r w:rsidRPr="004561E7">
        <w:rPr>
          <w:rStyle w:val="Hyperlink"/>
        </w:rPr>
        <w:t>.</w:t>
      </w:r>
    </w:p>
    <w:p w:rsidR="00707ED7" w:rsidRDefault="00707ED7" w:rsidP="00707ED7">
      <w:pPr>
        <w:pStyle w:val="Heading2"/>
      </w:pPr>
      <w:r>
        <w:t>Electromagnetic energy (EME)</w:t>
      </w:r>
    </w:p>
    <w:p w:rsidR="00707ED7" w:rsidRDefault="00707ED7" w:rsidP="00707ED7">
      <w:bookmarkStart w:id="1" w:name="_Toc30597608"/>
      <w:bookmarkStart w:id="2" w:name="_Toc31728802"/>
      <w:bookmarkStart w:id="3" w:name="_Toc39483202"/>
      <w:r w:rsidRPr="006E3DF5">
        <w:t xml:space="preserve">Telecommunications devices </w:t>
      </w:r>
      <w:r>
        <w:t xml:space="preserve">use </w:t>
      </w:r>
      <w:r w:rsidRPr="006E3DF5">
        <w:t xml:space="preserve">EME to connect to nearby facilities to send and receive voice and </w:t>
      </w:r>
      <w:r w:rsidRPr="002F281A">
        <w:t>data information.</w:t>
      </w:r>
    </w:p>
    <w:p w:rsidR="00707ED7" w:rsidRDefault="00707ED7" w:rsidP="00707ED7">
      <w:pPr>
        <w:rPr>
          <w:b/>
        </w:rPr>
      </w:pPr>
      <w:r w:rsidRPr="000F1A77">
        <w:t xml:space="preserve">Carriers must follow </w:t>
      </w:r>
      <w:r>
        <w:t xml:space="preserve">safety standards set by </w:t>
      </w:r>
      <w:r w:rsidRPr="000F1A77">
        <w:t xml:space="preserve">the </w:t>
      </w:r>
      <w:r w:rsidRPr="00BD1862">
        <w:t>A</w:t>
      </w:r>
      <w:r>
        <w:t xml:space="preserve">ustralian </w:t>
      </w:r>
      <w:r w:rsidRPr="00BD1862">
        <w:t>R</w:t>
      </w:r>
      <w:r>
        <w:t xml:space="preserve">adiation </w:t>
      </w:r>
      <w:r w:rsidRPr="00BD1862">
        <w:t>P</w:t>
      </w:r>
      <w:r>
        <w:t>rotection and Nuclear Safety Agency (ARPANSA). The ARPANSA RF Standard</w:t>
      </w:r>
      <w:r w:rsidRPr="000F1A77">
        <w:t>:</w:t>
      </w:r>
    </w:p>
    <w:p w:rsidR="00707ED7" w:rsidRPr="002E483F" w:rsidRDefault="00707ED7" w:rsidP="00707ED7">
      <w:pPr>
        <w:pStyle w:val="Listparagraphbullets"/>
        <w:spacing w:after="200"/>
      </w:pPr>
      <w:r w:rsidRPr="002E483F">
        <w:t>is based on decades of international and Australian scientific research</w:t>
      </w:r>
    </w:p>
    <w:p w:rsidR="00707ED7" w:rsidRPr="002E483F" w:rsidRDefault="00707ED7" w:rsidP="00707ED7">
      <w:pPr>
        <w:pStyle w:val="Listparagraphbullets"/>
        <w:spacing w:after="200"/>
      </w:pPr>
      <w:r w:rsidRPr="002E483F">
        <w:t>protects people of all ages and health status</w:t>
      </w:r>
    </w:p>
    <w:p w:rsidR="00707ED7" w:rsidRPr="002E483F" w:rsidRDefault="00707ED7" w:rsidP="00707ED7">
      <w:pPr>
        <w:pStyle w:val="Listparagraphbullets"/>
        <w:spacing w:after="200"/>
      </w:pPr>
      <w:proofErr w:type="gramStart"/>
      <w:r w:rsidRPr="002E483F">
        <w:t>identifies</w:t>
      </w:r>
      <w:proofErr w:type="gramEnd"/>
      <w:r w:rsidRPr="002E483F">
        <w:t xml:space="preserve"> the levels at which harmful health effects can occur and sets exposure limits well below those levels.</w:t>
      </w:r>
    </w:p>
    <w:p w:rsidR="00707ED7" w:rsidRDefault="00707ED7" w:rsidP="00707ED7">
      <w:pPr>
        <w:rPr>
          <w:b/>
        </w:rPr>
      </w:pPr>
      <w:r w:rsidRPr="000F1A77">
        <w:t xml:space="preserve">Find out more </w:t>
      </w:r>
      <w:r>
        <w:t xml:space="preserve">about the regulation of EME at: </w:t>
      </w:r>
      <w:hyperlink r:id="rId16" w:history="1">
        <w:r w:rsidRPr="00EA23BD">
          <w:rPr>
            <w:rStyle w:val="Hyperlink"/>
          </w:rPr>
          <w:t>www.acma.gov.au/our-rules-eme</w:t>
        </w:r>
      </w:hyperlink>
      <w:r w:rsidRPr="008146B4">
        <w:rPr>
          <w:rStyle w:val="Hyperlink"/>
        </w:rPr>
        <w:t>.</w:t>
      </w:r>
    </w:p>
    <w:p w:rsidR="00707ED7" w:rsidRDefault="00707ED7" w:rsidP="00707ED7">
      <w:pPr>
        <w:rPr>
          <w:lang w:eastAsia="zh-TW"/>
        </w:rPr>
      </w:pPr>
      <w:r w:rsidRPr="004561E7">
        <w:rPr>
          <w:lang w:eastAsia="zh-TW"/>
        </w:rPr>
        <w:t xml:space="preserve">Find out more about the ARPANSA </w:t>
      </w:r>
      <w:r>
        <w:t xml:space="preserve">safety standards </w:t>
      </w:r>
      <w:r w:rsidRPr="004561E7">
        <w:rPr>
          <w:lang w:eastAsia="zh-TW"/>
        </w:rPr>
        <w:t xml:space="preserve">at: </w:t>
      </w:r>
      <w:hyperlink r:id="rId17" w:history="1">
        <w:r w:rsidRPr="00EA23BD">
          <w:rPr>
            <w:rStyle w:val="Hyperlink"/>
          </w:rPr>
          <w:t>www.arpansa.gov.au/regulation-and-licensing/regulatory-publications/radiation-protection-series/codes-and-standards/rps3</w:t>
        </w:r>
      </w:hyperlink>
      <w:r>
        <w:rPr>
          <w:lang w:eastAsia="zh-TW"/>
        </w:rPr>
        <w:t>.</w:t>
      </w:r>
    </w:p>
    <w:p w:rsidR="00707ED7" w:rsidRDefault="00707ED7" w:rsidP="00707ED7">
      <w:pPr>
        <w:pStyle w:val="Heading2"/>
      </w:pPr>
      <w:r w:rsidRPr="00862D95">
        <w:lastRenderedPageBreak/>
        <w:t xml:space="preserve">Where </w:t>
      </w:r>
      <w:r>
        <w:t>is 5G being installed?</w:t>
      </w:r>
    </w:p>
    <w:p w:rsidR="00707ED7" w:rsidRDefault="00707ED7" w:rsidP="00707ED7">
      <w:r w:rsidRPr="0010723A">
        <w:t xml:space="preserve">You can use </w:t>
      </w:r>
      <w:r>
        <w:t xml:space="preserve">the </w:t>
      </w:r>
      <w:r w:rsidRPr="008222FC">
        <w:t>Radio Frequency National Site Archive (RFNSA) website</w:t>
      </w:r>
      <w:r>
        <w:t xml:space="preserve"> </w:t>
      </w:r>
      <w:r w:rsidRPr="0010723A">
        <w:t>to search for</w:t>
      </w:r>
      <w:r>
        <w:t xml:space="preserve"> active and proposed</w:t>
      </w:r>
      <w:r w:rsidRPr="0010723A">
        <w:t xml:space="preserve"> </w:t>
      </w:r>
      <w:r>
        <w:t xml:space="preserve">mobile phone base station sites in Australia. Each site has a dedicated information page that </w:t>
      </w:r>
      <w:r w:rsidRPr="0010723A">
        <w:t>include</w:t>
      </w:r>
      <w:r>
        <w:t>s</w:t>
      </w:r>
      <w:r w:rsidRPr="0010723A">
        <w:t xml:space="preserve"> </w:t>
      </w:r>
      <w:r>
        <w:t>the site’s location, an</w:t>
      </w:r>
      <w:r w:rsidRPr="0010723A">
        <w:t xml:space="preserve"> </w:t>
      </w:r>
      <w:r>
        <w:t>Environmental EME Report</w:t>
      </w:r>
      <w:r w:rsidRPr="0010723A">
        <w:t xml:space="preserve">, </w:t>
      </w:r>
      <w:r>
        <w:t>the</w:t>
      </w:r>
      <w:r w:rsidRPr="0010723A">
        <w:t xml:space="preserve"> carrier</w:t>
      </w:r>
      <w:r>
        <w:t>’s</w:t>
      </w:r>
      <w:r w:rsidRPr="0010723A">
        <w:t xml:space="preserve"> contact details</w:t>
      </w:r>
      <w:r>
        <w:t>,</w:t>
      </w:r>
      <w:r w:rsidRPr="0010723A">
        <w:t xml:space="preserve"> and </w:t>
      </w:r>
      <w:r>
        <w:t xml:space="preserve">other relevant </w:t>
      </w:r>
      <w:r w:rsidRPr="0010723A">
        <w:t>community consultation information.</w:t>
      </w:r>
      <w:r>
        <w:t xml:space="preserve"> </w:t>
      </w:r>
      <w:r w:rsidRPr="002F281A">
        <w:t xml:space="preserve">Access the RFNSA website at: </w:t>
      </w:r>
      <w:hyperlink r:id="rId18" w:history="1">
        <w:r w:rsidRPr="002E483F">
          <w:rPr>
            <w:rStyle w:val="Hyperlink"/>
          </w:rPr>
          <w:t>www.rfnsa.com.au</w:t>
        </w:r>
      </w:hyperlink>
      <w:r w:rsidRPr="004561E7">
        <w:rPr>
          <w:rStyle w:val="Hyperlink"/>
        </w:rPr>
        <w:t>.</w:t>
      </w:r>
    </w:p>
    <w:p w:rsidR="00707ED7" w:rsidRDefault="00707ED7" w:rsidP="00707ED7">
      <w:r>
        <w:t>To locate 5G-specific sites, use the filter to refine your search. The</w:t>
      </w:r>
      <w:r w:rsidRPr="008222FC">
        <w:t xml:space="preserve"> site </w:t>
      </w:r>
      <w:r>
        <w:t xml:space="preserve">entry </w:t>
      </w:r>
      <w:r w:rsidRPr="008222FC">
        <w:t>will have different mobile generations noted i</w:t>
      </w:r>
      <w:r>
        <w:t>n circles below the description:</w:t>
      </w:r>
    </w:p>
    <w:p w:rsidR="00707ED7" w:rsidRDefault="00707ED7" w:rsidP="00707ED7">
      <w:pPr>
        <w:ind w:left="567" w:hanging="567"/>
      </w:pPr>
      <w:r>
        <w:rPr>
          <w:noProof/>
          <w:lang w:eastAsia="en-AU"/>
        </w:rPr>
        <w:drawing>
          <wp:inline distT="0" distB="0" distL="0" distR="0" wp14:anchorId="4155FBD1" wp14:editId="1AAA61A9">
            <wp:extent cx="266404" cy="257810"/>
            <wp:effectExtent l="0" t="0" r="635" b="8890"/>
            <wp:docPr id="4" name="Picture 4" descr="The word '5G' with a black circle around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8824" cy="26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en-AU"/>
        </w:rPr>
        <w:t>A</w:t>
      </w:r>
      <w:r>
        <w:t xml:space="preserve"> black circle</w:t>
      </w:r>
      <w:r w:rsidRPr="008222FC">
        <w:t xml:space="preserve"> </w:t>
      </w:r>
      <w:r>
        <w:t xml:space="preserve">means the indicated mobile technology </w:t>
      </w:r>
      <w:r w:rsidRPr="008222FC">
        <w:t>is active</w:t>
      </w:r>
      <w:r>
        <w:t>.</w:t>
      </w:r>
    </w:p>
    <w:p w:rsidR="00707ED7" w:rsidRDefault="00707ED7" w:rsidP="00707ED7">
      <w:pPr>
        <w:ind w:left="567" w:hanging="567"/>
      </w:pPr>
      <w:r>
        <w:rPr>
          <w:noProof/>
          <w:lang w:eastAsia="en-AU"/>
        </w:rPr>
        <w:drawing>
          <wp:inline distT="0" distB="0" distL="0" distR="0" wp14:anchorId="157156FB" wp14:editId="382292B5">
            <wp:extent cx="257810" cy="257810"/>
            <wp:effectExtent l="0" t="0" r="8890" b="8890"/>
            <wp:docPr id="9" name="Picture 9" descr="The word '5G' with a blue circle around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7891" cy="257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A blue circle</w:t>
      </w:r>
      <w:r w:rsidRPr="008222FC">
        <w:t xml:space="preserve"> </w:t>
      </w:r>
      <w:r>
        <w:t>means a carrier is preparing to install the indicated mobile technology within the next 12 months.</w:t>
      </w:r>
    </w:p>
    <w:p w:rsidR="00707ED7" w:rsidRPr="00505C21" w:rsidRDefault="00707ED7" w:rsidP="00707ED7">
      <w:pPr>
        <w:pStyle w:val="Heading2"/>
      </w:pPr>
      <w:r w:rsidRPr="00505C21">
        <w:t>Whe</w:t>
      </w:r>
      <w:r>
        <w:t>r</w:t>
      </w:r>
      <w:r w:rsidRPr="00505C21">
        <w:t>e can I find more information?</w:t>
      </w:r>
    </w:p>
    <w:p w:rsidR="00707ED7" w:rsidRPr="00EA23BD" w:rsidRDefault="00707ED7" w:rsidP="00707ED7">
      <w:pPr>
        <w:pStyle w:val="Heading3"/>
      </w:pPr>
      <w:r w:rsidRPr="00EA23BD">
        <w:t>Telecommunications and EME regulation:</w:t>
      </w:r>
    </w:p>
    <w:p w:rsidR="00707ED7" w:rsidRDefault="00707ED7" w:rsidP="00707ED7">
      <w:r w:rsidRPr="002F281A">
        <w:t xml:space="preserve">Australian Communications and Media Authority: </w:t>
      </w:r>
      <w:hyperlink r:id="rId21" w:history="1">
        <w:r w:rsidRPr="00EA23BD">
          <w:rPr>
            <w:rStyle w:val="Hyperlink"/>
          </w:rPr>
          <w:t>www.acma.gov.au/our-rules-eme</w:t>
        </w:r>
      </w:hyperlink>
      <w:r>
        <w:t>.</w:t>
      </w:r>
    </w:p>
    <w:bookmarkEnd w:id="1"/>
    <w:bookmarkEnd w:id="2"/>
    <w:bookmarkEnd w:id="3"/>
    <w:p w:rsidR="00707ED7" w:rsidRPr="00707ED7" w:rsidRDefault="00707ED7" w:rsidP="005F0F4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</w:pPr>
      <w:r w:rsidRPr="00707ED7">
        <w:t xml:space="preserve">EME </w:t>
      </w:r>
      <w:r w:rsidR="005F0F48">
        <w:t>and health science</w:t>
      </w:r>
      <w:bookmarkStart w:id="4" w:name="_GoBack"/>
      <w:bookmarkEnd w:id="4"/>
    </w:p>
    <w:p w:rsidR="00707ED7" w:rsidRPr="005F0F48" w:rsidRDefault="00707ED7" w:rsidP="005F0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</w:pPr>
      <w:r w:rsidRPr="005F0F48">
        <w:t xml:space="preserve">ARPANSA: </w:t>
      </w:r>
      <w:hyperlink r:id="rId22" w:history="1">
        <w:r w:rsidRPr="005F0F48">
          <w:rPr>
            <w:rStyle w:val="Hyperlink"/>
          </w:rPr>
          <w:t>www.arpansa.gov.au</w:t>
        </w:r>
      </w:hyperlink>
    </w:p>
    <w:p w:rsidR="00707ED7" w:rsidRPr="005F0F48" w:rsidRDefault="00707ED7" w:rsidP="005F0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</w:pPr>
      <w:r w:rsidRPr="005F0F48">
        <w:t xml:space="preserve">The World Health Organization: </w:t>
      </w:r>
      <w:hyperlink r:id="rId23" w:history="1">
        <w:r w:rsidRPr="005F0F48">
          <w:rPr>
            <w:rStyle w:val="Hyperlink"/>
          </w:rPr>
          <w:t>www.who.int/peh-emf/en</w:t>
        </w:r>
      </w:hyperlink>
    </w:p>
    <w:p w:rsidR="00707ED7" w:rsidRPr="005F0F48" w:rsidRDefault="00707ED7" w:rsidP="005F0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</w:pPr>
      <w:r w:rsidRPr="005F0F48">
        <w:t>You can also contact a telecommunications carrier directly for more information about a particular site, device or facility within its network. Below is a list of the major Australian providers:</w:t>
      </w:r>
    </w:p>
    <w:p w:rsidR="00707ED7" w:rsidRPr="005F0F48" w:rsidRDefault="00707ED7" w:rsidP="005F0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</w:pPr>
      <w:r w:rsidRPr="005F0F48">
        <w:t xml:space="preserve">Telstra: </w:t>
      </w:r>
      <w:hyperlink r:id="rId24" w:history="1">
        <w:r w:rsidRPr="005F0F48">
          <w:rPr>
            <w:rStyle w:val="Hyperlink"/>
          </w:rPr>
          <w:t>www.telstra.com.au/consumer-advice/eme</w:t>
        </w:r>
      </w:hyperlink>
    </w:p>
    <w:p w:rsidR="00707ED7" w:rsidRPr="005F0F48" w:rsidRDefault="00707ED7" w:rsidP="005F0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</w:pPr>
      <w:r w:rsidRPr="005F0F48">
        <w:t xml:space="preserve">Optus: </w:t>
      </w:r>
      <w:hyperlink r:id="rId25" w:history="1">
        <w:r w:rsidRPr="005F0F48">
          <w:rPr>
            <w:rStyle w:val="Hyperlink"/>
          </w:rPr>
          <w:t>www.optus.com.au/about/sustainability/environment/our-environmental-responsibility/mobile-phone-towers</w:t>
        </w:r>
      </w:hyperlink>
    </w:p>
    <w:p w:rsidR="00707ED7" w:rsidRPr="005F0F48" w:rsidRDefault="00707ED7" w:rsidP="005F0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</w:pPr>
      <w:r w:rsidRPr="005F0F48">
        <w:t xml:space="preserve">Vodafone: </w:t>
      </w:r>
      <w:hyperlink r:id="rId26" w:history="1">
        <w:r w:rsidRPr="005F0F48">
          <w:rPr>
            <w:rStyle w:val="Hyperlink"/>
          </w:rPr>
          <w:t>www.vodafone.com.au/support/network/base-stations</w:t>
        </w:r>
      </w:hyperlink>
      <w:r w:rsidRPr="005F0F48">
        <w:t>, and</w:t>
      </w:r>
    </w:p>
    <w:p w:rsidR="00707ED7" w:rsidRPr="005F0F48" w:rsidRDefault="00707ED7" w:rsidP="005F0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</w:pPr>
      <w:r w:rsidRPr="005F0F48">
        <w:t xml:space="preserve">TPG Telecom: </w:t>
      </w:r>
      <w:hyperlink r:id="rId27" w:history="1">
        <w:r w:rsidRPr="005F0F48">
          <w:rPr>
            <w:rStyle w:val="Hyperlink"/>
          </w:rPr>
          <w:t>www.tpg.com.au/support/contact</w:t>
        </w:r>
      </w:hyperlink>
      <w:r w:rsidR="005F0F48">
        <w:t>.</w:t>
      </w:r>
    </w:p>
    <w:sectPr w:rsidR="00707ED7" w:rsidRPr="005F0F48" w:rsidSect="00133A45">
      <w:type w:val="continuous"/>
      <w:pgSz w:w="11906" w:h="16838"/>
      <w:pgMar w:top="2269" w:right="991" w:bottom="1276" w:left="1440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889" w:rsidRDefault="00F83889" w:rsidP="00FC413F">
      <w:pPr>
        <w:spacing w:after="0"/>
      </w:pPr>
      <w:r>
        <w:separator/>
      </w:r>
    </w:p>
  </w:endnote>
  <w:endnote w:type="continuationSeparator" w:id="0">
    <w:p w:rsidR="00F83889" w:rsidRDefault="00F83889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45" w:rsidRPr="00FC413F" w:rsidRDefault="00133A45" w:rsidP="00133A45">
    <w:pPr>
      <w:pStyle w:val="Footer"/>
      <w:tabs>
        <w:tab w:val="clear" w:pos="4513"/>
        <w:tab w:val="clear" w:pos="9026"/>
      </w:tabs>
      <w:ind w:left="-567"/>
      <w:rPr>
        <w:rFonts w:cs="Segoe UI"/>
        <w:szCs w:val="18"/>
      </w:rPr>
    </w:pPr>
    <w:r w:rsidRPr="00FC413F">
      <w:rPr>
        <w:rFonts w:cs="Segoe UI"/>
        <w:szCs w:val="18"/>
      </w:rPr>
      <w:t>________________________________________________________</w:t>
    </w:r>
    <w:r>
      <w:rPr>
        <w:rFonts w:cs="Segoe UI"/>
        <w:szCs w:val="18"/>
      </w:rPr>
      <w:t>___________________________________________</w:t>
    </w:r>
    <w:r w:rsidRPr="00FC413F">
      <w:rPr>
        <w:rFonts w:cs="Segoe UI"/>
        <w:szCs w:val="18"/>
      </w:rPr>
      <w:t>___________________________________</w:t>
    </w:r>
  </w:p>
  <w:p w:rsidR="00133A45" w:rsidRPr="00FC413F" w:rsidRDefault="00133A45" w:rsidP="00133A45">
    <w:pPr>
      <w:pStyle w:val="Footer"/>
      <w:tabs>
        <w:tab w:val="clear" w:pos="4513"/>
        <w:tab w:val="clear" w:pos="9026"/>
        <w:tab w:val="right" w:pos="9356"/>
      </w:tabs>
      <w:ind w:hanging="567"/>
      <w:rPr>
        <w:rFonts w:cs="Segoe UI"/>
        <w:szCs w:val="18"/>
      </w:rPr>
    </w:pP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5F0F48">
      <w:rPr>
        <w:rFonts w:cs="Segoe UI"/>
        <w:noProof/>
        <w:szCs w:val="18"/>
      </w:rPr>
      <w:t>2</w:t>
    </w:r>
    <w:r>
      <w:rPr>
        <w:rFonts w:cs="Segoe UI"/>
        <w:szCs w:val="18"/>
      </w:rPr>
      <w:fldChar w:fldCharType="end"/>
    </w:r>
    <w:r w:rsidRPr="00FC413F">
      <w:rPr>
        <w:rFonts w:cs="Segoe UI"/>
        <w:noProof/>
        <w:szCs w:val="18"/>
      </w:rPr>
      <w:t>.</w:t>
    </w:r>
    <w:r w:rsidRPr="00FC413F">
      <w:rPr>
        <w:rFonts w:cs="Segoe UI"/>
        <w:noProof/>
        <w:szCs w:val="18"/>
      </w:rPr>
      <w:tab/>
    </w:r>
    <w:r w:rsidR="00707ED7" w:rsidRPr="00707ED7">
      <w:rPr>
        <w:rFonts w:cs="Segoe UI"/>
        <w:noProof/>
        <w:szCs w:val="18"/>
      </w:rPr>
      <w:t>5G mobile networks</w:t>
    </w:r>
  </w:p>
  <w:p w:rsidR="00133A45" w:rsidRPr="00FC413F" w:rsidRDefault="005F0F48" w:rsidP="00133A45">
    <w:pPr>
      <w:pStyle w:val="Footer"/>
      <w:tabs>
        <w:tab w:val="clear" w:pos="4513"/>
        <w:tab w:val="clear" w:pos="9026"/>
      </w:tabs>
      <w:ind w:left="-567"/>
      <w:jc w:val="center"/>
      <w:rPr>
        <w:rFonts w:cs="Segoe UI"/>
        <w:szCs w:val="18"/>
      </w:rPr>
    </w:pPr>
    <w:hyperlink r:id="rId1" w:history="1">
      <w:r w:rsidR="00133A45" w:rsidRPr="00FC413F">
        <w:rPr>
          <w:rStyle w:val="Hyperlink"/>
          <w:rFonts w:cs="Segoe UI"/>
          <w:szCs w:val="18"/>
        </w:rPr>
        <w:t>infrastructure.gov.au</w:t>
      </w:r>
    </w:hyperlink>
    <w:r w:rsidR="00133A45" w:rsidRPr="00FC413F">
      <w:rPr>
        <w:rFonts w:cs="Segoe UI"/>
        <w:noProof/>
        <w:szCs w:val="18"/>
      </w:rPr>
      <w:t xml:space="preserve"> | </w:t>
    </w:r>
    <w:hyperlink r:id="rId2" w:history="1">
      <w:r w:rsidR="00133A45" w:rsidRPr="00FC413F">
        <w:rPr>
          <w:rStyle w:val="Hyperlink"/>
          <w:rFonts w:cs="Segoe UI"/>
          <w:szCs w:val="18"/>
        </w:rPr>
        <w:t>communications.gov.au</w:t>
      </w:r>
    </w:hyperlink>
    <w:r w:rsidR="0000270B" w:rsidRPr="00FC413F">
      <w:rPr>
        <w:rFonts w:cs="Segoe UI"/>
        <w:noProof/>
        <w:szCs w:val="18"/>
      </w:rPr>
      <w:t xml:space="preserve"> |</w:t>
    </w:r>
    <w:r w:rsidR="0000270B">
      <w:rPr>
        <w:rFonts w:cs="Segoe UI"/>
        <w:noProof/>
        <w:szCs w:val="18"/>
      </w:rPr>
      <w:t xml:space="preserve"> </w:t>
    </w:r>
    <w:hyperlink r:id="rId3" w:history="1">
      <w:r w:rsidR="0000270B" w:rsidRPr="00FC413F">
        <w:rPr>
          <w:rStyle w:val="Hyperlink"/>
          <w:rFonts w:cs="Segoe UI"/>
          <w:szCs w:val="18"/>
        </w:rPr>
        <w:t>arts.gov.au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70B" w:rsidRPr="00FC413F" w:rsidRDefault="0000270B" w:rsidP="0000270B">
    <w:pPr>
      <w:pStyle w:val="Footer"/>
      <w:tabs>
        <w:tab w:val="clear" w:pos="4513"/>
        <w:tab w:val="clear" w:pos="9026"/>
      </w:tabs>
      <w:ind w:left="-567"/>
      <w:rPr>
        <w:rFonts w:cs="Segoe UI"/>
        <w:szCs w:val="18"/>
      </w:rPr>
    </w:pPr>
    <w:r w:rsidRPr="00FC413F">
      <w:rPr>
        <w:rFonts w:cs="Segoe UI"/>
        <w:szCs w:val="18"/>
      </w:rPr>
      <w:t>________________________________________________________</w:t>
    </w:r>
    <w:r>
      <w:rPr>
        <w:rFonts w:cs="Segoe UI"/>
        <w:szCs w:val="18"/>
      </w:rPr>
      <w:t>___________________________________________</w:t>
    </w:r>
    <w:r w:rsidRPr="00FC413F">
      <w:rPr>
        <w:rFonts w:cs="Segoe UI"/>
        <w:szCs w:val="18"/>
      </w:rPr>
      <w:t>___________________________________</w:t>
    </w:r>
  </w:p>
  <w:p w:rsidR="0000270B" w:rsidRPr="00FC413F" w:rsidRDefault="0000270B" w:rsidP="0000270B">
    <w:pPr>
      <w:pStyle w:val="Footer"/>
      <w:tabs>
        <w:tab w:val="clear" w:pos="4513"/>
        <w:tab w:val="clear" w:pos="9026"/>
        <w:tab w:val="right" w:pos="9356"/>
      </w:tabs>
      <w:ind w:hanging="567"/>
      <w:rPr>
        <w:rFonts w:cs="Segoe UI"/>
        <w:szCs w:val="18"/>
      </w:rPr>
    </w:pP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5F0F48">
      <w:rPr>
        <w:rFonts w:cs="Segoe UI"/>
        <w:noProof/>
        <w:szCs w:val="18"/>
      </w:rPr>
      <w:t>1</w:t>
    </w:r>
    <w:r>
      <w:rPr>
        <w:rFonts w:cs="Segoe UI"/>
        <w:szCs w:val="18"/>
      </w:rPr>
      <w:fldChar w:fldCharType="end"/>
    </w:r>
    <w:r w:rsidRPr="00FC413F">
      <w:rPr>
        <w:rFonts w:cs="Segoe UI"/>
        <w:noProof/>
        <w:szCs w:val="18"/>
      </w:rPr>
      <w:t>.</w:t>
    </w:r>
    <w:r w:rsidRPr="00FC413F">
      <w:rPr>
        <w:rFonts w:cs="Segoe UI"/>
        <w:noProof/>
        <w:szCs w:val="18"/>
      </w:rPr>
      <w:tab/>
    </w:r>
    <w:r w:rsidR="00707ED7" w:rsidRPr="00707ED7">
      <w:rPr>
        <w:rFonts w:cs="Segoe UI"/>
        <w:noProof/>
        <w:szCs w:val="18"/>
      </w:rPr>
      <w:t>5G mobile networks</w:t>
    </w:r>
  </w:p>
  <w:p w:rsidR="0000270B" w:rsidRPr="00FC413F" w:rsidRDefault="005F0F48" w:rsidP="0000270B">
    <w:pPr>
      <w:pStyle w:val="Footer"/>
      <w:tabs>
        <w:tab w:val="clear" w:pos="4513"/>
        <w:tab w:val="clear" w:pos="9026"/>
      </w:tabs>
      <w:ind w:left="-567"/>
      <w:jc w:val="center"/>
      <w:rPr>
        <w:rFonts w:cs="Segoe UI"/>
        <w:szCs w:val="18"/>
      </w:rPr>
    </w:pPr>
    <w:hyperlink r:id="rId1" w:history="1">
      <w:r w:rsidR="0000270B" w:rsidRPr="00FC413F">
        <w:rPr>
          <w:rStyle w:val="Hyperlink"/>
          <w:rFonts w:cs="Segoe UI"/>
          <w:szCs w:val="18"/>
        </w:rPr>
        <w:t>infrastructure.gov.au</w:t>
      </w:r>
    </w:hyperlink>
    <w:r w:rsidR="0000270B" w:rsidRPr="00FC413F">
      <w:rPr>
        <w:rFonts w:cs="Segoe UI"/>
        <w:noProof/>
        <w:szCs w:val="18"/>
      </w:rPr>
      <w:t xml:space="preserve"> | </w:t>
    </w:r>
    <w:hyperlink r:id="rId2" w:history="1">
      <w:r w:rsidR="0000270B" w:rsidRPr="00FC413F">
        <w:rPr>
          <w:rStyle w:val="Hyperlink"/>
          <w:rFonts w:cs="Segoe UI"/>
          <w:szCs w:val="18"/>
        </w:rPr>
        <w:t>communications.gov.au</w:t>
      </w:r>
    </w:hyperlink>
    <w:r w:rsidR="0000270B" w:rsidRPr="00FC413F">
      <w:rPr>
        <w:rFonts w:cs="Segoe UI"/>
        <w:noProof/>
        <w:szCs w:val="18"/>
      </w:rPr>
      <w:t xml:space="preserve"> |</w:t>
    </w:r>
    <w:r w:rsidR="0000270B">
      <w:rPr>
        <w:rFonts w:cs="Segoe UI"/>
        <w:noProof/>
        <w:szCs w:val="18"/>
      </w:rPr>
      <w:t xml:space="preserve"> </w:t>
    </w:r>
    <w:hyperlink r:id="rId3" w:history="1">
      <w:r w:rsidR="0000270B" w:rsidRPr="00FC413F">
        <w:rPr>
          <w:rStyle w:val="Hyperlink"/>
          <w:rFonts w:cs="Segoe UI"/>
          <w:szCs w:val="18"/>
        </w:rPr>
        <w:t>arts.gov.au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889" w:rsidRDefault="00F83889" w:rsidP="00FC413F">
      <w:pPr>
        <w:spacing w:after="0"/>
      </w:pPr>
      <w:r>
        <w:separator/>
      </w:r>
    </w:p>
  </w:footnote>
  <w:footnote w:type="continuationSeparator" w:id="0">
    <w:p w:rsidR="00F83889" w:rsidRDefault="00F83889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04" w:rsidRDefault="00E80E04" w:rsidP="00FC413F">
    <w:pPr>
      <w:pStyle w:val="Header"/>
      <w:tabs>
        <w:tab w:val="right" w:pos="9475"/>
      </w:tabs>
      <w:ind w:left="-1418"/>
    </w:pPr>
    <w:r>
      <w:rPr>
        <w:noProof/>
        <w:lang w:eastAsia="en-AU"/>
      </w:rPr>
      <w:drawing>
        <wp:inline distT="0" distB="0" distL="0" distR="0" wp14:anchorId="75C5B543" wp14:editId="3CC7C83F">
          <wp:extent cx="7570707" cy="1080198"/>
          <wp:effectExtent l="0" t="0" r="0" b="5715"/>
          <wp:docPr id="11" name="Picture 11" descr="Hea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TRDC Word Header_Pattern_A4 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082" cy="1083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0E04" w:rsidRPr="00261FFA" w:rsidRDefault="005F0F48" w:rsidP="00D47BFD">
    <w:pPr>
      <w:pStyle w:val="Header"/>
      <w:tabs>
        <w:tab w:val="clear" w:pos="4678"/>
      </w:tabs>
      <w:rPr>
        <w:rFonts w:cs="Segoe UI Light"/>
        <w:color w:val="001C40"/>
        <w:szCs w:val="18"/>
      </w:rPr>
    </w:pPr>
    <w:r>
      <w:rPr>
        <w:rFonts w:cs="Segoe UI Light"/>
        <w:szCs w:val="18"/>
      </w:rPr>
      <w:t>July 2020</w:t>
    </w:r>
    <w:r w:rsidR="00E80E04" w:rsidRPr="00261FFA">
      <w:rPr>
        <w:rFonts w:cs="Segoe UI Light"/>
        <w:szCs w:val="18"/>
      </w:rPr>
      <w:tab/>
    </w:r>
    <w:r w:rsidR="00707ED7" w:rsidRPr="00707ED7">
      <w:rPr>
        <w:rFonts w:cs="Segoe UI Light"/>
        <w:color w:val="001C40"/>
        <w:szCs w:val="18"/>
      </w:rPr>
      <w:t>5G mobile networks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E92756"/>
    <w:multiLevelType w:val="hybridMultilevel"/>
    <w:tmpl w:val="7AACB4D4"/>
    <w:lvl w:ilvl="0" w:tplc="BB0C39E4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27E7D"/>
    <w:multiLevelType w:val="hybridMultilevel"/>
    <w:tmpl w:val="AA168EC0"/>
    <w:lvl w:ilvl="0" w:tplc="E96A464C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89"/>
    <w:rsid w:val="0000270B"/>
    <w:rsid w:val="0003502E"/>
    <w:rsid w:val="000740FB"/>
    <w:rsid w:val="00090E62"/>
    <w:rsid w:val="000C0244"/>
    <w:rsid w:val="00105DA4"/>
    <w:rsid w:val="00133A45"/>
    <w:rsid w:val="00204A64"/>
    <w:rsid w:val="00217C11"/>
    <w:rsid w:val="00236F1B"/>
    <w:rsid w:val="00261FFA"/>
    <w:rsid w:val="00272982"/>
    <w:rsid w:val="00287C7E"/>
    <w:rsid w:val="002A5AB5"/>
    <w:rsid w:val="002F1A23"/>
    <w:rsid w:val="00300077"/>
    <w:rsid w:val="00310148"/>
    <w:rsid w:val="00323710"/>
    <w:rsid w:val="00342348"/>
    <w:rsid w:val="003B6D01"/>
    <w:rsid w:val="003D71C5"/>
    <w:rsid w:val="005D038B"/>
    <w:rsid w:val="005E55BD"/>
    <w:rsid w:val="005F0F48"/>
    <w:rsid w:val="00630D43"/>
    <w:rsid w:val="006452B1"/>
    <w:rsid w:val="006542FA"/>
    <w:rsid w:val="00691FA2"/>
    <w:rsid w:val="006D43C7"/>
    <w:rsid w:val="00707ED7"/>
    <w:rsid w:val="00772C27"/>
    <w:rsid w:val="00790F25"/>
    <w:rsid w:val="00791311"/>
    <w:rsid w:val="00793843"/>
    <w:rsid w:val="0079788A"/>
    <w:rsid w:val="007B68AB"/>
    <w:rsid w:val="00822DBF"/>
    <w:rsid w:val="008A7B93"/>
    <w:rsid w:val="008F24DE"/>
    <w:rsid w:val="00912D17"/>
    <w:rsid w:val="009276A3"/>
    <w:rsid w:val="009279AE"/>
    <w:rsid w:val="00985DD5"/>
    <w:rsid w:val="00A4759C"/>
    <w:rsid w:val="00A5600C"/>
    <w:rsid w:val="00A82DAF"/>
    <w:rsid w:val="00B5393D"/>
    <w:rsid w:val="00BB3D46"/>
    <w:rsid w:val="00BC0598"/>
    <w:rsid w:val="00C36E40"/>
    <w:rsid w:val="00C62177"/>
    <w:rsid w:val="00D47BFD"/>
    <w:rsid w:val="00D64922"/>
    <w:rsid w:val="00E7227D"/>
    <w:rsid w:val="00E76BC6"/>
    <w:rsid w:val="00E80E04"/>
    <w:rsid w:val="00EE6EE8"/>
    <w:rsid w:val="00F26430"/>
    <w:rsid w:val="00F61FA1"/>
    <w:rsid w:val="00F814AD"/>
    <w:rsid w:val="00F83889"/>
    <w:rsid w:val="00FC413F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DAFF1"/>
  <w15:chartTrackingRefBased/>
  <w15:docId w15:val="{73350BAA-0C49-4112-B2CA-DCF084DA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70B"/>
    <w:pPr>
      <w:spacing w:line="240" w:lineRule="auto"/>
    </w:pPr>
    <w:rPr>
      <w:rFonts w:ascii="Segoe UI" w:hAnsi="Segoe U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A45"/>
    <w:pPr>
      <w:keepNext/>
      <w:keepLines/>
      <w:shd w:val="clear" w:color="auto" w:fill="002D72"/>
      <w:spacing w:after="240"/>
      <w:outlineLvl w:val="0"/>
    </w:pPr>
    <w:rPr>
      <w:rFonts w:ascii="Segoe UI Semibold" w:eastAsiaTheme="majorEastAsia" w:hAnsi="Segoe UI Semibold" w:cs="Segoe UI Semibold"/>
      <w:color w:val="FFFFFF" w:themeColor="background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C27"/>
    <w:pPr>
      <w:keepNext/>
      <w:spacing w:before="120" w:after="120"/>
      <w:outlineLvl w:val="1"/>
    </w:pPr>
    <w:rPr>
      <w:rFonts w:ascii="Segoe UI Semibold" w:eastAsia="MingLiU" w:hAnsi="Segoe UI Semibold" w:cs="Segoe UI Semibold"/>
      <w:color w:val="002D7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C27"/>
    <w:pPr>
      <w:keepNext/>
      <w:spacing w:before="120" w:after="120"/>
      <w:outlineLvl w:val="2"/>
    </w:pPr>
    <w:rPr>
      <w:rFonts w:ascii="Segoe UI Semibold" w:eastAsia="MingLiU" w:hAnsi="Segoe UI Semibold" w:cs="Segoe UI Semibold"/>
      <w:color w:val="002D7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6E40"/>
    <w:pPr>
      <w:keepNext/>
      <w:spacing w:before="120" w:after="120"/>
      <w:outlineLvl w:val="3"/>
    </w:pPr>
    <w:rPr>
      <w:rFonts w:ascii="Segoe UI Semibold" w:eastAsia="MingLiU" w:hAnsi="Segoe UI Semibold" w:cs="Segoe UI Semibold"/>
      <w:color w:val="4C5564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6E40"/>
    <w:pPr>
      <w:keepNext/>
      <w:spacing w:before="120" w:after="120"/>
      <w:outlineLvl w:val="4"/>
    </w:pPr>
    <w:rPr>
      <w:rFonts w:ascii="Segoe UI Semibold" w:eastAsia="MingLiU" w:hAnsi="Segoe UI Semibold" w:cs="Segoe UI Semibold"/>
      <w:color w:val="4C556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6E40"/>
    <w:pPr>
      <w:keepNext/>
      <w:spacing w:before="120" w:after="120"/>
      <w:outlineLvl w:val="5"/>
    </w:pPr>
    <w:rPr>
      <w:rFonts w:ascii="Segoe UI Semibold" w:eastAsia="MingLiU" w:hAnsi="Segoe UI Semibold" w:cs="Segoe UI Semibold"/>
      <w:color w:val="4C5564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6E40"/>
    <w:pPr>
      <w:keepNext/>
      <w:keepLines/>
      <w:spacing w:before="40" w:after="0"/>
      <w:outlineLvl w:val="6"/>
    </w:pPr>
    <w:rPr>
      <w:rFonts w:ascii="Segoe UI Semibold" w:eastAsiaTheme="majorEastAsia" w:hAnsi="Segoe UI Semibold" w:cs="Segoe UI Semibold"/>
      <w:iCs/>
      <w:color w:val="4C5564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85DD5"/>
    <w:pPr>
      <w:numPr>
        <w:numId w:val="1"/>
      </w:numPr>
      <w:ind w:left="1134" w:hanging="567"/>
    </w:p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3A45"/>
    <w:rPr>
      <w:rFonts w:ascii="Segoe UI Semibold" w:eastAsiaTheme="majorEastAsia" w:hAnsi="Segoe UI Semibold" w:cs="Segoe UI Semibold"/>
      <w:color w:val="FFFFFF" w:themeColor="background1"/>
      <w:sz w:val="48"/>
      <w:szCs w:val="48"/>
      <w:shd w:val="clear" w:color="auto" w:fill="002D72"/>
    </w:rPr>
  </w:style>
  <w:style w:type="character" w:customStyle="1" w:styleId="Heading2Char">
    <w:name w:val="Heading 2 Char"/>
    <w:basedOn w:val="DefaultParagraphFont"/>
    <w:link w:val="Heading2"/>
    <w:uiPriority w:val="9"/>
    <w:rsid w:val="00772C27"/>
    <w:rPr>
      <w:rFonts w:ascii="Segoe UI Semibold" w:eastAsia="MingLiU" w:hAnsi="Segoe UI Semibold" w:cs="Segoe UI Semibold"/>
      <w:color w:val="002D7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2C27"/>
    <w:rPr>
      <w:rFonts w:ascii="Segoe UI Semibold" w:eastAsia="MingLiU" w:hAnsi="Segoe UI Semibold" w:cs="Segoe UI Semibold"/>
      <w:color w:val="002D72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C36E40"/>
    <w:rPr>
      <w:rFonts w:ascii="Segoe UI Semibold" w:eastAsia="MingLiU" w:hAnsi="Segoe UI Semibold" w:cs="Segoe UI Semibold"/>
      <w:color w:val="4C5564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36E40"/>
    <w:rPr>
      <w:rFonts w:ascii="Segoe UI Semibold" w:eastAsia="MingLiU" w:hAnsi="Segoe UI Semibold" w:cs="Segoe UI Semibold"/>
      <w:color w:val="4C5564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rsid w:val="00C36E40"/>
    <w:rPr>
      <w:rFonts w:ascii="Segoe UI Semibold" w:eastAsia="MingLiU" w:hAnsi="Segoe UI Semibold" w:cs="Segoe UI Semibold"/>
      <w:color w:val="4C5564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36E40"/>
    <w:rPr>
      <w:rFonts w:ascii="Segoe UI Semibold" w:eastAsiaTheme="majorEastAsia" w:hAnsi="Segoe UI Semibold" w:cs="Segoe UI Semibold"/>
      <w:iCs/>
      <w:color w:val="4C5564"/>
      <w:sz w:val="18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3D71C5"/>
    <w:pPr>
      <w:keepNext/>
      <w:spacing w:after="120"/>
      <w:outlineLvl w:val="1"/>
    </w:pPr>
    <w:rPr>
      <w:rFonts w:ascii="Segoe UI Semibold" w:eastAsia="MingLiU" w:hAnsi="Segoe UI Semibold" w:cs="Segoe UI Semibold"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C36E40"/>
    <w:pPr>
      <w:keepNext/>
      <w:spacing w:after="120"/>
      <w:outlineLvl w:val="2"/>
    </w:pPr>
    <w:rPr>
      <w:rFonts w:ascii="Segoe UI Semibold" w:eastAsia="MingLiU" w:hAnsi="Segoe UI Semibold" w:cs="Segoe UI Semibold"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217C11"/>
    <w:pPr>
      <w:spacing w:after="0"/>
    </w:pPr>
    <w:rPr>
      <w:rFonts w:eastAsia="Times New Roman" w:cs="Times New Roman"/>
      <w:sz w:val="20"/>
      <w:szCs w:val="20"/>
    </w:rPr>
  </w:style>
  <w:style w:type="paragraph" w:customStyle="1" w:styleId="Tablerowcolumnheading">
    <w:name w:val="Table row/column heading"/>
    <w:basedOn w:val="Normal"/>
    <w:next w:val="Normal"/>
    <w:rsid w:val="00323710"/>
    <w:pPr>
      <w:spacing w:after="0"/>
    </w:pPr>
    <w:rPr>
      <w:rFonts w:eastAsia="Times New Roman" w:cs="Times New Roman"/>
      <w:b/>
      <w:bCs/>
      <w:color w:val="002D72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E80E04"/>
    <w:pPr>
      <w:keepNext/>
      <w:spacing w:after="0"/>
    </w:pPr>
    <w:rPr>
      <w:rFonts w:ascii="Segoe UI Semibold" w:hAnsi="Segoe UI Semibold"/>
      <w:color w:val="002D72"/>
      <w:sz w:val="20"/>
    </w:rPr>
  </w:style>
  <w:style w:type="paragraph" w:customStyle="1" w:styleId="Tabletextcentred">
    <w:name w:val="Table text centred"/>
    <w:basedOn w:val="Tabletext"/>
    <w:next w:val="NoSpacing"/>
    <w:rsid w:val="00217C11"/>
    <w:pPr>
      <w:jc w:val="center"/>
    </w:pPr>
  </w:style>
  <w:style w:type="paragraph" w:customStyle="1" w:styleId="Tablerowcolumnheadingcentred">
    <w:name w:val="Table row/column heading centred"/>
    <w:basedOn w:val="Tablerowcolumnheading"/>
    <w:next w:val="Normal"/>
    <w:rsid w:val="00217C11"/>
    <w:pPr>
      <w:jc w:val="center"/>
    </w:pPr>
    <w:rPr>
      <w:bCs w:val="0"/>
    </w:rPr>
  </w:style>
  <w:style w:type="paragraph" w:customStyle="1" w:styleId="Sourcenote">
    <w:name w:val="Source / note"/>
    <w:basedOn w:val="Normal"/>
    <w:qFormat/>
    <w:rsid w:val="00C36E40"/>
    <w:rPr>
      <w:rFonts w:eastAsia="PMingLiU" w:cs="Mangal"/>
      <w:color w:val="4C5564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pPr>
      <w:spacing w:after="120"/>
    </w:pPr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rfnsa.com.au" TargetMode="External"/><Relationship Id="rId26" Type="http://schemas.openxmlformats.org/officeDocument/2006/relationships/hyperlink" Target="http://www.vodafone.com.au/support/network/base-station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cma.gov.au/our-rules-em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arpansa.gov.au/regulation-and-licensing/regulatory-publications/radiation-protection-series/codes-and-standards/rps3" TargetMode="External"/><Relationship Id="rId25" Type="http://schemas.openxmlformats.org/officeDocument/2006/relationships/hyperlink" Target="http://www.optus.com.au/about/sustainability/environment/our-environmental-responsibility/mobile-phone-tow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cma.gov.au/our-rules-eme" TargetMode="Externa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telstra.com.au/consumer-advice/em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ommunications.gov.au/carrier-powers-and-immunities" TargetMode="External"/><Relationship Id="rId23" Type="http://schemas.openxmlformats.org/officeDocument/2006/relationships/hyperlink" Target="http://www.who.int/peh-emf/en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arpansa.gov.au" TargetMode="External"/><Relationship Id="rId27" Type="http://schemas.openxmlformats.org/officeDocument/2006/relationships/hyperlink" Target="http://www.tpg.com.au/support/contac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/" TargetMode="External"/><Relationship Id="rId2" Type="http://schemas.openxmlformats.org/officeDocument/2006/relationships/hyperlink" Target="http://www.communications.gov.au/" TargetMode="External"/><Relationship Id="rId1" Type="http://schemas.openxmlformats.org/officeDocument/2006/relationships/hyperlink" Target="http://www.infrastructure.gov.a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/" TargetMode="External"/><Relationship Id="rId2" Type="http://schemas.openxmlformats.org/officeDocument/2006/relationships/hyperlink" Target="http://www.communications.gov.au/" TargetMode="External"/><Relationship Id="rId1" Type="http://schemas.openxmlformats.org/officeDocument/2006/relationships/hyperlink" Target="http://www.infrastructure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pt.gov.au\DFS\Home\ThHall\My%20Documents\for-g-drive\5g-mobile-networks--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38E4925254A418EC95C65DB26E2F0" ma:contentTypeVersion="0" ma:contentTypeDescription="Create a new document." ma:contentTypeScope="" ma:versionID="370c1496dfda4d304936c06a55b67d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F8022-9F25-46C6-BD69-D29AA30BE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9712A4-0D70-4B28-ABF3-A3151D3077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55C6FB-5268-4466-BB62-C10D307B98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856A64-55E6-4B4D-BD54-E368E3F3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5g-mobile-networks--factsheet.dotx</Template>
  <TotalTime>4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5G mobile networks</vt:lpstr>
    </vt:vector>
  </TitlesOfParts>
  <Company>Department of Infrastructure, Transport, Regional Development and Communications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5G mobile networks</dc:title>
  <dc:subject/>
  <dc:creator>Department of Infrastructure, Transport, Regional Development and Communications</dc:creator>
  <cp:keywords/>
  <dc:description>6 May 2020</dc:description>
  <cp:lastModifiedBy>Hall, Theresa</cp:lastModifiedBy>
  <cp:revision>3</cp:revision>
  <dcterms:created xsi:type="dcterms:W3CDTF">2020-07-17T05:22:00Z</dcterms:created>
  <dcterms:modified xsi:type="dcterms:W3CDTF">2020-07-17T05:26:00Z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0x0101003E538E4925254A418EC95C65DB26E2F0</vt:lpwstr>
  </property>
  <property fmtid="{D5CDD505-2E9C-101B-9397-08002B2CF9AE}" pid="3" name="TrimRevisionNumber">
    <vt:i4>1</vt:i4>
  </property>
</Properties>
</file>